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BAE" w:rsidRPr="008A1679" w:rsidRDefault="00656BAE" w:rsidP="00656BAE">
      <w:pPr>
        <w:pStyle w:val="Title"/>
        <w:rPr>
          <w:lang w:val="en-AU"/>
        </w:rPr>
      </w:pPr>
      <w:r w:rsidRPr="008A1679">
        <w:rPr>
          <w:lang w:val="en-AU"/>
        </w:rPr>
        <w:t xml:space="preserve">Occupational Contact Dermatitis: A review of 18 years of data from an </w:t>
      </w:r>
      <w:r w:rsidR="00140D5E" w:rsidRPr="008A1679">
        <w:rPr>
          <w:lang w:val="en-AU"/>
        </w:rPr>
        <w:t>o</w:t>
      </w:r>
      <w:r w:rsidRPr="008A1679">
        <w:rPr>
          <w:lang w:val="en-AU"/>
        </w:rPr>
        <w:t xml:space="preserve">ccupational </w:t>
      </w:r>
      <w:r w:rsidR="00140D5E" w:rsidRPr="008A1679">
        <w:rPr>
          <w:lang w:val="en-AU"/>
        </w:rPr>
        <w:t>d</w:t>
      </w:r>
      <w:r w:rsidRPr="008A1679">
        <w:rPr>
          <w:lang w:val="en-AU"/>
        </w:rPr>
        <w:t xml:space="preserve">ermatology </w:t>
      </w:r>
      <w:r w:rsidR="00140D5E" w:rsidRPr="008A1679">
        <w:rPr>
          <w:lang w:val="en-AU"/>
        </w:rPr>
        <w:t>c</w:t>
      </w:r>
      <w:r w:rsidRPr="008A1679">
        <w:rPr>
          <w:lang w:val="en-AU"/>
        </w:rPr>
        <w:t xml:space="preserve">linic in Australia </w:t>
      </w:r>
    </w:p>
    <w:p w:rsidR="00656BAE" w:rsidRPr="008A1679" w:rsidRDefault="00656BAE" w:rsidP="00140D5E"/>
    <w:p w:rsidR="00656BAE" w:rsidRPr="008A1679" w:rsidRDefault="00656BAE" w:rsidP="00656BAE">
      <w:pPr>
        <w:pStyle w:val="Subtitle"/>
        <w:jc w:val="center"/>
        <w:rPr>
          <w:lang w:val="en-AU"/>
        </w:rPr>
      </w:pPr>
      <w:r w:rsidRPr="008A1679">
        <w:rPr>
          <w:lang w:val="en-AU"/>
        </w:rPr>
        <w:t xml:space="preserve">Report for Safe Work Australia, </w:t>
      </w:r>
      <w:r w:rsidR="00E875DF">
        <w:rPr>
          <w:lang w:val="en-AU"/>
        </w:rPr>
        <w:t>March 2012</w:t>
      </w:r>
    </w:p>
    <w:p w:rsidR="00656BAE" w:rsidRPr="008A1679" w:rsidRDefault="00656BAE" w:rsidP="00656BAE">
      <w:pPr>
        <w:spacing w:line="360" w:lineRule="auto"/>
        <w:jc w:val="both"/>
        <w:rPr>
          <w:rFonts w:cs="Arial"/>
          <w:b/>
        </w:rPr>
      </w:pPr>
    </w:p>
    <w:p w:rsidR="00656BAE" w:rsidRPr="008A1679" w:rsidRDefault="00656BAE" w:rsidP="000970CE">
      <w:pPr>
        <w:rPr>
          <w:b/>
        </w:rPr>
      </w:pPr>
      <w:r w:rsidRPr="008A1679">
        <w:rPr>
          <w:b/>
        </w:rPr>
        <w:t xml:space="preserve">J. Cahill, J. D. L Williams, M. C. Matheson, A. M. Palmer, J. A. Burgess, S. C. </w:t>
      </w:r>
      <w:proofErr w:type="spellStart"/>
      <w:r w:rsidRPr="008A1679">
        <w:rPr>
          <w:b/>
        </w:rPr>
        <w:t>Dharmage</w:t>
      </w:r>
      <w:proofErr w:type="spellEnd"/>
      <w:r w:rsidRPr="008A1679">
        <w:rPr>
          <w:b/>
        </w:rPr>
        <w:t>, R. L. Nixon</w:t>
      </w:r>
    </w:p>
    <w:p w:rsidR="00656BAE" w:rsidRPr="008A1679" w:rsidRDefault="00656BAE" w:rsidP="00140D5E"/>
    <w:p w:rsidR="00656BAE" w:rsidRPr="008A1679" w:rsidRDefault="00656BAE" w:rsidP="00656BAE">
      <w:pPr>
        <w:rPr>
          <w:rFonts w:cs="Arial"/>
        </w:rPr>
      </w:pPr>
      <w:r w:rsidRPr="008A1679">
        <w:rPr>
          <w:rFonts w:cs="Arial"/>
        </w:rPr>
        <w:t>Occupational Dermatology Research and Education Centre, Skin and Cancer Foundation Inc., Victoria, Australia</w:t>
      </w:r>
    </w:p>
    <w:p w:rsidR="00656BAE" w:rsidRPr="008A1679" w:rsidRDefault="00656BAE" w:rsidP="00140D5E"/>
    <w:p w:rsidR="00656BAE" w:rsidRPr="008A1679" w:rsidRDefault="00656BAE" w:rsidP="00656BAE">
      <w:r w:rsidRPr="008A1679">
        <w:br w:type="page"/>
      </w:r>
    </w:p>
    <w:p w:rsidR="002E4A41" w:rsidRDefault="002E4A41" w:rsidP="002E4A41">
      <w:r>
        <w:lastRenderedPageBreak/>
        <w:t xml:space="preserve">This report was prepared by J. Cahill, J. D. L Williams, M. C. Matheson, A. M. Palmer, J. A. Burgess, S. C. </w:t>
      </w:r>
      <w:proofErr w:type="spellStart"/>
      <w:r>
        <w:t>Dharmage</w:t>
      </w:r>
      <w:proofErr w:type="spellEnd"/>
      <w:r>
        <w:t xml:space="preserve"> and R. L. Nixon, Occupational Dermatology Research and Education Centre, Skin and Cancer Foundation Inc., Victoria, Australia</w:t>
      </w:r>
    </w:p>
    <w:p w:rsidR="002E4A41" w:rsidRDefault="002E4A41" w:rsidP="00F93849">
      <w:pPr>
        <w:jc w:val="both"/>
        <w:rPr>
          <w:rStyle w:val="Heading1Char"/>
          <w:rFonts w:cs="Arial"/>
        </w:rPr>
      </w:pPr>
    </w:p>
    <w:p w:rsidR="00F93849" w:rsidRPr="00356510" w:rsidRDefault="00F93849" w:rsidP="00F93849">
      <w:pPr>
        <w:jc w:val="both"/>
        <w:rPr>
          <w:rStyle w:val="Heading1Char"/>
          <w:rFonts w:cs="Arial"/>
        </w:rPr>
      </w:pPr>
      <w:r>
        <w:rPr>
          <w:rStyle w:val="Heading1Char"/>
          <w:rFonts w:cs="Arial"/>
        </w:rPr>
        <w:t>Disclaimer</w:t>
      </w:r>
    </w:p>
    <w:p w:rsidR="00F93849" w:rsidRPr="00F93849" w:rsidRDefault="00F93849" w:rsidP="00F93849">
      <w:pPr>
        <w:rPr>
          <w:rStyle w:val="Heading1Char"/>
          <w:rFonts w:cs="Arial"/>
          <w:b w:val="0"/>
          <w:sz w:val="22"/>
          <w:szCs w:val="22"/>
        </w:rPr>
      </w:pPr>
      <w:r w:rsidRPr="00F93849">
        <w:rPr>
          <w:rStyle w:val="Heading1Char"/>
          <w:rFonts w:cs="Arial"/>
          <w:b w:val="0"/>
          <w:sz w:val="22"/>
          <w:szCs w:val="22"/>
        </w:rPr>
        <w:t>The information provided in this document can only assist you in the most general way. This document does not replace any statutory requirements under any relevant state and territory legislation. Safe Work Australia is not liable for any loss resulting from any action taken or reliance made by you on the information or material contained on this document. Before relying on the material, users should carefully make their own assessment as to its accuracy, currency, completeness and relevance for their purposes, and should obtain any appropriate professional advice relevant to their particular circumstances. The views in this report should not be taken to represent the views of Safe Work Australia unless otherwise expressly stated.</w:t>
      </w:r>
    </w:p>
    <w:p w:rsidR="00F93849" w:rsidRDefault="00F93849" w:rsidP="00F93849">
      <w:pPr>
        <w:rPr>
          <w:rStyle w:val="Heading1Char"/>
          <w:rFonts w:cs="Arial"/>
          <w:b w:val="0"/>
          <w:szCs w:val="22"/>
        </w:rPr>
      </w:pPr>
    </w:p>
    <w:p w:rsidR="00F93849" w:rsidRDefault="00F93849" w:rsidP="00F93849">
      <w:pPr>
        <w:pStyle w:val="Heading1"/>
      </w:pPr>
      <w:r w:rsidRPr="007B3FAC">
        <w:t>Creative Commons</w:t>
      </w:r>
    </w:p>
    <w:p w:rsidR="00F93849" w:rsidRPr="007B3FAC" w:rsidRDefault="00F93849" w:rsidP="00F93849">
      <w:r>
        <w:rPr>
          <w:noProof/>
        </w:rPr>
        <w:drawing>
          <wp:inline distT="0" distB="0" distL="0" distR="0">
            <wp:extent cx="1527048" cy="534924"/>
            <wp:effectExtent l="19050" t="0" r="0" b="0"/>
            <wp:docPr id="2" name="Picture 0" descr="b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jpg"/>
                    <pic:cNvPicPr/>
                  </pic:nvPicPr>
                  <pic:blipFill>
                    <a:blip r:embed="rId8" cstate="print"/>
                    <a:stretch>
                      <a:fillRect/>
                    </a:stretch>
                  </pic:blipFill>
                  <pic:spPr>
                    <a:xfrm>
                      <a:off x="0" y="0"/>
                      <a:ext cx="1527048" cy="534924"/>
                    </a:xfrm>
                    <a:prstGeom prst="rect">
                      <a:avLst/>
                    </a:prstGeom>
                  </pic:spPr>
                </pic:pic>
              </a:graphicData>
            </a:graphic>
          </wp:inline>
        </w:drawing>
      </w:r>
    </w:p>
    <w:p w:rsidR="00F93849" w:rsidRPr="007B3FAC" w:rsidRDefault="00F93849" w:rsidP="00F93849">
      <w:pPr>
        <w:pStyle w:val="Heading1"/>
        <w:rPr>
          <w:b w:val="0"/>
        </w:rPr>
      </w:pPr>
      <w:r w:rsidRPr="007B3FAC">
        <w:rPr>
          <w:b w:val="0"/>
          <w:sz w:val="22"/>
          <w:szCs w:val="22"/>
        </w:rPr>
        <w:t xml:space="preserve">With the exception of the Safe Work Australia logo, this report is licensed by Safe Work Australia under a Creative Commons 3.0 Australia Licence. To view a copy of this licence, visit </w:t>
      </w:r>
      <w:r w:rsidRPr="007B3FAC">
        <w:rPr>
          <w:b w:val="0"/>
          <w:color w:val="0000FF"/>
          <w:sz w:val="22"/>
          <w:szCs w:val="22"/>
        </w:rPr>
        <w:t xml:space="preserve">http://creativecommons.org/licenses/by/3.0/au/deed.en </w:t>
      </w:r>
    </w:p>
    <w:p w:rsidR="00F93849" w:rsidRPr="00F93849" w:rsidRDefault="00F93849" w:rsidP="00F93849">
      <w:pPr>
        <w:pStyle w:val="Title"/>
        <w:jc w:val="left"/>
        <w:rPr>
          <w:b w:val="0"/>
          <w:sz w:val="22"/>
          <w:szCs w:val="22"/>
        </w:rPr>
      </w:pPr>
      <w:r w:rsidRPr="00F93849">
        <w:rPr>
          <w:b w:val="0"/>
          <w:sz w:val="22"/>
          <w:szCs w:val="22"/>
        </w:rPr>
        <w:t xml:space="preserve">In essence, you are free to copy, communicate and adapt the work, as long as you attribute the work to Safe Work Australia and abide by the other licensing terms. The report should be attributed as the </w:t>
      </w:r>
      <w:r w:rsidRPr="00F93849">
        <w:rPr>
          <w:b w:val="0"/>
          <w:sz w:val="22"/>
          <w:szCs w:val="22"/>
          <w:lang w:val="en-AU"/>
        </w:rPr>
        <w:t>Occupational Contact Dermatitis: A review of 18 years of data from an occupational dermatology clinic in Australia</w:t>
      </w:r>
      <w:r>
        <w:rPr>
          <w:b w:val="0"/>
          <w:sz w:val="22"/>
          <w:szCs w:val="22"/>
          <w:lang w:val="en-AU"/>
        </w:rPr>
        <w:t>.</w:t>
      </w:r>
    </w:p>
    <w:p w:rsidR="00F93849" w:rsidRDefault="00F93849" w:rsidP="00F93849">
      <w:pPr>
        <w:pStyle w:val="Default"/>
        <w:rPr>
          <w:sz w:val="22"/>
          <w:szCs w:val="22"/>
        </w:rPr>
      </w:pPr>
    </w:p>
    <w:p w:rsidR="00F93849" w:rsidRDefault="00F93849" w:rsidP="00F93849">
      <w:pPr>
        <w:pStyle w:val="Default"/>
        <w:rPr>
          <w:sz w:val="22"/>
          <w:szCs w:val="22"/>
        </w:rPr>
      </w:pPr>
      <w:r>
        <w:rPr>
          <w:sz w:val="22"/>
          <w:szCs w:val="22"/>
        </w:rPr>
        <w:t xml:space="preserve">Enquiries regarding the licence and any use of the report are welcome at: </w:t>
      </w:r>
    </w:p>
    <w:p w:rsidR="00F93849" w:rsidRDefault="00F93849" w:rsidP="00F93849">
      <w:pPr>
        <w:pStyle w:val="Default"/>
        <w:rPr>
          <w:sz w:val="22"/>
          <w:szCs w:val="22"/>
        </w:rPr>
      </w:pPr>
    </w:p>
    <w:p w:rsidR="00F93849" w:rsidRDefault="00F93849" w:rsidP="00F93849">
      <w:pPr>
        <w:pStyle w:val="Default"/>
        <w:rPr>
          <w:sz w:val="22"/>
          <w:szCs w:val="22"/>
        </w:rPr>
      </w:pPr>
      <w:r>
        <w:rPr>
          <w:sz w:val="22"/>
          <w:szCs w:val="22"/>
        </w:rPr>
        <w:t xml:space="preserve">Copyright Officer </w:t>
      </w:r>
    </w:p>
    <w:p w:rsidR="00F93849" w:rsidRDefault="00F93849" w:rsidP="00F93849">
      <w:pPr>
        <w:pStyle w:val="Default"/>
        <w:rPr>
          <w:sz w:val="22"/>
          <w:szCs w:val="22"/>
        </w:rPr>
      </w:pPr>
      <w:r>
        <w:rPr>
          <w:sz w:val="22"/>
          <w:szCs w:val="22"/>
        </w:rPr>
        <w:t xml:space="preserve">Communications, IT and Knowledge Management </w:t>
      </w:r>
    </w:p>
    <w:p w:rsidR="00F93849" w:rsidRDefault="00F93849" w:rsidP="00F93849">
      <w:pPr>
        <w:pStyle w:val="Default"/>
        <w:rPr>
          <w:sz w:val="22"/>
          <w:szCs w:val="22"/>
        </w:rPr>
      </w:pPr>
      <w:r>
        <w:rPr>
          <w:sz w:val="22"/>
          <w:szCs w:val="22"/>
        </w:rPr>
        <w:t xml:space="preserve">Safe Work Australia </w:t>
      </w:r>
    </w:p>
    <w:p w:rsidR="00F93849" w:rsidRDefault="00F93849" w:rsidP="00F93849">
      <w:pPr>
        <w:pStyle w:val="Default"/>
        <w:rPr>
          <w:sz w:val="22"/>
          <w:szCs w:val="22"/>
        </w:rPr>
      </w:pPr>
      <w:r>
        <w:rPr>
          <w:sz w:val="22"/>
          <w:szCs w:val="22"/>
        </w:rPr>
        <w:t xml:space="preserve">GPO Box 641 Canberra ACT 2601 </w:t>
      </w:r>
    </w:p>
    <w:p w:rsidR="00F93849" w:rsidRDefault="00F93849" w:rsidP="00F93849">
      <w:pPr>
        <w:pStyle w:val="Default"/>
        <w:rPr>
          <w:sz w:val="22"/>
          <w:szCs w:val="22"/>
        </w:rPr>
      </w:pPr>
      <w:r>
        <w:rPr>
          <w:sz w:val="22"/>
          <w:szCs w:val="22"/>
        </w:rPr>
        <w:t xml:space="preserve">Email: </w:t>
      </w:r>
      <w:r>
        <w:rPr>
          <w:color w:val="0000FF"/>
          <w:sz w:val="22"/>
          <w:szCs w:val="22"/>
        </w:rPr>
        <w:t xml:space="preserve">copyrightrequests@safeworkaustralia.gov.au </w:t>
      </w:r>
    </w:p>
    <w:p w:rsidR="00F93849" w:rsidRDefault="00F93849" w:rsidP="00F93849">
      <w:pPr>
        <w:pStyle w:val="Default"/>
        <w:rPr>
          <w:sz w:val="22"/>
          <w:szCs w:val="22"/>
        </w:rPr>
      </w:pPr>
    </w:p>
    <w:p w:rsidR="00F93849" w:rsidRDefault="00F93849" w:rsidP="00F93849">
      <w:r>
        <w:t>978-0-642-33333-9 [PDF]</w:t>
      </w:r>
    </w:p>
    <w:p w:rsidR="00F93849" w:rsidRDefault="00F93849" w:rsidP="00F93849">
      <w:r>
        <w:t>978-0-642-33334-6 [RTF]</w:t>
      </w:r>
    </w:p>
    <w:p w:rsidR="00ED0AFE" w:rsidRPr="008A1679" w:rsidRDefault="00ED0AFE" w:rsidP="00656BAE">
      <w:pPr>
        <w:sectPr w:rsidR="00ED0AFE" w:rsidRPr="008A1679" w:rsidSect="00ED0AFE">
          <w:headerReference w:type="default" r:id="rId9"/>
          <w:pgSz w:w="11907" w:h="16840" w:code="9"/>
          <w:pgMar w:top="1440" w:right="1440" w:bottom="1440" w:left="1440" w:header="709" w:footer="709" w:gutter="0"/>
          <w:pgNumType w:fmt="lowerRoman"/>
          <w:cols w:space="708"/>
          <w:docGrid w:linePitch="360"/>
        </w:sectPr>
      </w:pPr>
    </w:p>
    <w:p w:rsidR="00656BAE" w:rsidRPr="008A1679" w:rsidRDefault="00940916" w:rsidP="000970CE">
      <w:pPr>
        <w:pStyle w:val="Heading1"/>
      </w:pPr>
      <w:bookmarkStart w:id="0" w:name="_Toc310506113"/>
      <w:r w:rsidRPr="008A1679">
        <w:lastRenderedPageBreak/>
        <w:t>Foreword</w:t>
      </w:r>
      <w:bookmarkEnd w:id="0"/>
    </w:p>
    <w:p w:rsidR="00940916" w:rsidRPr="008A1679" w:rsidRDefault="00D452FD" w:rsidP="00940916">
      <w:r w:rsidRPr="008A1679">
        <w:t xml:space="preserve">Safe Work Australia is an Australian Government statutory </w:t>
      </w:r>
      <w:r w:rsidR="00203869">
        <w:t>body</w:t>
      </w:r>
      <w:r w:rsidRPr="008A1679">
        <w:t>, established in 2009, with the primary responsibility to improve work health and safety and workers’ compensation arrangements across Australia. One of</w:t>
      </w:r>
      <w:r w:rsidR="00203869">
        <w:t xml:space="preserve"> Safe Work Australia’s </w:t>
      </w:r>
      <w:r w:rsidRPr="008A1679">
        <w:t xml:space="preserve">main strategic goals is to achieve significant and continual reductions in work-related death, injury and disease. To this end Safe Work Australia undertakes research aimed at understanding the extent and causes of </w:t>
      </w:r>
      <w:r w:rsidR="00FA25D7" w:rsidRPr="008A1679">
        <w:t xml:space="preserve">occupational disease in Australia. This research is designed and used to inform the development of work health and safety policy. </w:t>
      </w:r>
    </w:p>
    <w:p w:rsidR="00FD7881" w:rsidRPr="008A1679" w:rsidRDefault="00FA25D7" w:rsidP="00940916">
      <w:r w:rsidRPr="008A1679">
        <w:t xml:space="preserve">Occupational </w:t>
      </w:r>
      <w:r w:rsidR="008949F0" w:rsidRPr="008A1679">
        <w:t>contact dermatitis</w:t>
      </w:r>
      <w:r w:rsidRPr="008A1679">
        <w:t xml:space="preserve"> was identified as a priority occupational disease under the National </w:t>
      </w:r>
      <w:r w:rsidR="00203869">
        <w:t xml:space="preserve">Occupational Health and Safety </w:t>
      </w:r>
      <w:r w:rsidRPr="008A1679">
        <w:t>Strategy 2002-2012</w:t>
      </w:r>
      <w:r w:rsidR="00B45C0D" w:rsidRPr="008A1679">
        <w:rPr>
          <w:rStyle w:val="FootnoteReference"/>
        </w:rPr>
        <w:footnoteReference w:id="1"/>
      </w:r>
      <w:r w:rsidRPr="008A1679">
        <w:t xml:space="preserve">. </w:t>
      </w:r>
      <w:r w:rsidR="008949F0" w:rsidRPr="008A1679">
        <w:t>It accounts for the majority of cases of occupational skin disease</w:t>
      </w:r>
      <w:r w:rsidR="00111C25" w:rsidRPr="008A1679">
        <w:t xml:space="preserve"> and is one of the most common work-related problems presenting to general practitioners in Australia. Despite this, Australia has inadequate information on the prevalence of occupational skin disease, which workers are affected and the causative or contributing agents to this disease in Australian workplaces. Therefore, i</w:t>
      </w:r>
      <w:r w:rsidRPr="008A1679">
        <w:t xml:space="preserve">n line with the </w:t>
      </w:r>
      <w:r w:rsidR="00111C25" w:rsidRPr="008A1679">
        <w:t>National St</w:t>
      </w:r>
      <w:r w:rsidRPr="008A1679">
        <w:t xml:space="preserve">rategy, Safe Work Australia </w:t>
      </w:r>
      <w:r w:rsidR="00201C45" w:rsidRPr="008A1679">
        <w:t xml:space="preserve">and its </w:t>
      </w:r>
      <w:r w:rsidR="00187C7D" w:rsidRPr="008A1679">
        <w:t>predecessors</w:t>
      </w:r>
      <w:r w:rsidR="00201C45" w:rsidRPr="008A1679">
        <w:t xml:space="preserve"> </w:t>
      </w:r>
      <w:r w:rsidRPr="008A1679">
        <w:t>ha</w:t>
      </w:r>
      <w:r w:rsidR="00187C7D" w:rsidRPr="008A1679">
        <w:t>ve</w:t>
      </w:r>
      <w:r w:rsidRPr="008A1679">
        <w:t xml:space="preserve"> conducted a range of research</w:t>
      </w:r>
      <w:r w:rsidR="00201C45" w:rsidRPr="008A1679">
        <w:t xml:space="preserve"> projects</w:t>
      </w:r>
      <w:r w:rsidRPr="008A1679">
        <w:t xml:space="preserve"> relating to </w:t>
      </w:r>
      <w:r w:rsidR="008949F0" w:rsidRPr="008A1679">
        <w:t xml:space="preserve">contact dermatitis and other </w:t>
      </w:r>
      <w:r w:rsidRPr="008A1679">
        <w:t>occupational skin disease</w:t>
      </w:r>
      <w:r w:rsidR="008949F0" w:rsidRPr="008A1679">
        <w:t>s</w:t>
      </w:r>
      <w:r w:rsidRPr="008A1679">
        <w:t>. Th</w:t>
      </w:r>
      <w:r w:rsidR="00187C7D" w:rsidRPr="008A1679">
        <w:t>e</w:t>
      </w:r>
      <w:r w:rsidRPr="008A1679">
        <w:t>s</w:t>
      </w:r>
      <w:r w:rsidR="00187C7D" w:rsidRPr="008A1679">
        <w:t>e include</w:t>
      </w:r>
      <w:r w:rsidRPr="008A1679">
        <w:t xml:space="preserve"> national surveillance of </w:t>
      </w:r>
      <w:r w:rsidR="00FD7881" w:rsidRPr="008A1679">
        <w:t xml:space="preserve">worker exposures to wet work and chemicals, both major causes </w:t>
      </w:r>
      <w:r w:rsidR="00F15CF3" w:rsidRPr="008A1679">
        <w:t xml:space="preserve">of </w:t>
      </w:r>
      <w:r w:rsidR="00FD7881" w:rsidRPr="008A1679">
        <w:t>and contributors to occupational skin disease</w:t>
      </w:r>
      <w:r w:rsidR="00201C45" w:rsidRPr="008A1679">
        <w:rPr>
          <w:rStyle w:val="FootnoteReference"/>
        </w:rPr>
        <w:footnoteReference w:id="2"/>
      </w:r>
      <w:r w:rsidR="00FD7881" w:rsidRPr="008A1679">
        <w:t xml:space="preserve">. </w:t>
      </w:r>
    </w:p>
    <w:p w:rsidR="00FD7881" w:rsidRPr="008A1679" w:rsidRDefault="00FD7881" w:rsidP="00940916">
      <w:pPr>
        <w:rPr>
          <w:rFonts w:cs="Arial"/>
        </w:rPr>
      </w:pPr>
      <w:r w:rsidRPr="008A1679">
        <w:t xml:space="preserve">In addition, Safe Work Australia has contributed funding to the development of </w:t>
      </w:r>
      <w:r w:rsidR="00F15CF3" w:rsidRPr="008A1679">
        <w:t>Australia’s first</w:t>
      </w:r>
      <w:r w:rsidRPr="008A1679">
        <w:t xml:space="preserve"> occupational skin disease database through the work of Asso</w:t>
      </w:r>
      <w:r w:rsidR="00B45C0D" w:rsidRPr="008A1679">
        <w:t xml:space="preserve">ciate Professor Rosemary Nixon of the </w:t>
      </w:r>
      <w:r w:rsidRPr="008A1679">
        <w:rPr>
          <w:rFonts w:cs="Arial"/>
        </w:rPr>
        <w:t xml:space="preserve">Occupational Dermatology Research and Education Centre. This database will collate data from patch testing clinics around Australia, including </w:t>
      </w:r>
      <w:r w:rsidR="00F15CF3" w:rsidRPr="008A1679">
        <w:rPr>
          <w:rFonts w:cs="Arial"/>
        </w:rPr>
        <w:t xml:space="preserve">demographic and employment </w:t>
      </w:r>
      <w:r w:rsidRPr="008A1679">
        <w:rPr>
          <w:rFonts w:cs="Arial"/>
        </w:rPr>
        <w:t xml:space="preserve">information </w:t>
      </w:r>
      <w:r w:rsidR="00F15CF3" w:rsidRPr="008A1679">
        <w:rPr>
          <w:rFonts w:cs="Arial"/>
        </w:rPr>
        <w:t>about workers</w:t>
      </w:r>
      <w:r w:rsidRPr="008A1679">
        <w:rPr>
          <w:rFonts w:cs="Arial"/>
        </w:rPr>
        <w:t xml:space="preserve"> and the allergens and irritants associated with occupational skin disease. The information provided by this database will inform policy makers on the main substances involved in occupational skin disease</w:t>
      </w:r>
      <w:r w:rsidR="008949F0" w:rsidRPr="008A1679">
        <w:rPr>
          <w:rFonts w:cs="Arial"/>
        </w:rPr>
        <w:t>s</w:t>
      </w:r>
      <w:r w:rsidRPr="008A1679">
        <w:rPr>
          <w:rFonts w:cs="Arial"/>
        </w:rPr>
        <w:t>, the groups of workers who are typically affected and any changes in these factors over time.</w:t>
      </w:r>
    </w:p>
    <w:p w:rsidR="00FA25D7" w:rsidRPr="008A1679" w:rsidRDefault="00FD7881" w:rsidP="00940916">
      <w:r w:rsidRPr="008A1679">
        <w:rPr>
          <w:rFonts w:cs="Arial"/>
        </w:rPr>
        <w:t>This report</w:t>
      </w:r>
      <w:r w:rsidR="00A11605" w:rsidRPr="008A1679">
        <w:rPr>
          <w:rFonts w:cs="Arial"/>
        </w:rPr>
        <w:t xml:space="preserve">, </w:t>
      </w:r>
      <w:r w:rsidR="00F15CF3" w:rsidRPr="008A1679">
        <w:rPr>
          <w:rFonts w:cs="Arial"/>
        </w:rPr>
        <w:t>the first from</w:t>
      </w:r>
      <w:r w:rsidR="00B45C0D" w:rsidRPr="008A1679">
        <w:rPr>
          <w:rFonts w:cs="Arial"/>
        </w:rPr>
        <w:t xml:space="preserve"> the</w:t>
      </w:r>
      <w:r w:rsidR="00F15CF3" w:rsidRPr="008A1679">
        <w:rPr>
          <w:rFonts w:cs="Arial"/>
        </w:rPr>
        <w:t xml:space="preserve"> occupational skin disease database</w:t>
      </w:r>
      <w:r w:rsidR="000C1246" w:rsidRPr="008A1679">
        <w:rPr>
          <w:rFonts w:cs="Arial"/>
        </w:rPr>
        <w:t xml:space="preserve">, </w:t>
      </w:r>
      <w:r w:rsidR="00F15CF3" w:rsidRPr="008A1679">
        <w:rPr>
          <w:rFonts w:cs="Arial"/>
        </w:rPr>
        <w:t>can be considered</w:t>
      </w:r>
      <w:r w:rsidRPr="008A1679">
        <w:rPr>
          <w:rFonts w:cs="Arial"/>
        </w:rPr>
        <w:t xml:space="preserve"> </w:t>
      </w:r>
      <w:r w:rsidR="000C1246" w:rsidRPr="008A1679">
        <w:rPr>
          <w:rFonts w:cs="Arial"/>
        </w:rPr>
        <w:t>a preliminary description of</w:t>
      </w:r>
      <w:r w:rsidRPr="008A1679">
        <w:rPr>
          <w:rFonts w:cs="Arial"/>
        </w:rPr>
        <w:t xml:space="preserve"> the working population and substances associated with occupational skin disease in Australia. It consists of an analysis of 18 years of patch testing data from a </w:t>
      </w:r>
      <w:r w:rsidR="00F15CF3" w:rsidRPr="008A1679">
        <w:rPr>
          <w:rFonts w:cs="Arial"/>
        </w:rPr>
        <w:t xml:space="preserve">Victorian </w:t>
      </w:r>
      <w:r w:rsidRPr="008A1679">
        <w:rPr>
          <w:rFonts w:cs="Arial"/>
        </w:rPr>
        <w:t>tertiary referral clinic</w:t>
      </w:r>
      <w:r w:rsidR="008949F0" w:rsidRPr="008A1679">
        <w:rPr>
          <w:rFonts w:cs="Arial"/>
        </w:rPr>
        <w:t xml:space="preserve"> that s</w:t>
      </w:r>
      <w:r w:rsidRPr="008A1679">
        <w:rPr>
          <w:rFonts w:cs="Arial"/>
        </w:rPr>
        <w:t>pecialis</w:t>
      </w:r>
      <w:r w:rsidR="008949F0" w:rsidRPr="008A1679">
        <w:rPr>
          <w:rFonts w:cs="Arial"/>
        </w:rPr>
        <w:t>es</w:t>
      </w:r>
      <w:r w:rsidRPr="008A1679">
        <w:rPr>
          <w:rFonts w:cs="Arial"/>
        </w:rPr>
        <w:t xml:space="preserve"> in occupational skin disease</w:t>
      </w:r>
      <w:r w:rsidR="00F15CF3" w:rsidRPr="008A1679">
        <w:rPr>
          <w:rFonts w:cs="Arial"/>
        </w:rPr>
        <w:t>.</w:t>
      </w:r>
      <w:r w:rsidRPr="008A1679">
        <w:rPr>
          <w:rFonts w:cs="Arial"/>
        </w:rPr>
        <w:t xml:space="preserve"> </w:t>
      </w:r>
      <w:r w:rsidR="00A11605" w:rsidRPr="008A1679">
        <w:rPr>
          <w:rFonts w:cs="Arial"/>
        </w:rPr>
        <w:t xml:space="preserve">The report </w:t>
      </w:r>
      <w:r w:rsidR="00F15CF3" w:rsidRPr="008A1679">
        <w:rPr>
          <w:rFonts w:cs="Arial"/>
        </w:rPr>
        <w:t>describes patterns in the diagnosis of occupational skin diseases, examines the demographic and employment characteristics of workers with occupational skin disease and estimates the relative rates of occupational skin disease among Victorian workers. The report also lists the main allergens and irritants associated with occupational skin disease</w:t>
      </w:r>
      <w:r w:rsidR="00B45C0D" w:rsidRPr="008A1679">
        <w:rPr>
          <w:rFonts w:cs="Arial"/>
        </w:rPr>
        <w:t xml:space="preserve"> in the Victorian workforce context</w:t>
      </w:r>
      <w:r w:rsidR="00F15CF3" w:rsidRPr="008A1679">
        <w:rPr>
          <w:rFonts w:cs="Arial"/>
        </w:rPr>
        <w:t xml:space="preserve">. The findings of the analysis of these data are discussed with reference to international studies and literature. </w:t>
      </w:r>
    </w:p>
    <w:p w:rsidR="00656BAE" w:rsidRPr="008A1679" w:rsidRDefault="00656BAE" w:rsidP="00656BAE">
      <w:r w:rsidRPr="008A1679">
        <w:br w:type="page"/>
      </w:r>
    </w:p>
    <w:p w:rsidR="00656BAE" w:rsidRPr="008A1679" w:rsidRDefault="00656BAE" w:rsidP="00A50C72">
      <w:pPr>
        <w:spacing w:line="360" w:lineRule="auto"/>
        <w:jc w:val="center"/>
        <w:rPr>
          <w:rFonts w:cs="Arial"/>
          <w:b/>
          <w:sz w:val="28"/>
          <w:szCs w:val="28"/>
        </w:rPr>
      </w:pPr>
    </w:p>
    <w:p w:rsidR="00940916" w:rsidRPr="008A1679" w:rsidRDefault="00656BAE">
      <w:pPr>
        <w:rPr>
          <w:rFonts w:cs="Arial"/>
          <w:b/>
          <w:sz w:val="28"/>
          <w:szCs w:val="28"/>
        </w:rPr>
      </w:pPr>
      <w:r w:rsidRPr="008A1679">
        <w:rPr>
          <w:rFonts w:cs="Arial"/>
          <w:b/>
          <w:sz w:val="28"/>
          <w:szCs w:val="28"/>
        </w:rPr>
        <w:br w:type="page"/>
      </w:r>
    </w:p>
    <w:p w:rsidR="00940916" w:rsidRPr="008A1679" w:rsidRDefault="00940916" w:rsidP="004454FE">
      <w:pPr>
        <w:pStyle w:val="Title"/>
        <w:rPr>
          <w:lang w:val="en-AU"/>
        </w:rPr>
      </w:pPr>
      <w:r w:rsidRPr="008A1679">
        <w:rPr>
          <w:lang w:val="en-AU"/>
        </w:rPr>
        <w:lastRenderedPageBreak/>
        <w:t>Table of contents</w:t>
      </w:r>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r w:rsidRPr="00B967B9">
        <w:fldChar w:fldCharType="begin"/>
      </w:r>
      <w:r w:rsidR="008D62FF" w:rsidRPr="008A1679">
        <w:instrText xml:space="preserve"> TOC \o "1-3" \h \z \u </w:instrText>
      </w:r>
      <w:r w:rsidRPr="00B967B9">
        <w:fldChar w:fldCharType="separate"/>
      </w:r>
      <w:hyperlink w:anchor="_Toc310506113" w:history="1">
        <w:r w:rsidR="00E57901" w:rsidRPr="008A1679">
          <w:rPr>
            <w:rStyle w:val="Hyperlink"/>
            <w:noProof/>
          </w:rPr>
          <w:t>Foreword</w:t>
        </w:r>
        <w:r w:rsidR="00E57901" w:rsidRPr="008A1679">
          <w:rPr>
            <w:noProof/>
            <w:webHidden/>
          </w:rPr>
          <w:tab/>
        </w:r>
        <w:r w:rsidRPr="008A1679">
          <w:rPr>
            <w:noProof/>
            <w:webHidden/>
          </w:rPr>
          <w:fldChar w:fldCharType="begin"/>
        </w:r>
        <w:r w:rsidR="00E57901" w:rsidRPr="008A1679">
          <w:rPr>
            <w:noProof/>
            <w:webHidden/>
          </w:rPr>
          <w:instrText xml:space="preserve"> PAGEREF _Toc310506113 \h </w:instrText>
        </w:r>
        <w:r w:rsidRPr="008A1679">
          <w:rPr>
            <w:noProof/>
            <w:webHidden/>
          </w:rPr>
        </w:r>
        <w:r w:rsidRPr="008A1679">
          <w:rPr>
            <w:noProof/>
            <w:webHidden/>
          </w:rPr>
          <w:fldChar w:fldCharType="separate"/>
        </w:r>
        <w:r w:rsidR="00F93849">
          <w:rPr>
            <w:noProof/>
            <w:webHidden/>
          </w:rPr>
          <w:t>i</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4" w:history="1">
        <w:r w:rsidR="00E57901" w:rsidRPr="008A1679">
          <w:rPr>
            <w:rStyle w:val="Hyperlink"/>
            <w:noProof/>
          </w:rPr>
          <w:t>List of figures</w:t>
        </w:r>
        <w:r w:rsidR="00E57901" w:rsidRPr="008A1679">
          <w:rPr>
            <w:noProof/>
            <w:webHidden/>
          </w:rPr>
          <w:tab/>
        </w:r>
        <w:r w:rsidRPr="008A1679">
          <w:rPr>
            <w:noProof/>
            <w:webHidden/>
          </w:rPr>
          <w:fldChar w:fldCharType="begin"/>
        </w:r>
        <w:r w:rsidR="00E57901" w:rsidRPr="008A1679">
          <w:rPr>
            <w:noProof/>
            <w:webHidden/>
          </w:rPr>
          <w:instrText xml:space="preserve"> PAGEREF _Toc310506114 \h </w:instrText>
        </w:r>
        <w:r w:rsidRPr="008A1679">
          <w:rPr>
            <w:noProof/>
            <w:webHidden/>
          </w:rPr>
        </w:r>
        <w:r w:rsidRPr="008A1679">
          <w:rPr>
            <w:noProof/>
            <w:webHidden/>
          </w:rPr>
          <w:fldChar w:fldCharType="separate"/>
        </w:r>
        <w:r w:rsidR="00F93849">
          <w:rPr>
            <w:noProof/>
            <w:webHidden/>
          </w:rPr>
          <w:t>iv</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5" w:history="1">
        <w:r w:rsidR="00E57901" w:rsidRPr="008A1679">
          <w:rPr>
            <w:rStyle w:val="Hyperlink"/>
            <w:noProof/>
          </w:rPr>
          <w:t>List of tables</w:t>
        </w:r>
        <w:r w:rsidR="00E57901" w:rsidRPr="008A1679">
          <w:rPr>
            <w:noProof/>
            <w:webHidden/>
          </w:rPr>
          <w:tab/>
        </w:r>
        <w:r w:rsidRPr="008A1679">
          <w:rPr>
            <w:noProof/>
            <w:webHidden/>
          </w:rPr>
          <w:fldChar w:fldCharType="begin"/>
        </w:r>
        <w:r w:rsidR="00E57901" w:rsidRPr="008A1679">
          <w:rPr>
            <w:noProof/>
            <w:webHidden/>
          </w:rPr>
          <w:instrText xml:space="preserve"> PAGEREF _Toc310506115 \h </w:instrText>
        </w:r>
        <w:r w:rsidRPr="008A1679">
          <w:rPr>
            <w:noProof/>
            <w:webHidden/>
          </w:rPr>
        </w:r>
        <w:r w:rsidRPr="008A1679">
          <w:rPr>
            <w:noProof/>
            <w:webHidden/>
          </w:rPr>
          <w:fldChar w:fldCharType="separate"/>
        </w:r>
        <w:r w:rsidR="00F93849">
          <w:rPr>
            <w:noProof/>
            <w:webHidden/>
          </w:rPr>
          <w:t>iv</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6" w:history="1">
        <w:r w:rsidR="00E57901" w:rsidRPr="008A1679">
          <w:rPr>
            <w:rStyle w:val="Hyperlink"/>
            <w:noProof/>
          </w:rPr>
          <w:t>Glossary and Acronyms</w:t>
        </w:r>
        <w:r w:rsidR="00E57901" w:rsidRPr="008A1679">
          <w:rPr>
            <w:noProof/>
            <w:webHidden/>
          </w:rPr>
          <w:tab/>
        </w:r>
        <w:r w:rsidRPr="008A1679">
          <w:rPr>
            <w:noProof/>
            <w:webHidden/>
          </w:rPr>
          <w:fldChar w:fldCharType="begin"/>
        </w:r>
        <w:r w:rsidR="00E57901" w:rsidRPr="008A1679">
          <w:rPr>
            <w:noProof/>
            <w:webHidden/>
          </w:rPr>
          <w:instrText xml:space="preserve"> PAGEREF _Toc310506116 \h </w:instrText>
        </w:r>
        <w:r w:rsidRPr="008A1679">
          <w:rPr>
            <w:noProof/>
            <w:webHidden/>
          </w:rPr>
        </w:r>
        <w:r w:rsidRPr="008A1679">
          <w:rPr>
            <w:noProof/>
            <w:webHidden/>
          </w:rPr>
          <w:fldChar w:fldCharType="separate"/>
        </w:r>
        <w:r w:rsidR="00F93849">
          <w:rPr>
            <w:noProof/>
            <w:webHidden/>
          </w:rPr>
          <w:t>v</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7" w:history="1">
        <w:r w:rsidR="00E57901" w:rsidRPr="008A1679">
          <w:rPr>
            <w:rStyle w:val="Hyperlink"/>
            <w:noProof/>
          </w:rPr>
          <w:t>Executive Summary</w:t>
        </w:r>
        <w:r w:rsidR="00E57901" w:rsidRPr="008A1679">
          <w:rPr>
            <w:noProof/>
            <w:webHidden/>
          </w:rPr>
          <w:tab/>
        </w:r>
        <w:r w:rsidRPr="008A1679">
          <w:rPr>
            <w:noProof/>
            <w:webHidden/>
          </w:rPr>
          <w:fldChar w:fldCharType="begin"/>
        </w:r>
        <w:r w:rsidR="00E57901" w:rsidRPr="008A1679">
          <w:rPr>
            <w:noProof/>
            <w:webHidden/>
          </w:rPr>
          <w:instrText xml:space="preserve"> PAGEREF _Toc310506117 \h </w:instrText>
        </w:r>
        <w:r w:rsidRPr="008A1679">
          <w:rPr>
            <w:noProof/>
            <w:webHidden/>
          </w:rPr>
        </w:r>
        <w:r w:rsidRPr="008A1679">
          <w:rPr>
            <w:noProof/>
            <w:webHidden/>
          </w:rPr>
          <w:fldChar w:fldCharType="separate"/>
        </w:r>
        <w:r w:rsidR="00F93849">
          <w:rPr>
            <w:noProof/>
            <w:webHidden/>
          </w:rPr>
          <w:t>1</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8" w:history="1">
        <w:r w:rsidR="00E57901" w:rsidRPr="008A1679">
          <w:rPr>
            <w:rStyle w:val="Hyperlink"/>
            <w:noProof/>
          </w:rPr>
          <w:t>Introduction</w:t>
        </w:r>
        <w:r w:rsidR="00E57901" w:rsidRPr="008A1679">
          <w:rPr>
            <w:noProof/>
            <w:webHidden/>
          </w:rPr>
          <w:tab/>
        </w:r>
        <w:r w:rsidRPr="008A1679">
          <w:rPr>
            <w:noProof/>
            <w:webHidden/>
          </w:rPr>
          <w:fldChar w:fldCharType="begin"/>
        </w:r>
        <w:r w:rsidR="00E57901" w:rsidRPr="008A1679">
          <w:rPr>
            <w:noProof/>
            <w:webHidden/>
          </w:rPr>
          <w:instrText xml:space="preserve"> PAGEREF _Toc310506118 \h </w:instrText>
        </w:r>
        <w:r w:rsidRPr="008A1679">
          <w:rPr>
            <w:noProof/>
            <w:webHidden/>
          </w:rPr>
        </w:r>
        <w:r w:rsidRPr="008A1679">
          <w:rPr>
            <w:noProof/>
            <w:webHidden/>
          </w:rPr>
          <w:fldChar w:fldCharType="separate"/>
        </w:r>
        <w:r w:rsidR="00F93849">
          <w:rPr>
            <w:noProof/>
            <w:webHidden/>
          </w:rPr>
          <w:t>3</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19" w:history="1">
        <w:r w:rsidR="00E57901" w:rsidRPr="008A1679">
          <w:rPr>
            <w:rStyle w:val="Hyperlink"/>
            <w:noProof/>
          </w:rPr>
          <w:t>Methodology</w:t>
        </w:r>
        <w:r w:rsidR="00E57901" w:rsidRPr="008A1679">
          <w:rPr>
            <w:noProof/>
            <w:webHidden/>
          </w:rPr>
          <w:tab/>
        </w:r>
        <w:r w:rsidRPr="008A1679">
          <w:rPr>
            <w:noProof/>
            <w:webHidden/>
          </w:rPr>
          <w:fldChar w:fldCharType="begin"/>
        </w:r>
        <w:r w:rsidR="00E57901" w:rsidRPr="008A1679">
          <w:rPr>
            <w:noProof/>
            <w:webHidden/>
          </w:rPr>
          <w:instrText xml:space="preserve"> PAGEREF _Toc310506119 \h </w:instrText>
        </w:r>
        <w:r w:rsidRPr="008A1679">
          <w:rPr>
            <w:noProof/>
            <w:webHidden/>
          </w:rPr>
        </w:r>
        <w:r w:rsidRPr="008A1679">
          <w:rPr>
            <w:noProof/>
            <w:webHidden/>
          </w:rPr>
          <w:fldChar w:fldCharType="separate"/>
        </w:r>
        <w:r w:rsidR="00F93849">
          <w:rPr>
            <w:noProof/>
            <w:webHidden/>
          </w:rPr>
          <w:t>3</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0" w:history="1">
        <w:r w:rsidR="00E57901" w:rsidRPr="008A1679">
          <w:rPr>
            <w:rStyle w:val="Hyperlink"/>
            <w:noProof/>
          </w:rPr>
          <w:t>Patients</w:t>
        </w:r>
        <w:r w:rsidR="00E57901" w:rsidRPr="008A1679">
          <w:rPr>
            <w:noProof/>
            <w:webHidden/>
          </w:rPr>
          <w:tab/>
        </w:r>
        <w:r w:rsidRPr="008A1679">
          <w:rPr>
            <w:noProof/>
            <w:webHidden/>
          </w:rPr>
          <w:fldChar w:fldCharType="begin"/>
        </w:r>
        <w:r w:rsidR="00E57901" w:rsidRPr="008A1679">
          <w:rPr>
            <w:noProof/>
            <w:webHidden/>
          </w:rPr>
          <w:instrText xml:space="preserve"> PAGEREF _Toc310506120 \h </w:instrText>
        </w:r>
        <w:r w:rsidRPr="008A1679">
          <w:rPr>
            <w:noProof/>
            <w:webHidden/>
          </w:rPr>
        </w:r>
        <w:r w:rsidRPr="008A1679">
          <w:rPr>
            <w:noProof/>
            <w:webHidden/>
          </w:rPr>
          <w:fldChar w:fldCharType="separate"/>
        </w:r>
        <w:r w:rsidR="00F93849">
          <w:rPr>
            <w:noProof/>
            <w:webHidden/>
          </w:rPr>
          <w:t>3</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1" w:history="1">
        <w:r w:rsidR="00E57901" w:rsidRPr="008A1679">
          <w:rPr>
            <w:rStyle w:val="Hyperlink"/>
            <w:noProof/>
          </w:rPr>
          <w:t>Patch testing and assignation of diagnoses</w:t>
        </w:r>
        <w:r w:rsidR="00E57901" w:rsidRPr="008A1679">
          <w:rPr>
            <w:noProof/>
            <w:webHidden/>
          </w:rPr>
          <w:tab/>
        </w:r>
        <w:r w:rsidRPr="008A1679">
          <w:rPr>
            <w:noProof/>
            <w:webHidden/>
          </w:rPr>
          <w:fldChar w:fldCharType="begin"/>
        </w:r>
        <w:r w:rsidR="00E57901" w:rsidRPr="008A1679">
          <w:rPr>
            <w:noProof/>
            <w:webHidden/>
          </w:rPr>
          <w:instrText xml:space="preserve"> PAGEREF _Toc310506121 \h </w:instrText>
        </w:r>
        <w:r w:rsidRPr="008A1679">
          <w:rPr>
            <w:noProof/>
            <w:webHidden/>
          </w:rPr>
        </w:r>
        <w:r w:rsidRPr="008A1679">
          <w:rPr>
            <w:noProof/>
            <w:webHidden/>
          </w:rPr>
          <w:fldChar w:fldCharType="separate"/>
        </w:r>
        <w:r w:rsidR="00F93849">
          <w:rPr>
            <w:noProof/>
            <w:webHidden/>
          </w:rPr>
          <w:t>4</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2" w:history="1">
        <w:r w:rsidR="00E57901" w:rsidRPr="008A1679">
          <w:rPr>
            <w:rStyle w:val="Hyperlink"/>
            <w:noProof/>
          </w:rPr>
          <w:t>Possible diagnoses</w:t>
        </w:r>
        <w:r w:rsidR="00E57901" w:rsidRPr="008A1679">
          <w:rPr>
            <w:noProof/>
            <w:webHidden/>
          </w:rPr>
          <w:tab/>
        </w:r>
        <w:r w:rsidRPr="008A1679">
          <w:rPr>
            <w:noProof/>
            <w:webHidden/>
          </w:rPr>
          <w:fldChar w:fldCharType="begin"/>
        </w:r>
        <w:r w:rsidR="00E57901" w:rsidRPr="008A1679">
          <w:rPr>
            <w:noProof/>
            <w:webHidden/>
          </w:rPr>
          <w:instrText xml:space="preserve"> PAGEREF _Toc310506122 \h </w:instrText>
        </w:r>
        <w:r w:rsidRPr="008A1679">
          <w:rPr>
            <w:noProof/>
            <w:webHidden/>
          </w:rPr>
        </w:r>
        <w:r w:rsidRPr="008A1679">
          <w:rPr>
            <w:noProof/>
            <w:webHidden/>
          </w:rPr>
          <w:fldChar w:fldCharType="separate"/>
        </w:r>
        <w:r w:rsidR="00F93849">
          <w:rPr>
            <w:noProof/>
            <w:webHidden/>
          </w:rPr>
          <w:t>4</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3" w:history="1">
        <w:r w:rsidR="00E57901" w:rsidRPr="008A1679">
          <w:rPr>
            <w:rStyle w:val="Hyperlink"/>
            <w:noProof/>
          </w:rPr>
          <w:t>Determination of work-relatedness</w:t>
        </w:r>
        <w:r w:rsidR="00E57901" w:rsidRPr="008A1679">
          <w:rPr>
            <w:noProof/>
            <w:webHidden/>
          </w:rPr>
          <w:tab/>
        </w:r>
        <w:r w:rsidRPr="008A1679">
          <w:rPr>
            <w:noProof/>
            <w:webHidden/>
          </w:rPr>
          <w:fldChar w:fldCharType="begin"/>
        </w:r>
        <w:r w:rsidR="00E57901" w:rsidRPr="008A1679">
          <w:rPr>
            <w:noProof/>
            <w:webHidden/>
          </w:rPr>
          <w:instrText xml:space="preserve"> PAGEREF _Toc310506123 \h </w:instrText>
        </w:r>
        <w:r w:rsidRPr="008A1679">
          <w:rPr>
            <w:noProof/>
            <w:webHidden/>
          </w:rPr>
        </w:r>
        <w:r w:rsidRPr="008A1679">
          <w:rPr>
            <w:noProof/>
            <w:webHidden/>
          </w:rPr>
          <w:fldChar w:fldCharType="separate"/>
        </w:r>
        <w:r w:rsidR="00F93849">
          <w:rPr>
            <w:noProof/>
            <w:webHidden/>
          </w:rPr>
          <w:t>5</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4" w:history="1">
        <w:r w:rsidR="00E57901" w:rsidRPr="008A1679">
          <w:rPr>
            <w:rStyle w:val="Hyperlink"/>
            <w:noProof/>
          </w:rPr>
          <w:t>Atopy</w:t>
        </w:r>
        <w:r w:rsidR="00E57901" w:rsidRPr="008A1679">
          <w:rPr>
            <w:noProof/>
            <w:webHidden/>
          </w:rPr>
          <w:tab/>
        </w:r>
        <w:r w:rsidRPr="008A1679">
          <w:rPr>
            <w:noProof/>
            <w:webHidden/>
          </w:rPr>
          <w:fldChar w:fldCharType="begin"/>
        </w:r>
        <w:r w:rsidR="00E57901" w:rsidRPr="008A1679">
          <w:rPr>
            <w:noProof/>
            <w:webHidden/>
          </w:rPr>
          <w:instrText xml:space="preserve"> PAGEREF _Toc310506124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5" w:history="1">
        <w:r w:rsidR="00E57901" w:rsidRPr="008A1679">
          <w:rPr>
            <w:rStyle w:val="Hyperlink"/>
            <w:noProof/>
          </w:rPr>
          <w:t>Classification of occupation and industry groups</w:t>
        </w:r>
        <w:r w:rsidR="00E57901" w:rsidRPr="008A1679">
          <w:rPr>
            <w:noProof/>
            <w:webHidden/>
          </w:rPr>
          <w:tab/>
        </w:r>
        <w:r w:rsidRPr="008A1679">
          <w:rPr>
            <w:noProof/>
            <w:webHidden/>
          </w:rPr>
          <w:fldChar w:fldCharType="begin"/>
        </w:r>
        <w:r w:rsidR="00E57901" w:rsidRPr="008A1679">
          <w:rPr>
            <w:noProof/>
            <w:webHidden/>
          </w:rPr>
          <w:instrText xml:space="preserve"> PAGEREF _Toc310506125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6" w:history="1">
        <w:r w:rsidR="00E57901" w:rsidRPr="008A1679">
          <w:rPr>
            <w:rStyle w:val="Hyperlink"/>
            <w:noProof/>
          </w:rPr>
          <w:t>Statistical Analysis</w:t>
        </w:r>
        <w:r w:rsidR="00E57901" w:rsidRPr="008A1679">
          <w:rPr>
            <w:noProof/>
            <w:webHidden/>
          </w:rPr>
          <w:tab/>
        </w:r>
        <w:r w:rsidRPr="008A1679">
          <w:rPr>
            <w:noProof/>
            <w:webHidden/>
          </w:rPr>
          <w:fldChar w:fldCharType="begin"/>
        </w:r>
        <w:r w:rsidR="00E57901" w:rsidRPr="008A1679">
          <w:rPr>
            <w:noProof/>
            <w:webHidden/>
          </w:rPr>
          <w:instrText xml:space="preserve"> PAGEREF _Toc310506126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27" w:history="1">
        <w:r w:rsidR="00E57901" w:rsidRPr="008A1679">
          <w:rPr>
            <w:rStyle w:val="Hyperlink"/>
            <w:noProof/>
          </w:rPr>
          <w:t>Results</w:t>
        </w:r>
        <w:r w:rsidR="00E57901" w:rsidRPr="008A1679">
          <w:rPr>
            <w:noProof/>
            <w:webHidden/>
          </w:rPr>
          <w:tab/>
        </w:r>
        <w:r w:rsidRPr="008A1679">
          <w:rPr>
            <w:noProof/>
            <w:webHidden/>
          </w:rPr>
          <w:fldChar w:fldCharType="begin"/>
        </w:r>
        <w:r w:rsidR="00E57901" w:rsidRPr="008A1679">
          <w:rPr>
            <w:noProof/>
            <w:webHidden/>
          </w:rPr>
          <w:instrText xml:space="preserve"> PAGEREF _Toc310506127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8" w:history="1">
        <w:r w:rsidR="00E57901" w:rsidRPr="008A1679">
          <w:rPr>
            <w:rStyle w:val="Hyperlink"/>
            <w:noProof/>
          </w:rPr>
          <w:t>Demographic data</w:t>
        </w:r>
        <w:r w:rsidR="00E57901" w:rsidRPr="008A1679">
          <w:rPr>
            <w:noProof/>
            <w:webHidden/>
          </w:rPr>
          <w:tab/>
        </w:r>
        <w:r w:rsidRPr="008A1679">
          <w:rPr>
            <w:noProof/>
            <w:webHidden/>
          </w:rPr>
          <w:fldChar w:fldCharType="begin"/>
        </w:r>
        <w:r w:rsidR="00E57901" w:rsidRPr="008A1679">
          <w:rPr>
            <w:noProof/>
            <w:webHidden/>
          </w:rPr>
          <w:instrText xml:space="preserve"> PAGEREF _Toc310506128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29" w:history="1">
        <w:r w:rsidR="00E57901" w:rsidRPr="008A1679">
          <w:rPr>
            <w:rStyle w:val="Hyperlink"/>
            <w:noProof/>
          </w:rPr>
          <w:t>Primary diagnosis</w:t>
        </w:r>
        <w:r w:rsidR="00E57901" w:rsidRPr="008A1679">
          <w:rPr>
            <w:noProof/>
            <w:webHidden/>
          </w:rPr>
          <w:tab/>
        </w:r>
        <w:r w:rsidRPr="008A1679">
          <w:rPr>
            <w:noProof/>
            <w:webHidden/>
          </w:rPr>
          <w:fldChar w:fldCharType="begin"/>
        </w:r>
        <w:r w:rsidR="00E57901" w:rsidRPr="008A1679">
          <w:rPr>
            <w:noProof/>
            <w:webHidden/>
          </w:rPr>
          <w:instrText xml:space="preserve"> PAGEREF _Toc310506129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0" w:history="1">
        <w:r w:rsidR="00E57901" w:rsidRPr="008A1679">
          <w:rPr>
            <w:rStyle w:val="Hyperlink"/>
            <w:noProof/>
          </w:rPr>
          <w:t>Irritant contact dermatitis</w:t>
        </w:r>
        <w:r w:rsidR="00E57901" w:rsidRPr="008A1679">
          <w:rPr>
            <w:noProof/>
            <w:webHidden/>
          </w:rPr>
          <w:tab/>
        </w:r>
        <w:r w:rsidRPr="008A1679">
          <w:rPr>
            <w:noProof/>
            <w:webHidden/>
          </w:rPr>
          <w:fldChar w:fldCharType="begin"/>
        </w:r>
        <w:r w:rsidR="00E57901" w:rsidRPr="008A1679">
          <w:rPr>
            <w:noProof/>
            <w:webHidden/>
          </w:rPr>
          <w:instrText xml:space="preserve"> PAGEREF _Toc310506130 \h </w:instrText>
        </w:r>
        <w:r w:rsidRPr="008A1679">
          <w:rPr>
            <w:noProof/>
            <w:webHidden/>
          </w:rPr>
        </w:r>
        <w:r w:rsidRPr="008A1679">
          <w:rPr>
            <w:noProof/>
            <w:webHidden/>
          </w:rPr>
          <w:fldChar w:fldCharType="separate"/>
        </w:r>
        <w:r w:rsidR="00F93849">
          <w:rPr>
            <w:noProof/>
            <w:webHidden/>
          </w:rPr>
          <w:t>6</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1" w:history="1">
        <w:r w:rsidR="00E57901" w:rsidRPr="008A1679">
          <w:rPr>
            <w:rStyle w:val="Hyperlink"/>
            <w:noProof/>
          </w:rPr>
          <w:t>Allergic contact dermatitis</w:t>
        </w:r>
        <w:r w:rsidR="00E57901" w:rsidRPr="008A1679">
          <w:rPr>
            <w:noProof/>
            <w:webHidden/>
          </w:rPr>
          <w:tab/>
        </w:r>
        <w:r w:rsidRPr="008A1679">
          <w:rPr>
            <w:noProof/>
            <w:webHidden/>
          </w:rPr>
          <w:fldChar w:fldCharType="begin"/>
        </w:r>
        <w:r w:rsidR="00E57901" w:rsidRPr="008A1679">
          <w:rPr>
            <w:noProof/>
            <w:webHidden/>
          </w:rPr>
          <w:instrText xml:space="preserve"> PAGEREF _Toc310506131 \h </w:instrText>
        </w:r>
        <w:r w:rsidRPr="008A1679">
          <w:rPr>
            <w:noProof/>
            <w:webHidden/>
          </w:rPr>
        </w:r>
        <w:r w:rsidRPr="008A1679">
          <w:rPr>
            <w:noProof/>
            <w:webHidden/>
          </w:rPr>
          <w:fldChar w:fldCharType="separate"/>
        </w:r>
        <w:r w:rsidR="00F93849">
          <w:rPr>
            <w:noProof/>
            <w:webHidden/>
          </w:rPr>
          <w:t>8</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2" w:history="1">
        <w:r w:rsidR="00E57901" w:rsidRPr="008A1679">
          <w:rPr>
            <w:rStyle w:val="Hyperlink"/>
            <w:noProof/>
          </w:rPr>
          <w:t>Occupational significance</w:t>
        </w:r>
        <w:r w:rsidR="00E57901" w:rsidRPr="008A1679">
          <w:rPr>
            <w:noProof/>
            <w:webHidden/>
          </w:rPr>
          <w:tab/>
        </w:r>
        <w:r w:rsidRPr="008A1679">
          <w:rPr>
            <w:noProof/>
            <w:webHidden/>
          </w:rPr>
          <w:fldChar w:fldCharType="begin"/>
        </w:r>
        <w:r w:rsidR="00E57901" w:rsidRPr="008A1679">
          <w:rPr>
            <w:noProof/>
            <w:webHidden/>
          </w:rPr>
          <w:instrText xml:space="preserve"> PAGEREF _Toc310506132 \h </w:instrText>
        </w:r>
        <w:r w:rsidRPr="008A1679">
          <w:rPr>
            <w:noProof/>
            <w:webHidden/>
          </w:rPr>
        </w:r>
        <w:r w:rsidRPr="008A1679">
          <w:rPr>
            <w:noProof/>
            <w:webHidden/>
          </w:rPr>
          <w:fldChar w:fldCharType="separate"/>
        </w:r>
        <w:r w:rsidR="00F93849">
          <w:rPr>
            <w:noProof/>
            <w:webHidden/>
          </w:rPr>
          <w:t>9</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3" w:history="1">
        <w:r w:rsidR="00E57901" w:rsidRPr="008A1679">
          <w:rPr>
            <w:rStyle w:val="Hyperlink"/>
            <w:noProof/>
          </w:rPr>
          <w:t>Multiple contributing factors</w:t>
        </w:r>
        <w:r w:rsidR="00E57901" w:rsidRPr="008A1679">
          <w:rPr>
            <w:noProof/>
            <w:webHidden/>
          </w:rPr>
          <w:tab/>
        </w:r>
        <w:r w:rsidRPr="008A1679">
          <w:rPr>
            <w:noProof/>
            <w:webHidden/>
          </w:rPr>
          <w:fldChar w:fldCharType="begin"/>
        </w:r>
        <w:r w:rsidR="00E57901" w:rsidRPr="008A1679">
          <w:rPr>
            <w:noProof/>
            <w:webHidden/>
          </w:rPr>
          <w:instrText xml:space="preserve"> PAGEREF _Toc310506133 \h </w:instrText>
        </w:r>
        <w:r w:rsidRPr="008A1679">
          <w:rPr>
            <w:noProof/>
            <w:webHidden/>
          </w:rPr>
        </w:r>
        <w:r w:rsidRPr="008A1679">
          <w:rPr>
            <w:noProof/>
            <w:webHidden/>
          </w:rPr>
          <w:fldChar w:fldCharType="separate"/>
        </w:r>
        <w:r w:rsidR="00F93849">
          <w:rPr>
            <w:noProof/>
            <w:webHidden/>
          </w:rPr>
          <w:t>11</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4" w:history="1">
        <w:r w:rsidR="00E57901" w:rsidRPr="008A1679">
          <w:rPr>
            <w:rStyle w:val="Hyperlink"/>
            <w:noProof/>
          </w:rPr>
          <w:t>Site of diagnosis</w:t>
        </w:r>
        <w:r w:rsidR="00E57901" w:rsidRPr="008A1679">
          <w:rPr>
            <w:noProof/>
            <w:webHidden/>
          </w:rPr>
          <w:tab/>
        </w:r>
        <w:r w:rsidRPr="008A1679">
          <w:rPr>
            <w:noProof/>
            <w:webHidden/>
          </w:rPr>
          <w:fldChar w:fldCharType="begin"/>
        </w:r>
        <w:r w:rsidR="00E57901" w:rsidRPr="008A1679">
          <w:rPr>
            <w:noProof/>
            <w:webHidden/>
          </w:rPr>
          <w:instrText xml:space="preserve"> PAGEREF _Toc310506134 \h </w:instrText>
        </w:r>
        <w:r w:rsidRPr="008A1679">
          <w:rPr>
            <w:noProof/>
            <w:webHidden/>
          </w:rPr>
        </w:r>
        <w:r w:rsidRPr="008A1679">
          <w:rPr>
            <w:noProof/>
            <w:webHidden/>
          </w:rPr>
          <w:fldChar w:fldCharType="separate"/>
        </w:r>
        <w:r w:rsidR="00F93849">
          <w:rPr>
            <w:noProof/>
            <w:webHidden/>
          </w:rPr>
          <w:t>11</w:t>
        </w:r>
        <w:r w:rsidRPr="008A1679">
          <w:rPr>
            <w:noProof/>
            <w:webHidden/>
          </w:rPr>
          <w:fldChar w:fldCharType="end"/>
        </w:r>
      </w:hyperlink>
    </w:p>
    <w:p w:rsidR="00E57901" w:rsidRPr="008A1679" w:rsidRDefault="00B967B9">
      <w:pPr>
        <w:pStyle w:val="TOC2"/>
        <w:tabs>
          <w:tab w:val="right" w:leader="dot" w:pos="9017"/>
        </w:tabs>
        <w:rPr>
          <w:rFonts w:asciiTheme="minorHAnsi" w:eastAsiaTheme="minorEastAsia" w:hAnsiTheme="minorHAnsi" w:cstheme="minorBidi"/>
          <w:noProof/>
          <w:szCs w:val="22"/>
          <w:lang w:eastAsia="en-AU"/>
        </w:rPr>
      </w:pPr>
      <w:hyperlink w:anchor="_Toc310506135" w:history="1">
        <w:r w:rsidR="00E57901" w:rsidRPr="008A1679">
          <w:rPr>
            <w:rStyle w:val="Hyperlink"/>
            <w:noProof/>
          </w:rPr>
          <w:t>Rates of occupational skin disease</w:t>
        </w:r>
        <w:r w:rsidR="00E57901" w:rsidRPr="008A1679">
          <w:rPr>
            <w:noProof/>
            <w:webHidden/>
          </w:rPr>
          <w:tab/>
        </w:r>
        <w:r w:rsidRPr="008A1679">
          <w:rPr>
            <w:noProof/>
            <w:webHidden/>
          </w:rPr>
          <w:fldChar w:fldCharType="begin"/>
        </w:r>
        <w:r w:rsidR="00E57901" w:rsidRPr="008A1679">
          <w:rPr>
            <w:noProof/>
            <w:webHidden/>
          </w:rPr>
          <w:instrText xml:space="preserve"> PAGEREF _Toc310506135 \h </w:instrText>
        </w:r>
        <w:r w:rsidRPr="008A1679">
          <w:rPr>
            <w:noProof/>
            <w:webHidden/>
          </w:rPr>
        </w:r>
        <w:r w:rsidRPr="008A1679">
          <w:rPr>
            <w:noProof/>
            <w:webHidden/>
          </w:rPr>
          <w:fldChar w:fldCharType="separate"/>
        </w:r>
        <w:r w:rsidR="00F93849">
          <w:rPr>
            <w:noProof/>
            <w:webHidden/>
          </w:rPr>
          <w:t>13</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36" w:history="1">
        <w:r w:rsidR="00E57901" w:rsidRPr="008A1679">
          <w:rPr>
            <w:rStyle w:val="Hyperlink"/>
            <w:noProof/>
          </w:rPr>
          <w:t>Discussion</w:t>
        </w:r>
        <w:r w:rsidR="00E57901" w:rsidRPr="008A1679">
          <w:rPr>
            <w:noProof/>
            <w:webHidden/>
          </w:rPr>
          <w:tab/>
        </w:r>
        <w:r w:rsidRPr="008A1679">
          <w:rPr>
            <w:noProof/>
            <w:webHidden/>
          </w:rPr>
          <w:fldChar w:fldCharType="begin"/>
        </w:r>
        <w:r w:rsidR="00E57901" w:rsidRPr="008A1679">
          <w:rPr>
            <w:noProof/>
            <w:webHidden/>
          </w:rPr>
          <w:instrText xml:space="preserve"> PAGEREF _Toc310506136 \h </w:instrText>
        </w:r>
        <w:r w:rsidRPr="008A1679">
          <w:rPr>
            <w:noProof/>
            <w:webHidden/>
          </w:rPr>
        </w:r>
        <w:r w:rsidRPr="008A1679">
          <w:rPr>
            <w:noProof/>
            <w:webHidden/>
          </w:rPr>
          <w:fldChar w:fldCharType="separate"/>
        </w:r>
        <w:r w:rsidR="00F93849">
          <w:rPr>
            <w:noProof/>
            <w:webHidden/>
          </w:rPr>
          <w:t>13</w:t>
        </w:r>
        <w:r w:rsidRPr="008A1679">
          <w:rPr>
            <w:noProof/>
            <w:webHidden/>
          </w:rPr>
          <w:fldChar w:fldCharType="end"/>
        </w:r>
      </w:hyperlink>
    </w:p>
    <w:p w:rsidR="00E57901" w:rsidRPr="008A1679" w:rsidRDefault="00B967B9">
      <w:pPr>
        <w:pStyle w:val="TOC1"/>
        <w:tabs>
          <w:tab w:val="right" w:leader="dot" w:pos="9017"/>
        </w:tabs>
        <w:rPr>
          <w:rFonts w:asciiTheme="minorHAnsi" w:eastAsiaTheme="minorEastAsia" w:hAnsiTheme="minorHAnsi" w:cstheme="minorBidi"/>
          <w:noProof/>
          <w:szCs w:val="22"/>
          <w:lang w:eastAsia="en-AU"/>
        </w:rPr>
      </w:pPr>
      <w:hyperlink w:anchor="_Toc310506137" w:history="1">
        <w:r w:rsidR="00E57901" w:rsidRPr="008A1679">
          <w:rPr>
            <w:rStyle w:val="Hyperlink"/>
            <w:noProof/>
          </w:rPr>
          <w:t>References</w:t>
        </w:r>
        <w:r w:rsidR="00E57901" w:rsidRPr="008A1679">
          <w:rPr>
            <w:noProof/>
            <w:webHidden/>
          </w:rPr>
          <w:tab/>
        </w:r>
        <w:r w:rsidRPr="008A1679">
          <w:rPr>
            <w:noProof/>
            <w:webHidden/>
          </w:rPr>
          <w:fldChar w:fldCharType="begin"/>
        </w:r>
        <w:r w:rsidR="00E57901" w:rsidRPr="008A1679">
          <w:rPr>
            <w:noProof/>
            <w:webHidden/>
          </w:rPr>
          <w:instrText xml:space="preserve"> PAGEREF _Toc310506137 \h </w:instrText>
        </w:r>
        <w:r w:rsidRPr="008A1679">
          <w:rPr>
            <w:noProof/>
            <w:webHidden/>
          </w:rPr>
        </w:r>
        <w:r w:rsidRPr="008A1679">
          <w:rPr>
            <w:noProof/>
            <w:webHidden/>
          </w:rPr>
          <w:fldChar w:fldCharType="separate"/>
        </w:r>
        <w:r w:rsidR="00F93849">
          <w:rPr>
            <w:noProof/>
            <w:webHidden/>
          </w:rPr>
          <w:t>15</w:t>
        </w:r>
        <w:r w:rsidRPr="008A1679">
          <w:rPr>
            <w:noProof/>
            <w:webHidden/>
          </w:rPr>
          <w:fldChar w:fldCharType="end"/>
        </w:r>
      </w:hyperlink>
    </w:p>
    <w:p w:rsidR="00445A40" w:rsidRPr="008A1679" w:rsidRDefault="00B967B9" w:rsidP="00445A40">
      <w:r w:rsidRPr="008A1679">
        <w:fldChar w:fldCharType="end"/>
      </w:r>
    </w:p>
    <w:p w:rsidR="00940916" w:rsidRPr="008A1679" w:rsidRDefault="00940916" w:rsidP="00940916">
      <w:r w:rsidRPr="008A1679">
        <w:br w:type="page"/>
      </w:r>
    </w:p>
    <w:p w:rsidR="00090539" w:rsidRPr="008A1679" w:rsidRDefault="00090539" w:rsidP="00090539">
      <w:pPr>
        <w:pStyle w:val="Heading1"/>
      </w:pPr>
      <w:bookmarkStart w:id="1" w:name="_Toc310506114"/>
      <w:r w:rsidRPr="008A1679">
        <w:lastRenderedPageBreak/>
        <w:t>List of figures</w:t>
      </w:r>
      <w:bookmarkEnd w:id="1"/>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r w:rsidRPr="00B967B9">
        <w:rPr>
          <w:rFonts w:asciiTheme="minorHAnsi" w:hAnsiTheme="minorHAnsi"/>
          <w:b/>
          <w:bCs w:val="0"/>
          <w:sz w:val="20"/>
        </w:rPr>
        <w:fldChar w:fldCharType="begin"/>
      </w:r>
      <w:r w:rsidR="00090539" w:rsidRPr="008A1679">
        <w:rPr>
          <w:rFonts w:asciiTheme="minorHAnsi" w:hAnsiTheme="minorHAnsi"/>
          <w:b/>
          <w:bCs w:val="0"/>
          <w:sz w:val="20"/>
        </w:rPr>
        <w:instrText xml:space="preserve"> TOC \h \z \c "Figure" </w:instrText>
      </w:r>
      <w:r w:rsidRPr="00B967B9">
        <w:rPr>
          <w:rFonts w:asciiTheme="minorHAnsi" w:hAnsiTheme="minorHAnsi"/>
          <w:b/>
          <w:bCs w:val="0"/>
          <w:sz w:val="20"/>
        </w:rPr>
        <w:fldChar w:fldCharType="separate"/>
      </w:r>
      <w:hyperlink w:anchor="_Toc310506138" w:history="1">
        <w:r w:rsidR="00E57901" w:rsidRPr="008A1679">
          <w:rPr>
            <w:rStyle w:val="Hyperlink"/>
            <w:noProof/>
          </w:rPr>
          <w:t>Figure 1 The clinic algorithm for understanding the diagnostic process for skin conditions</w:t>
        </w:r>
        <w:r w:rsidR="00E57901" w:rsidRPr="008A1679">
          <w:rPr>
            <w:noProof/>
            <w:webHidden/>
          </w:rPr>
          <w:tab/>
        </w:r>
        <w:r w:rsidRPr="008A1679">
          <w:rPr>
            <w:noProof/>
            <w:webHidden/>
          </w:rPr>
          <w:fldChar w:fldCharType="begin"/>
        </w:r>
        <w:r w:rsidR="00E57901" w:rsidRPr="008A1679">
          <w:rPr>
            <w:noProof/>
            <w:webHidden/>
          </w:rPr>
          <w:instrText xml:space="preserve"> PAGEREF _Toc310506138 \h </w:instrText>
        </w:r>
        <w:r w:rsidRPr="008A1679">
          <w:rPr>
            <w:noProof/>
            <w:webHidden/>
          </w:rPr>
        </w:r>
        <w:r w:rsidRPr="008A1679">
          <w:rPr>
            <w:noProof/>
            <w:webHidden/>
          </w:rPr>
          <w:fldChar w:fldCharType="separate"/>
        </w:r>
        <w:r w:rsidR="005406BD" w:rsidRPr="008A1679">
          <w:rPr>
            <w:noProof/>
            <w:webHidden/>
          </w:rPr>
          <w:t>5</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39" w:history="1">
        <w:r w:rsidR="00E57901" w:rsidRPr="008A1679">
          <w:rPr>
            <w:rStyle w:val="Hyperlink"/>
            <w:noProof/>
          </w:rPr>
          <w:t>Figure 2 The total number of positive responses and the number of positive, occupationally relevant responses to the most common allergens as determined by patch testing</w:t>
        </w:r>
        <w:r w:rsidR="00E57901" w:rsidRPr="008A1679">
          <w:rPr>
            <w:noProof/>
            <w:webHidden/>
          </w:rPr>
          <w:tab/>
        </w:r>
        <w:r w:rsidRPr="008A1679">
          <w:rPr>
            <w:noProof/>
            <w:webHidden/>
          </w:rPr>
          <w:fldChar w:fldCharType="begin"/>
        </w:r>
        <w:r w:rsidR="00E57901" w:rsidRPr="008A1679">
          <w:rPr>
            <w:noProof/>
            <w:webHidden/>
          </w:rPr>
          <w:instrText xml:space="preserve"> PAGEREF _Toc310506139 \h </w:instrText>
        </w:r>
        <w:r w:rsidRPr="008A1679">
          <w:rPr>
            <w:noProof/>
            <w:webHidden/>
          </w:rPr>
        </w:r>
        <w:r w:rsidRPr="008A1679">
          <w:rPr>
            <w:noProof/>
            <w:webHidden/>
          </w:rPr>
          <w:fldChar w:fldCharType="separate"/>
        </w:r>
        <w:r w:rsidR="005406BD" w:rsidRPr="008A1679">
          <w:rPr>
            <w:noProof/>
            <w:webHidden/>
          </w:rPr>
          <w:t>9</w:t>
        </w:r>
        <w:r w:rsidRPr="008A1679">
          <w:rPr>
            <w:noProof/>
            <w:webHidden/>
          </w:rPr>
          <w:fldChar w:fldCharType="end"/>
        </w:r>
      </w:hyperlink>
    </w:p>
    <w:p w:rsidR="00090539" w:rsidRPr="008A1679" w:rsidRDefault="00B967B9" w:rsidP="00090539">
      <w:r w:rsidRPr="008A1679">
        <w:fldChar w:fldCharType="end"/>
      </w:r>
    </w:p>
    <w:p w:rsidR="00090539" w:rsidRPr="008A1679" w:rsidRDefault="00090539" w:rsidP="00090539">
      <w:pPr>
        <w:pStyle w:val="Heading1"/>
      </w:pPr>
      <w:bookmarkStart w:id="2" w:name="_Toc310506115"/>
      <w:r w:rsidRPr="008A1679">
        <w:t>List of tables</w:t>
      </w:r>
      <w:bookmarkEnd w:id="2"/>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r w:rsidRPr="00B967B9">
        <w:fldChar w:fldCharType="begin"/>
      </w:r>
      <w:r w:rsidR="00090539" w:rsidRPr="008A1679">
        <w:instrText xml:space="preserve"> TOC \h \z \c "Table" </w:instrText>
      </w:r>
      <w:r w:rsidRPr="00B967B9">
        <w:fldChar w:fldCharType="separate"/>
      </w:r>
      <w:hyperlink w:anchor="_Toc310506140" w:history="1">
        <w:r w:rsidR="00E57901" w:rsidRPr="008A1679">
          <w:rPr>
            <w:rStyle w:val="Hyperlink"/>
            <w:noProof/>
          </w:rPr>
          <w:t>Table 1 Criteria for determining the work-relatedness of skin disease (Mathias)</w:t>
        </w:r>
        <w:r w:rsidR="00E57901" w:rsidRPr="008A1679">
          <w:rPr>
            <w:rStyle w:val="Hyperlink"/>
            <w:noProof/>
            <w:vertAlign w:val="superscript"/>
          </w:rPr>
          <w:t>10</w:t>
        </w:r>
        <w:r w:rsidR="00E57901" w:rsidRPr="008A1679">
          <w:rPr>
            <w:noProof/>
            <w:webHidden/>
          </w:rPr>
          <w:tab/>
        </w:r>
        <w:r w:rsidRPr="008A1679">
          <w:rPr>
            <w:noProof/>
            <w:webHidden/>
          </w:rPr>
          <w:fldChar w:fldCharType="begin"/>
        </w:r>
        <w:r w:rsidR="00E57901" w:rsidRPr="008A1679">
          <w:rPr>
            <w:noProof/>
            <w:webHidden/>
          </w:rPr>
          <w:instrText xml:space="preserve"> PAGEREF _Toc310506140 \h </w:instrText>
        </w:r>
        <w:r w:rsidRPr="008A1679">
          <w:rPr>
            <w:noProof/>
            <w:webHidden/>
          </w:rPr>
        </w:r>
        <w:r w:rsidRPr="008A1679">
          <w:rPr>
            <w:noProof/>
            <w:webHidden/>
          </w:rPr>
          <w:fldChar w:fldCharType="separate"/>
        </w:r>
        <w:r w:rsidR="005406BD" w:rsidRPr="008A1679">
          <w:rPr>
            <w:noProof/>
            <w:webHidden/>
          </w:rPr>
          <w:t>5</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1" w:history="1">
        <w:r w:rsidR="00E57901" w:rsidRPr="008A1679">
          <w:rPr>
            <w:rStyle w:val="Hyperlink"/>
            <w:noProof/>
          </w:rPr>
          <w:t>Table 2 Demographic characteristics of subjects by primary diagnosis</w:t>
        </w:r>
        <w:r w:rsidR="00E57901" w:rsidRPr="008A1679">
          <w:rPr>
            <w:noProof/>
            <w:webHidden/>
          </w:rPr>
          <w:tab/>
        </w:r>
        <w:r w:rsidRPr="008A1679">
          <w:rPr>
            <w:noProof/>
            <w:webHidden/>
          </w:rPr>
          <w:fldChar w:fldCharType="begin"/>
        </w:r>
        <w:r w:rsidR="00E57901" w:rsidRPr="008A1679">
          <w:rPr>
            <w:noProof/>
            <w:webHidden/>
          </w:rPr>
          <w:instrText xml:space="preserve"> PAGEREF _Toc310506141 \h </w:instrText>
        </w:r>
        <w:r w:rsidRPr="008A1679">
          <w:rPr>
            <w:noProof/>
            <w:webHidden/>
          </w:rPr>
        </w:r>
        <w:r w:rsidRPr="008A1679">
          <w:rPr>
            <w:noProof/>
            <w:webHidden/>
          </w:rPr>
          <w:fldChar w:fldCharType="separate"/>
        </w:r>
        <w:r w:rsidR="005406BD" w:rsidRPr="008A1679">
          <w:rPr>
            <w:noProof/>
            <w:webHidden/>
          </w:rPr>
          <w:t>7</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2" w:history="1">
        <w:r w:rsidR="00E57901" w:rsidRPr="008A1679">
          <w:rPr>
            <w:rStyle w:val="Hyperlink"/>
            <w:noProof/>
          </w:rPr>
          <w:t>Table 3 Causes of ICD in patients with a primary diagnosis of ICD</w:t>
        </w:r>
        <w:r w:rsidR="00E57901" w:rsidRPr="008A1679">
          <w:rPr>
            <w:noProof/>
            <w:webHidden/>
          </w:rPr>
          <w:tab/>
        </w:r>
        <w:r w:rsidRPr="008A1679">
          <w:rPr>
            <w:noProof/>
            <w:webHidden/>
          </w:rPr>
          <w:fldChar w:fldCharType="begin"/>
        </w:r>
        <w:r w:rsidR="00E57901" w:rsidRPr="008A1679">
          <w:rPr>
            <w:noProof/>
            <w:webHidden/>
          </w:rPr>
          <w:instrText xml:space="preserve"> PAGEREF _Toc310506142 \h </w:instrText>
        </w:r>
        <w:r w:rsidRPr="008A1679">
          <w:rPr>
            <w:noProof/>
            <w:webHidden/>
          </w:rPr>
        </w:r>
        <w:r w:rsidRPr="008A1679">
          <w:rPr>
            <w:noProof/>
            <w:webHidden/>
          </w:rPr>
          <w:fldChar w:fldCharType="separate"/>
        </w:r>
        <w:r w:rsidR="005406BD" w:rsidRPr="008A1679">
          <w:rPr>
            <w:noProof/>
            <w:webHidden/>
          </w:rPr>
          <w:t>7</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3" w:history="1">
        <w:r w:rsidR="00E57901" w:rsidRPr="008A1679">
          <w:rPr>
            <w:rStyle w:val="Hyperlink"/>
            <w:noProof/>
          </w:rPr>
          <w:t>Table 4 Common allergens and sources of exposure</w:t>
        </w:r>
        <w:r w:rsidR="00E57901" w:rsidRPr="008A1679">
          <w:rPr>
            <w:noProof/>
            <w:webHidden/>
          </w:rPr>
          <w:tab/>
        </w:r>
        <w:r w:rsidRPr="008A1679">
          <w:rPr>
            <w:noProof/>
            <w:webHidden/>
          </w:rPr>
          <w:fldChar w:fldCharType="begin"/>
        </w:r>
        <w:r w:rsidR="00E57901" w:rsidRPr="008A1679">
          <w:rPr>
            <w:noProof/>
            <w:webHidden/>
          </w:rPr>
          <w:instrText xml:space="preserve"> PAGEREF _Toc310506143 \h </w:instrText>
        </w:r>
        <w:r w:rsidRPr="008A1679">
          <w:rPr>
            <w:noProof/>
            <w:webHidden/>
          </w:rPr>
        </w:r>
        <w:r w:rsidRPr="008A1679">
          <w:rPr>
            <w:noProof/>
            <w:webHidden/>
          </w:rPr>
          <w:fldChar w:fldCharType="separate"/>
        </w:r>
        <w:r w:rsidR="005406BD" w:rsidRPr="008A1679">
          <w:rPr>
            <w:noProof/>
            <w:webHidden/>
          </w:rPr>
          <w:t>8</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4" w:history="1">
        <w:r w:rsidR="00E57901" w:rsidRPr="008A1679">
          <w:rPr>
            <w:rStyle w:val="Hyperlink"/>
            <w:noProof/>
          </w:rPr>
          <w:t xml:space="preserve">Table 5 </w:t>
        </w:r>
        <w:r w:rsidR="00E57901" w:rsidRPr="008A1679">
          <w:rPr>
            <w:rStyle w:val="Hyperlink"/>
            <w:rFonts w:cs="Arial"/>
            <w:noProof/>
          </w:rPr>
          <w:t>The occupation of patients with OSD by primary diagnosis: percentage of patients within primary diagnosis</w:t>
        </w:r>
        <w:r w:rsidR="00E57901" w:rsidRPr="008A1679">
          <w:rPr>
            <w:noProof/>
            <w:webHidden/>
          </w:rPr>
          <w:tab/>
        </w:r>
        <w:r w:rsidRPr="008A1679">
          <w:rPr>
            <w:noProof/>
            <w:webHidden/>
          </w:rPr>
          <w:fldChar w:fldCharType="begin"/>
        </w:r>
        <w:r w:rsidR="00E57901" w:rsidRPr="008A1679">
          <w:rPr>
            <w:noProof/>
            <w:webHidden/>
          </w:rPr>
          <w:instrText xml:space="preserve"> PAGEREF _Toc310506144 \h </w:instrText>
        </w:r>
        <w:r w:rsidRPr="008A1679">
          <w:rPr>
            <w:noProof/>
            <w:webHidden/>
          </w:rPr>
        </w:r>
        <w:r w:rsidRPr="008A1679">
          <w:rPr>
            <w:noProof/>
            <w:webHidden/>
          </w:rPr>
          <w:fldChar w:fldCharType="separate"/>
        </w:r>
        <w:r w:rsidR="005406BD" w:rsidRPr="008A1679">
          <w:rPr>
            <w:noProof/>
            <w:webHidden/>
          </w:rPr>
          <w:t>10</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5" w:history="1">
        <w:r w:rsidR="00E57901" w:rsidRPr="008A1679">
          <w:rPr>
            <w:rStyle w:val="Hyperlink"/>
            <w:noProof/>
          </w:rPr>
          <w:t>Table 6 Multiple diagnoses in patients with a substantially or partially work related condition: number and percentage of patients within diagnosed condition</w:t>
        </w:r>
        <w:r w:rsidR="00E57901" w:rsidRPr="008A1679">
          <w:rPr>
            <w:noProof/>
            <w:webHidden/>
          </w:rPr>
          <w:tab/>
        </w:r>
        <w:r w:rsidRPr="008A1679">
          <w:rPr>
            <w:noProof/>
            <w:webHidden/>
          </w:rPr>
          <w:fldChar w:fldCharType="begin"/>
        </w:r>
        <w:r w:rsidR="00E57901" w:rsidRPr="008A1679">
          <w:rPr>
            <w:noProof/>
            <w:webHidden/>
          </w:rPr>
          <w:instrText xml:space="preserve"> PAGEREF _Toc310506145 \h </w:instrText>
        </w:r>
        <w:r w:rsidRPr="008A1679">
          <w:rPr>
            <w:noProof/>
            <w:webHidden/>
          </w:rPr>
        </w:r>
        <w:r w:rsidRPr="008A1679">
          <w:rPr>
            <w:noProof/>
            <w:webHidden/>
          </w:rPr>
          <w:fldChar w:fldCharType="separate"/>
        </w:r>
        <w:r w:rsidR="005406BD" w:rsidRPr="008A1679">
          <w:rPr>
            <w:noProof/>
            <w:webHidden/>
          </w:rPr>
          <w:t>11</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6" w:history="1">
        <w:r w:rsidR="00E57901" w:rsidRPr="008A1679">
          <w:rPr>
            <w:rStyle w:val="Hyperlink"/>
            <w:noProof/>
          </w:rPr>
          <w:t xml:space="preserve">Table 7 </w:t>
        </w:r>
        <w:r w:rsidR="00E57901" w:rsidRPr="008A1679">
          <w:rPr>
            <w:rStyle w:val="Hyperlink"/>
            <w:rFonts w:cs="Arial"/>
            <w:noProof/>
          </w:rPr>
          <w:t>Site of dermatitis for the three most common diagnoses: number and percentage within each diagnosis</w:t>
        </w:r>
        <w:r w:rsidR="00E57901" w:rsidRPr="008A1679">
          <w:rPr>
            <w:noProof/>
            <w:webHidden/>
          </w:rPr>
          <w:tab/>
        </w:r>
        <w:r w:rsidRPr="008A1679">
          <w:rPr>
            <w:noProof/>
            <w:webHidden/>
          </w:rPr>
          <w:fldChar w:fldCharType="begin"/>
        </w:r>
        <w:r w:rsidR="00E57901" w:rsidRPr="008A1679">
          <w:rPr>
            <w:noProof/>
            <w:webHidden/>
          </w:rPr>
          <w:instrText xml:space="preserve"> PAGEREF _Toc310506146 \h </w:instrText>
        </w:r>
        <w:r w:rsidRPr="008A1679">
          <w:rPr>
            <w:noProof/>
            <w:webHidden/>
          </w:rPr>
        </w:r>
        <w:r w:rsidRPr="008A1679">
          <w:rPr>
            <w:noProof/>
            <w:webHidden/>
          </w:rPr>
          <w:fldChar w:fldCharType="separate"/>
        </w:r>
        <w:r w:rsidR="005406BD" w:rsidRPr="008A1679">
          <w:rPr>
            <w:noProof/>
            <w:webHidden/>
          </w:rPr>
          <w:t>11</w:t>
        </w:r>
        <w:r w:rsidRPr="008A1679">
          <w:rPr>
            <w:noProof/>
            <w:webHidden/>
          </w:rPr>
          <w:fldChar w:fldCharType="end"/>
        </w:r>
      </w:hyperlink>
    </w:p>
    <w:p w:rsidR="00E57901" w:rsidRPr="008A1679" w:rsidRDefault="00B967B9">
      <w:pPr>
        <w:pStyle w:val="TableofFigures"/>
        <w:tabs>
          <w:tab w:val="right" w:leader="dot" w:pos="9017"/>
        </w:tabs>
        <w:rPr>
          <w:rFonts w:asciiTheme="minorHAnsi" w:eastAsiaTheme="minorEastAsia" w:hAnsiTheme="minorHAnsi" w:cstheme="minorBidi"/>
          <w:bCs w:val="0"/>
          <w:noProof/>
          <w:szCs w:val="22"/>
          <w:lang w:eastAsia="en-AU"/>
        </w:rPr>
      </w:pPr>
      <w:hyperlink w:anchor="_Toc310506147" w:history="1">
        <w:r w:rsidR="00E57901" w:rsidRPr="008A1679">
          <w:rPr>
            <w:rStyle w:val="Hyperlink"/>
            <w:noProof/>
          </w:rPr>
          <w:t xml:space="preserve">Table 8 </w:t>
        </w:r>
        <w:r w:rsidR="00E57901" w:rsidRPr="008A1679">
          <w:rPr>
            <w:rStyle w:val="Hyperlink"/>
            <w:rFonts w:cs="Arial"/>
            <w:noProof/>
          </w:rPr>
          <w:t>Relative rates of OSD in Victorian occupations: cases per 100,000 workers per year within occupational group</w:t>
        </w:r>
        <w:r w:rsidR="00E57901" w:rsidRPr="008A1679">
          <w:rPr>
            <w:noProof/>
            <w:webHidden/>
          </w:rPr>
          <w:tab/>
        </w:r>
        <w:r w:rsidRPr="008A1679">
          <w:rPr>
            <w:noProof/>
            <w:webHidden/>
          </w:rPr>
          <w:fldChar w:fldCharType="begin"/>
        </w:r>
        <w:r w:rsidR="00E57901" w:rsidRPr="008A1679">
          <w:rPr>
            <w:noProof/>
            <w:webHidden/>
          </w:rPr>
          <w:instrText xml:space="preserve"> PAGEREF _Toc310506147 \h </w:instrText>
        </w:r>
        <w:r w:rsidRPr="008A1679">
          <w:rPr>
            <w:noProof/>
            <w:webHidden/>
          </w:rPr>
        </w:r>
        <w:r w:rsidRPr="008A1679">
          <w:rPr>
            <w:noProof/>
            <w:webHidden/>
          </w:rPr>
          <w:fldChar w:fldCharType="separate"/>
        </w:r>
        <w:r w:rsidR="005406BD" w:rsidRPr="008A1679">
          <w:rPr>
            <w:noProof/>
            <w:webHidden/>
          </w:rPr>
          <w:t>12</w:t>
        </w:r>
        <w:r w:rsidRPr="008A1679">
          <w:rPr>
            <w:noProof/>
            <w:webHidden/>
          </w:rPr>
          <w:fldChar w:fldCharType="end"/>
        </w:r>
      </w:hyperlink>
    </w:p>
    <w:p w:rsidR="00090539" w:rsidRPr="008A1679" w:rsidRDefault="00B967B9" w:rsidP="00090539">
      <w:r w:rsidRPr="008A1679">
        <w:fldChar w:fldCharType="end"/>
      </w:r>
    </w:p>
    <w:p w:rsidR="00090539" w:rsidRPr="008A1679" w:rsidRDefault="00090539" w:rsidP="00090539"/>
    <w:p w:rsidR="003E2A21" w:rsidRPr="008A1679" w:rsidRDefault="003E2A21">
      <w:pPr>
        <w:rPr>
          <w:b/>
          <w:sz w:val="28"/>
        </w:rPr>
      </w:pPr>
      <w:r w:rsidRPr="008A1679">
        <w:br w:type="page"/>
      </w:r>
    </w:p>
    <w:p w:rsidR="00E367C3" w:rsidRPr="008A1679" w:rsidRDefault="00E367C3" w:rsidP="00E367C3">
      <w:pPr>
        <w:pStyle w:val="Heading1"/>
      </w:pPr>
      <w:bookmarkStart w:id="3" w:name="_Toc310506116"/>
      <w:r w:rsidRPr="008A1679">
        <w:lastRenderedPageBreak/>
        <w:t>Glossary and Acronyms</w:t>
      </w:r>
      <w:bookmarkEnd w:id="3"/>
    </w:p>
    <w:p w:rsidR="00852027" w:rsidRPr="008A1679" w:rsidRDefault="00852027" w:rsidP="001A62CA">
      <w:r w:rsidRPr="008A1679">
        <w:rPr>
          <w:b/>
        </w:rPr>
        <w:t xml:space="preserve">ABS: </w:t>
      </w:r>
      <w:r w:rsidRPr="008A1679">
        <w:t>Australian Bureau of Statistics</w:t>
      </w:r>
      <w:r w:rsidR="00203869">
        <w:t>.</w:t>
      </w:r>
    </w:p>
    <w:p w:rsidR="001A62CA" w:rsidRPr="008A1679" w:rsidRDefault="001A62CA" w:rsidP="001A62CA">
      <w:r w:rsidRPr="008A1679">
        <w:rPr>
          <w:b/>
        </w:rPr>
        <w:t>Allergic contact dermatitis</w:t>
      </w:r>
      <w:r w:rsidR="004218C5" w:rsidRPr="008A1679">
        <w:rPr>
          <w:b/>
        </w:rPr>
        <w:t xml:space="preserve"> - </w:t>
      </w:r>
      <w:proofErr w:type="spellStart"/>
      <w:r w:rsidR="004218C5" w:rsidRPr="008A1679">
        <w:rPr>
          <w:b/>
        </w:rPr>
        <w:t>ACD</w:t>
      </w:r>
      <w:proofErr w:type="spellEnd"/>
      <w:r w:rsidRPr="008A1679">
        <w:rPr>
          <w:b/>
        </w:rPr>
        <w:t>:</w:t>
      </w:r>
      <w:r w:rsidRPr="008A1679">
        <w:t xml:space="preserve"> is an itchy rash caused by a particular</w:t>
      </w:r>
      <w:r w:rsidR="00942849" w:rsidRPr="008A1679">
        <w:t xml:space="preserve"> type of immunological reaction to skin contact with chemicals</w:t>
      </w:r>
      <w:r w:rsidRPr="008A1679">
        <w:t xml:space="preserve"> known as delayed hypersensitivity. This rash does not occur on initial skin contact with the chemical. Instead, people may become ‘sensitised’, which means that they will develop the rash on re-exposure to the chemical. The reaction is delayed and usually </w:t>
      </w:r>
      <w:r w:rsidR="00942849" w:rsidRPr="008A1679">
        <w:t>takes at least four hours to erupt and often one to two</w:t>
      </w:r>
      <w:r w:rsidRPr="008A1679">
        <w:t xml:space="preserve"> days. While there are clinical clues </w:t>
      </w:r>
      <w:r w:rsidR="00942849" w:rsidRPr="008A1679">
        <w:t>that</w:t>
      </w:r>
      <w:r w:rsidRPr="008A1679">
        <w:t xml:space="preserve"> can lead to th</w:t>
      </w:r>
      <w:r w:rsidR="00942849" w:rsidRPr="008A1679">
        <w:t xml:space="preserve">is diagnosis, sometimes it may </w:t>
      </w:r>
      <w:r w:rsidRPr="008A1679">
        <w:t xml:space="preserve">be </w:t>
      </w:r>
      <w:r w:rsidR="00942849" w:rsidRPr="008A1679">
        <w:t>in</w:t>
      </w:r>
      <w:r w:rsidRPr="008A1679">
        <w:t>distinguish</w:t>
      </w:r>
      <w:r w:rsidR="00942849" w:rsidRPr="008A1679">
        <w:t xml:space="preserve">able </w:t>
      </w:r>
      <w:r w:rsidRPr="008A1679">
        <w:t>from eczema. Common allergens causing this rash are metals</w:t>
      </w:r>
      <w:r w:rsidR="00942849" w:rsidRPr="008A1679">
        <w:t xml:space="preserve">, including </w:t>
      </w:r>
      <w:r w:rsidRPr="008A1679">
        <w:t xml:space="preserve">nickel and chromate, preservatives in skincare products, epoxy resins, fragrances, hair dye and rubber accelerators (chemicals added to rubber during manufacturing to give it particular properties). It is </w:t>
      </w:r>
      <w:r w:rsidR="00942849" w:rsidRPr="008A1679">
        <w:t>tested</w:t>
      </w:r>
      <w:r w:rsidRPr="008A1679">
        <w:t xml:space="preserve"> with patch testing, where diluted substances are placed in contact with th</w:t>
      </w:r>
      <w:r w:rsidR="00942849" w:rsidRPr="008A1679">
        <w:t>e skin of the back for 48 hours</w:t>
      </w:r>
      <w:r w:rsidRPr="008A1679">
        <w:t xml:space="preserve"> and the results read after a further 48-96 hours.</w:t>
      </w:r>
    </w:p>
    <w:p w:rsidR="001A62CA" w:rsidRPr="008A1679" w:rsidRDefault="001A62CA" w:rsidP="001A62CA">
      <w:r w:rsidRPr="008A1679">
        <w:rPr>
          <w:b/>
        </w:rPr>
        <w:t>Atopy:</w:t>
      </w:r>
      <w:r w:rsidRPr="008A1679">
        <w:rPr>
          <w:i/>
        </w:rPr>
        <w:t xml:space="preserve"> </w:t>
      </w:r>
      <w:r w:rsidRPr="008A1679">
        <w:t>refers to an innate propensity to develop eczema, asthma or hay fever. It can be shown that people with atopy, particularly atopic eczema, have an inherit</w:t>
      </w:r>
      <w:r w:rsidR="00942849" w:rsidRPr="008A1679">
        <w:t>ed defect of their skin barrier that</w:t>
      </w:r>
      <w:r w:rsidRPr="008A1679">
        <w:t xml:space="preserve"> makes their skin more easily irritated than normal. This makes these people more at risk of irritant contact dermatitis, especially in occupations where they are exposed to wet work. </w:t>
      </w:r>
    </w:p>
    <w:p w:rsidR="004218C5" w:rsidRPr="008A1679" w:rsidRDefault="004218C5" w:rsidP="004218C5">
      <w:r w:rsidRPr="008A1679">
        <w:rPr>
          <w:b/>
        </w:rPr>
        <w:t xml:space="preserve">Contact </w:t>
      </w:r>
      <w:proofErr w:type="spellStart"/>
      <w:r w:rsidRPr="008A1679">
        <w:rPr>
          <w:b/>
        </w:rPr>
        <w:t>urticaria</w:t>
      </w:r>
      <w:proofErr w:type="spellEnd"/>
      <w:r w:rsidRPr="008A1679">
        <w:rPr>
          <w:b/>
        </w:rPr>
        <w:t>:</w:t>
      </w:r>
      <w:r w:rsidRPr="008A1679">
        <w:t xml:space="preserve"> is a </w:t>
      </w:r>
      <w:r w:rsidR="00942849" w:rsidRPr="008A1679">
        <w:t xml:space="preserve">less </w:t>
      </w:r>
      <w:r w:rsidR="00BB3C33" w:rsidRPr="008A1679">
        <w:t xml:space="preserve">common skin rash that </w:t>
      </w:r>
      <w:r w:rsidRPr="008A1679">
        <w:t>is caused by an imme</w:t>
      </w:r>
      <w:r w:rsidR="00BB3C33" w:rsidRPr="008A1679">
        <w:t>diate hypersensitivity reaction. S</w:t>
      </w:r>
      <w:r w:rsidRPr="008A1679">
        <w:t>ubstances contacting the skin cause a red, itchy rash within minutes. Examples include latex (natural rubber protein) and some foods. It is the same mechanism which causes asthma and hay fever. It is tested by prick testing or radio-</w:t>
      </w:r>
      <w:proofErr w:type="spellStart"/>
      <w:r w:rsidRPr="008A1679">
        <w:t>allergosorbent</w:t>
      </w:r>
      <w:proofErr w:type="spellEnd"/>
      <w:r w:rsidRPr="008A1679">
        <w:t xml:space="preserve"> (</w:t>
      </w:r>
      <w:proofErr w:type="spellStart"/>
      <w:r w:rsidRPr="008A1679">
        <w:t>RAST</w:t>
      </w:r>
      <w:proofErr w:type="spellEnd"/>
      <w:r w:rsidRPr="008A1679">
        <w:t xml:space="preserve">) testing of blood. In our analysis, we have considered latex allergy as a separate category, although it is also a form of contact </w:t>
      </w:r>
      <w:proofErr w:type="spellStart"/>
      <w:r w:rsidRPr="008A1679">
        <w:t>urticaria</w:t>
      </w:r>
      <w:proofErr w:type="spellEnd"/>
      <w:r w:rsidRPr="008A1679">
        <w:t>.</w:t>
      </w:r>
    </w:p>
    <w:p w:rsidR="001A62CA" w:rsidRPr="008A1679" w:rsidRDefault="001A62CA" w:rsidP="001A62CA">
      <w:r w:rsidRPr="008A1679">
        <w:rPr>
          <w:b/>
        </w:rPr>
        <w:t>Eczema:</w:t>
      </w:r>
      <w:r w:rsidRPr="008A1679">
        <w:rPr>
          <w:i/>
        </w:rPr>
        <w:t xml:space="preserve"> </w:t>
      </w:r>
      <w:r w:rsidRPr="008A1679">
        <w:t>is a very common itchy skin rash. The term is often used to denote ‘atopic eczema’, which is an itchy ra</w:t>
      </w:r>
      <w:r w:rsidR="008D62FF" w:rsidRPr="008A1679">
        <w:t>sh usually appearing in infancy. Eczema</w:t>
      </w:r>
      <w:r w:rsidRPr="008A1679">
        <w:t xml:space="preserve"> may be</w:t>
      </w:r>
      <w:r w:rsidR="008D62FF" w:rsidRPr="008A1679">
        <w:t xml:space="preserve"> associated with food allergies</w:t>
      </w:r>
      <w:r w:rsidRPr="008A1679">
        <w:t xml:space="preserve"> and the subsequent development of asthma and hay fever. The implication is that this rash is endogenous, that is, occurring from within, rather than caused by contact with external agents. It is thought that there is an inherited predisposition to develop atopic eczema. </w:t>
      </w:r>
      <w:r w:rsidR="00BB3C33" w:rsidRPr="008A1679">
        <w:t>There are also</w:t>
      </w:r>
      <w:r w:rsidRPr="008A1679">
        <w:t xml:space="preserve"> forms of non-atopic eczema, which are unrelated to </w:t>
      </w:r>
      <w:r w:rsidR="00BB3C33" w:rsidRPr="008A1679">
        <w:t xml:space="preserve">asthma, hay fever and allergies. These include discoid eczema, hand eczema, foot eczema, venous eczema, </w:t>
      </w:r>
      <w:proofErr w:type="spellStart"/>
      <w:r w:rsidR="00BB3C33" w:rsidRPr="008A1679">
        <w:t>asteatotic</w:t>
      </w:r>
      <w:proofErr w:type="spellEnd"/>
      <w:r w:rsidR="00BB3C33" w:rsidRPr="008A1679">
        <w:t xml:space="preserve"> eczema and lichen simplex. Like atopic eczema, non-atopic eczema is considered to be</w:t>
      </w:r>
      <w:r w:rsidRPr="008A1679">
        <w:t xml:space="preserve"> endogenous. </w:t>
      </w:r>
    </w:p>
    <w:p w:rsidR="004218C5" w:rsidRPr="008A1679" w:rsidRDefault="004218C5" w:rsidP="004218C5">
      <w:r w:rsidRPr="008A1679">
        <w:rPr>
          <w:b/>
        </w:rPr>
        <w:t xml:space="preserve">Irritant contact dermatitis - </w:t>
      </w:r>
      <w:proofErr w:type="spellStart"/>
      <w:r w:rsidRPr="008A1679">
        <w:rPr>
          <w:b/>
        </w:rPr>
        <w:t>ICD</w:t>
      </w:r>
      <w:proofErr w:type="spellEnd"/>
      <w:r w:rsidRPr="008A1679">
        <w:rPr>
          <w:b/>
        </w:rPr>
        <w:t>:</w:t>
      </w:r>
      <w:r w:rsidRPr="008A1679">
        <w:rPr>
          <w:i/>
        </w:rPr>
        <w:t xml:space="preserve"> </w:t>
      </w:r>
      <w:r w:rsidRPr="008A1679">
        <w:t xml:space="preserve">is a rash </w:t>
      </w:r>
      <w:r w:rsidR="00BB3C33" w:rsidRPr="008A1679">
        <w:t>that</w:t>
      </w:r>
      <w:r w:rsidRPr="008A1679">
        <w:t xml:space="preserve"> occurs because of skin contact with irritants. It may be acute, such as cement burns from kneeling in </w:t>
      </w:r>
      <w:r w:rsidR="00BB3C33" w:rsidRPr="008A1679">
        <w:t xml:space="preserve">very alkaline </w:t>
      </w:r>
      <w:r w:rsidRPr="008A1679">
        <w:t>wet cement, or chronic, caused by exposure over time, often to a number of irritants. Skin irritants include wet work, where there is repetitive wetting and drying, which is extremely irritating to the skin; soaps, detergents, shampoos; oils; solvents; dusts and physical factors such as heat and sweating.</w:t>
      </w:r>
    </w:p>
    <w:p w:rsidR="004218C5" w:rsidRPr="008A1679" w:rsidRDefault="004218C5" w:rsidP="004218C5">
      <w:r w:rsidRPr="008A1679">
        <w:rPr>
          <w:b/>
        </w:rPr>
        <w:t xml:space="preserve">Occupational contact dermatitis - </w:t>
      </w:r>
      <w:proofErr w:type="spellStart"/>
      <w:r w:rsidRPr="008A1679">
        <w:rPr>
          <w:b/>
        </w:rPr>
        <w:t>OCD</w:t>
      </w:r>
      <w:proofErr w:type="spellEnd"/>
      <w:r w:rsidRPr="008A1679">
        <w:rPr>
          <w:b/>
        </w:rPr>
        <w:t>:</w:t>
      </w:r>
      <w:r w:rsidRPr="008A1679">
        <w:t xml:space="preserve"> </w:t>
      </w:r>
      <w:r w:rsidR="00056702" w:rsidRPr="008A1679">
        <w:t>accounts for</w:t>
      </w:r>
      <w:r w:rsidRPr="008A1679">
        <w:t xml:space="preserve"> </w:t>
      </w:r>
      <w:r w:rsidR="004D3A33" w:rsidRPr="008A1679">
        <w:t>approximately 95%</w:t>
      </w:r>
      <w:r w:rsidRPr="008A1679">
        <w:t xml:space="preserve"> of cas</w:t>
      </w:r>
      <w:r w:rsidR="00472FB2" w:rsidRPr="008A1679">
        <w:t>es of occupational skin disease (</w:t>
      </w:r>
      <w:proofErr w:type="spellStart"/>
      <w:r w:rsidR="00472FB2" w:rsidRPr="008A1679">
        <w:t>OSD</w:t>
      </w:r>
      <w:proofErr w:type="spellEnd"/>
      <w:r w:rsidR="00472FB2" w:rsidRPr="008A1679">
        <w:t>)</w:t>
      </w:r>
      <w:r w:rsidRPr="008A1679">
        <w:t xml:space="preserve">. It is divided into irritant contact dermatitis </w:t>
      </w:r>
      <w:r w:rsidR="00472FB2" w:rsidRPr="008A1679">
        <w:t>(</w:t>
      </w:r>
      <w:proofErr w:type="spellStart"/>
      <w:r w:rsidR="00472FB2" w:rsidRPr="008A1679">
        <w:t>ICD</w:t>
      </w:r>
      <w:proofErr w:type="spellEnd"/>
      <w:r w:rsidR="00472FB2" w:rsidRPr="008A1679">
        <w:t>)</w:t>
      </w:r>
      <w:r w:rsidR="00056702" w:rsidRPr="008A1679">
        <w:t xml:space="preserve"> </w:t>
      </w:r>
      <w:r w:rsidRPr="008A1679">
        <w:t>(generally more common) and allergic contact dermatitis</w:t>
      </w:r>
      <w:r w:rsidR="00472FB2" w:rsidRPr="008A1679">
        <w:t xml:space="preserve"> (</w:t>
      </w:r>
      <w:proofErr w:type="spellStart"/>
      <w:r w:rsidR="00472FB2" w:rsidRPr="008A1679">
        <w:t>ACD</w:t>
      </w:r>
      <w:proofErr w:type="spellEnd"/>
      <w:r w:rsidR="00472FB2" w:rsidRPr="008A1679">
        <w:t>)</w:t>
      </w:r>
      <w:r w:rsidRPr="008A1679">
        <w:t>.</w:t>
      </w:r>
    </w:p>
    <w:p w:rsidR="001A62CA" w:rsidRPr="008A1679" w:rsidRDefault="001A62CA" w:rsidP="001A62CA">
      <w:r w:rsidRPr="008A1679">
        <w:rPr>
          <w:b/>
        </w:rPr>
        <w:t>Occupational skin disease</w:t>
      </w:r>
      <w:r w:rsidR="004218C5" w:rsidRPr="008A1679">
        <w:rPr>
          <w:b/>
        </w:rPr>
        <w:t xml:space="preserve"> - </w:t>
      </w:r>
      <w:proofErr w:type="spellStart"/>
      <w:r w:rsidR="004218C5" w:rsidRPr="008A1679">
        <w:rPr>
          <w:b/>
        </w:rPr>
        <w:t>OSD</w:t>
      </w:r>
      <w:proofErr w:type="spellEnd"/>
      <w:r w:rsidRPr="008A1679">
        <w:rPr>
          <w:b/>
        </w:rPr>
        <w:t>:</w:t>
      </w:r>
      <w:r w:rsidRPr="008A1679">
        <w:t xml:space="preserve"> is a skin condition occurring at or aggravated by employment, generally as a result of </w:t>
      </w:r>
      <w:r w:rsidR="00472FB2" w:rsidRPr="008A1679">
        <w:t>contact with substances at work</w:t>
      </w:r>
      <w:r w:rsidRPr="008A1679">
        <w:t xml:space="preserve"> or alternatively</w:t>
      </w:r>
      <w:r w:rsidR="00056702" w:rsidRPr="008A1679">
        <w:t>,</w:t>
      </w:r>
      <w:r w:rsidRPr="008A1679">
        <w:t xml:space="preserve"> related to the work environment</w:t>
      </w:r>
      <w:r w:rsidR="00203869">
        <w:t>.</w:t>
      </w:r>
    </w:p>
    <w:p w:rsidR="004218C5" w:rsidRPr="008A1679" w:rsidRDefault="004218C5" w:rsidP="004218C5">
      <w:r w:rsidRPr="008A1679">
        <w:rPr>
          <w:b/>
        </w:rPr>
        <w:t>Persist</w:t>
      </w:r>
      <w:r w:rsidR="00442686" w:rsidRPr="008A1679">
        <w:rPr>
          <w:b/>
        </w:rPr>
        <w:t>ent</w:t>
      </w:r>
      <w:r w:rsidRPr="008A1679">
        <w:rPr>
          <w:b/>
        </w:rPr>
        <w:t xml:space="preserve"> post-occupational dermatitis – </w:t>
      </w:r>
      <w:proofErr w:type="spellStart"/>
      <w:r w:rsidRPr="008A1679">
        <w:rPr>
          <w:b/>
        </w:rPr>
        <w:t>PPOD</w:t>
      </w:r>
      <w:proofErr w:type="spellEnd"/>
      <w:r w:rsidRPr="008A1679">
        <w:rPr>
          <w:b/>
        </w:rPr>
        <w:t>:</w:t>
      </w:r>
      <w:r w:rsidRPr="008A1679">
        <w:t xml:space="preserve"> refers to occupational dermatitis </w:t>
      </w:r>
      <w:r w:rsidR="00056702" w:rsidRPr="008A1679">
        <w:t>that</w:t>
      </w:r>
      <w:r w:rsidRPr="008A1679">
        <w:t xml:space="preserve"> fails to resolve despite avoidance of the causative factors. It is usually diagnosed on follow-up, so it is an uncommon diagnosis in the clinic setting, where people present for an initial assessment of their skin condition.</w:t>
      </w:r>
    </w:p>
    <w:p w:rsidR="00ED0AFE" w:rsidRPr="008A1679" w:rsidRDefault="001A62CA" w:rsidP="00ED0AFE">
      <w:pPr>
        <w:sectPr w:rsidR="00ED0AFE" w:rsidRPr="008A1679" w:rsidSect="00ED0AFE">
          <w:footerReference w:type="default" r:id="rId10"/>
          <w:pgSz w:w="11907" w:h="16840" w:code="9"/>
          <w:pgMar w:top="1440" w:right="1440" w:bottom="1440" w:left="1440" w:header="709" w:footer="709" w:gutter="0"/>
          <w:pgNumType w:fmt="lowerRoman" w:start="1"/>
          <w:cols w:space="708"/>
          <w:docGrid w:linePitch="360"/>
        </w:sectPr>
      </w:pPr>
      <w:r w:rsidRPr="008A1679">
        <w:rPr>
          <w:b/>
        </w:rPr>
        <w:t>Psoriasis:</w:t>
      </w:r>
      <w:r w:rsidRPr="008A1679">
        <w:rPr>
          <w:i/>
        </w:rPr>
        <w:t xml:space="preserve"> </w:t>
      </w:r>
      <w:r w:rsidRPr="008A1679">
        <w:t xml:space="preserve">is </w:t>
      </w:r>
      <w:r w:rsidR="00056702" w:rsidRPr="008A1679">
        <w:t>a</w:t>
      </w:r>
      <w:r w:rsidRPr="008A1679">
        <w:t xml:space="preserve"> relatively common skin rash, which is </w:t>
      </w:r>
      <w:r w:rsidR="00056702" w:rsidRPr="008A1679">
        <w:t xml:space="preserve">generally </w:t>
      </w:r>
      <w:r w:rsidRPr="008A1679">
        <w:t xml:space="preserve">thought to occur because of an inherited susceptibility. Occasionally damage to the skin, such as trauma or a burn, will initiate the development of psoriasis. Sometimes it can be aggravated by stress. </w:t>
      </w:r>
    </w:p>
    <w:p w:rsidR="00940916" w:rsidRPr="008A1679" w:rsidRDefault="00E367C3" w:rsidP="00940916">
      <w:pPr>
        <w:pStyle w:val="Heading1"/>
      </w:pPr>
      <w:bookmarkStart w:id="4" w:name="_Toc310506117"/>
      <w:r w:rsidRPr="008A1679">
        <w:lastRenderedPageBreak/>
        <w:t xml:space="preserve">Executive </w:t>
      </w:r>
      <w:r w:rsidR="00940916" w:rsidRPr="008A1679">
        <w:t>Summary</w:t>
      </w:r>
      <w:bookmarkEnd w:id="4"/>
    </w:p>
    <w:p w:rsidR="00E367C3" w:rsidRPr="008A1679" w:rsidRDefault="00594FD0" w:rsidP="00056702">
      <w:r w:rsidRPr="008A1679">
        <w:rPr>
          <w:b/>
          <w:bCs/>
          <w:iCs/>
        </w:rPr>
        <w:t>Background</w:t>
      </w:r>
    </w:p>
    <w:p w:rsidR="00BF2821" w:rsidRPr="008A1679" w:rsidRDefault="005A73D9" w:rsidP="00E367C3">
      <w:r w:rsidRPr="008A1679">
        <w:t xml:space="preserve">Occupational </w:t>
      </w:r>
      <w:r w:rsidR="00705CA7" w:rsidRPr="008A1679">
        <w:t>skin disease (</w:t>
      </w:r>
      <w:proofErr w:type="spellStart"/>
      <w:r w:rsidR="00705CA7" w:rsidRPr="008A1679">
        <w:t>OSD</w:t>
      </w:r>
      <w:proofErr w:type="spellEnd"/>
      <w:r w:rsidR="00705CA7" w:rsidRPr="008A1679">
        <w:t>)</w:t>
      </w:r>
      <w:r w:rsidR="00D154EB" w:rsidRPr="008A1679">
        <w:t xml:space="preserve"> </w:t>
      </w:r>
      <w:r w:rsidR="00056702" w:rsidRPr="008A1679">
        <w:t>accounts for</w:t>
      </w:r>
      <w:r w:rsidR="00D154EB" w:rsidRPr="008A1679">
        <w:t xml:space="preserve"> </w:t>
      </w:r>
      <w:r w:rsidR="00594FD0" w:rsidRPr="008A1679">
        <w:t>a significant proportion of occupational disease in most countries</w:t>
      </w:r>
      <w:r w:rsidR="00860862" w:rsidRPr="008A1679">
        <w:t xml:space="preserve"> and in many countries it</w:t>
      </w:r>
      <w:r w:rsidR="00D154EB" w:rsidRPr="008A1679">
        <w:t xml:space="preserve"> is the most common occupational disease</w:t>
      </w:r>
      <w:r w:rsidR="00594FD0" w:rsidRPr="008A1679">
        <w:t xml:space="preserve">. </w:t>
      </w:r>
      <w:r w:rsidR="00D154EB" w:rsidRPr="008A1679">
        <w:t xml:space="preserve">In several countries, including Germany and Finland, registries of </w:t>
      </w:r>
      <w:proofErr w:type="spellStart"/>
      <w:r w:rsidR="00860862" w:rsidRPr="008A1679">
        <w:t>OSD</w:t>
      </w:r>
      <w:proofErr w:type="spellEnd"/>
      <w:r w:rsidR="00D154EB" w:rsidRPr="008A1679">
        <w:t xml:space="preserve"> are kept, so there is detailed statistical information available</w:t>
      </w:r>
      <w:r w:rsidR="000876CB" w:rsidRPr="008A1679">
        <w:t xml:space="preserve"> on the causes of </w:t>
      </w:r>
      <w:proofErr w:type="spellStart"/>
      <w:r w:rsidR="000876CB" w:rsidRPr="008A1679">
        <w:t>OSD</w:t>
      </w:r>
      <w:proofErr w:type="spellEnd"/>
      <w:r w:rsidR="00D154EB" w:rsidRPr="008A1679">
        <w:t xml:space="preserve">. </w:t>
      </w:r>
      <w:r w:rsidR="00594FD0" w:rsidRPr="008A1679">
        <w:t xml:space="preserve">However, there is limited information </w:t>
      </w:r>
      <w:r w:rsidR="00BF2821" w:rsidRPr="008A1679">
        <w:t xml:space="preserve">on </w:t>
      </w:r>
      <w:r w:rsidR="00D154EB" w:rsidRPr="008A1679">
        <w:t xml:space="preserve">the extent of </w:t>
      </w:r>
      <w:proofErr w:type="spellStart"/>
      <w:r w:rsidR="00705CA7" w:rsidRPr="008A1679">
        <w:t>OS</w:t>
      </w:r>
      <w:r w:rsidR="00594FD0" w:rsidRPr="008A1679">
        <w:t>D</w:t>
      </w:r>
      <w:proofErr w:type="spellEnd"/>
      <w:r w:rsidRPr="008A1679">
        <w:t xml:space="preserve"> in Australia</w:t>
      </w:r>
      <w:r w:rsidR="00D154EB" w:rsidRPr="008A1679">
        <w:t xml:space="preserve"> </w:t>
      </w:r>
      <w:r w:rsidR="00056702" w:rsidRPr="008A1679">
        <w:t>where</w:t>
      </w:r>
      <w:r w:rsidR="00D154EB" w:rsidRPr="008A1679">
        <w:t xml:space="preserve"> no comprehensive or centralised recording of cases</w:t>
      </w:r>
      <w:r w:rsidR="000876CB" w:rsidRPr="008A1679">
        <w:t xml:space="preserve"> exists</w:t>
      </w:r>
      <w:r w:rsidR="00594FD0" w:rsidRPr="008A1679">
        <w:t xml:space="preserve">. </w:t>
      </w:r>
      <w:r w:rsidR="000876CB" w:rsidRPr="008A1679">
        <w:t>It is recognised that workers’ compensation statistics substantial</w:t>
      </w:r>
      <w:r w:rsidR="00705CA7" w:rsidRPr="008A1679">
        <w:t xml:space="preserve">ly underestimate the rates of </w:t>
      </w:r>
      <w:proofErr w:type="spellStart"/>
      <w:r w:rsidR="00705CA7" w:rsidRPr="008A1679">
        <w:t>OS</w:t>
      </w:r>
      <w:r w:rsidR="000876CB" w:rsidRPr="008A1679">
        <w:t>D</w:t>
      </w:r>
      <w:proofErr w:type="spellEnd"/>
      <w:r w:rsidR="000876CB" w:rsidRPr="008A1679">
        <w:t>.</w:t>
      </w:r>
      <w:r w:rsidR="00705CA7" w:rsidRPr="008A1679">
        <w:t xml:space="preserve"> Most cases of </w:t>
      </w:r>
      <w:proofErr w:type="spellStart"/>
      <w:r w:rsidR="00705CA7" w:rsidRPr="008A1679">
        <w:t>OSD</w:t>
      </w:r>
      <w:proofErr w:type="spellEnd"/>
      <w:r w:rsidR="00705CA7" w:rsidRPr="008A1679">
        <w:t xml:space="preserve"> are </w:t>
      </w:r>
      <w:r w:rsidR="00056702" w:rsidRPr="008A1679">
        <w:t>diagnosed as</w:t>
      </w:r>
      <w:r w:rsidR="00705CA7" w:rsidRPr="008A1679">
        <w:t xml:space="preserve"> occupational contact dermatitis (</w:t>
      </w:r>
      <w:proofErr w:type="spellStart"/>
      <w:r w:rsidR="00705CA7" w:rsidRPr="008A1679">
        <w:t>OCD</w:t>
      </w:r>
      <w:proofErr w:type="spellEnd"/>
      <w:r w:rsidR="00705CA7" w:rsidRPr="008A1679">
        <w:t>).</w:t>
      </w:r>
    </w:p>
    <w:p w:rsidR="00E367C3" w:rsidRPr="008A1679" w:rsidRDefault="00594FD0" w:rsidP="00056702">
      <w:r w:rsidRPr="008A1679">
        <w:rPr>
          <w:b/>
          <w:bCs/>
          <w:iCs/>
        </w:rPr>
        <w:t>Objectives</w:t>
      </w:r>
    </w:p>
    <w:p w:rsidR="00594FD0" w:rsidRPr="008A1679" w:rsidRDefault="00594FD0" w:rsidP="00E367C3">
      <w:r w:rsidRPr="008A1679">
        <w:t xml:space="preserve">To describe </w:t>
      </w:r>
      <w:r w:rsidR="00056702" w:rsidRPr="008A1679">
        <w:t xml:space="preserve">the </w:t>
      </w:r>
      <w:r w:rsidRPr="008A1679">
        <w:t>relevant characteristi</w:t>
      </w:r>
      <w:r w:rsidR="005A73D9" w:rsidRPr="008A1679">
        <w:t xml:space="preserve">cs of </w:t>
      </w:r>
      <w:r w:rsidR="00E638F8" w:rsidRPr="008A1679">
        <w:t xml:space="preserve">all </w:t>
      </w:r>
      <w:r w:rsidR="005A73D9" w:rsidRPr="008A1679">
        <w:t xml:space="preserve">patients diagnosed </w:t>
      </w:r>
      <w:r w:rsidR="00E638F8" w:rsidRPr="008A1679">
        <w:t xml:space="preserve">over </w:t>
      </w:r>
      <w:r w:rsidR="006866FE" w:rsidRPr="008A1679">
        <w:t xml:space="preserve">18 </w:t>
      </w:r>
      <w:r w:rsidR="00E638F8" w:rsidRPr="008A1679">
        <w:t xml:space="preserve">years </w:t>
      </w:r>
      <w:r w:rsidR="00705CA7" w:rsidRPr="008A1679">
        <w:t xml:space="preserve">with </w:t>
      </w:r>
      <w:proofErr w:type="spellStart"/>
      <w:r w:rsidR="00705CA7" w:rsidRPr="008A1679">
        <w:t>OS</w:t>
      </w:r>
      <w:r w:rsidRPr="008A1679">
        <w:t>D</w:t>
      </w:r>
      <w:proofErr w:type="spellEnd"/>
      <w:r w:rsidRPr="008A1679">
        <w:t xml:space="preserve"> in a (tertiary level) specialist occupational dermatology clinic</w:t>
      </w:r>
      <w:r w:rsidR="005A73D9" w:rsidRPr="008A1679">
        <w:t xml:space="preserve"> in Melbourne, Australia</w:t>
      </w:r>
      <w:r w:rsidRPr="008A1679">
        <w:t>.</w:t>
      </w:r>
    </w:p>
    <w:p w:rsidR="00E367C3" w:rsidRPr="008A1679" w:rsidRDefault="00594FD0" w:rsidP="00056702">
      <w:r w:rsidRPr="008A1679">
        <w:rPr>
          <w:b/>
          <w:bCs/>
          <w:iCs/>
        </w:rPr>
        <w:t>Methods</w:t>
      </w:r>
    </w:p>
    <w:p w:rsidR="00594FD0" w:rsidRPr="008A1679" w:rsidRDefault="00594FD0" w:rsidP="00E367C3">
      <w:r w:rsidRPr="008A1679">
        <w:t>We retrospective</w:t>
      </w:r>
      <w:r w:rsidR="00BF2821" w:rsidRPr="008A1679">
        <w:t>ly analysed</w:t>
      </w:r>
      <w:r w:rsidRPr="008A1679">
        <w:t xml:space="preserve"> </w:t>
      </w:r>
      <w:r w:rsidR="00E638F8" w:rsidRPr="008A1679">
        <w:t xml:space="preserve">data from </w:t>
      </w:r>
      <w:r w:rsidRPr="008A1679">
        <w:t xml:space="preserve">all patients assessed </w:t>
      </w:r>
      <w:r w:rsidR="005A73D9" w:rsidRPr="008A1679">
        <w:t>between</w:t>
      </w:r>
      <w:r w:rsidRPr="008A1679">
        <w:t xml:space="preserve"> 1 January 1993 and 31 D</w:t>
      </w:r>
      <w:r w:rsidR="00E1198C" w:rsidRPr="008A1679">
        <w:t>ecember 2010</w:t>
      </w:r>
      <w:r w:rsidRPr="008A1679">
        <w:t>.</w:t>
      </w:r>
      <w:r w:rsidR="00E638F8" w:rsidRPr="008A1679">
        <w:t xml:space="preserve"> These patie</w:t>
      </w:r>
      <w:r w:rsidR="00836E8F" w:rsidRPr="008A1679">
        <w:t>nts were referred to the clinic</w:t>
      </w:r>
      <w:r w:rsidR="00E638F8" w:rsidRPr="008A1679">
        <w:t xml:space="preserve"> predominantly from dermatologists, but also from allergists, general practitioners and </w:t>
      </w:r>
      <w:r w:rsidR="00203869">
        <w:t>work</w:t>
      </w:r>
      <w:r w:rsidR="00E638F8" w:rsidRPr="008A1679">
        <w:t xml:space="preserve"> health and safety personnel, because of suspicions or concerns regarding the presence of </w:t>
      </w:r>
      <w:proofErr w:type="spellStart"/>
      <w:r w:rsidR="006866FE" w:rsidRPr="008A1679">
        <w:t>OCD</w:t>
      </w:r>
      <w:proofErr w:type="spellEnd"/>
      <w:r w:rsidR="00750163" w:rsidRPr="008A1679">
        <w:t>.</w:t>
      </w:r>
      <w:r w:rsidR="00E638F8" w:rsidRPr="008A1679">
        <w:t xml:space="preserve"> Almost all </w:t>
      </w:r>
      <w:r w:rsidR="00860862" w:rsidRPr="008A1679">
        <w:t xml:space="preserve">patients </w:t>
      </w:r>
      <w:r w:rsidR="00E638F8" w:rsidRPr="008A1679">
        <w:t xml:space="preserve">were patch tested to enable an accurate diagnosis of their dermatitis. Patch testing is a diagnostic process undertaken over </w:t>
      </w:r>
      <w:r w:rsidR="00677AD1" w:rsidRPr="008A1679">
        <w:t xml:space="preserve">five </w:t>
      </w:r>
      <w:r w:rsidR="00E638F8" w:rsidRPr="008A1679">
        <w:t xml:space="preserve">days to detect the presence of delayed hypersensitivity reactions involving the skin. It involves exposing the skin of the back to a set of common allergens </w:t>
      </w:r>
      <w:r w:rsidR="00860862" w:rsidRPr="008A1679">
        <w:t>and to</w:t>
      </w:r>
      <w:r w:rsidR="00E638F8" w:rsidRPr="008A1679">
        <w:t xml:space="preserve"> other allergens </w:t>
      </w:r>
      <w:r w:rsidR="00860862" w:rsidRPr="008A1679">
        <w:t>likely to be encountered through work</w:t>
      </w:r>
      <w:r w:rsidR="00E638F8" w:rsidRPr="008A1679">
        <w:t>, in order to reproduce allergic contact dermatitis</w:t>
      </w:r>
      <w:r w:rsidR="00677AD1" w:rsidRPr="008A1679">
        <w:t xml:space="preserve"> (</w:t>
      </w:r>
      <w:proofErr w:type="spellStart"/>
      <w:r w:rsidR="00677AD1" w:rsidRPr="008A1679">
        <w:t>ACD</w:t>
      </w:r>
      <w:proofErr w:type="spellEnd"/>
      <w:r w:rsidR="00677AD1" w:rsidRPr="008A1679">
        <w:t>)</w:t>
      </w:r>
      <w:r w:rsidR="00E638F8" w:rsidRPr="008A1679">
        <w:t>. If allergy is not detected, the diagnosis is often irritant contact dermatitis</w:t>
      </w:r>
      <w:r w:rsidR="00677AD1" w:rsidRPr="008A1679">
        <w:t xml:space="preserve"> (</w:t>
      </w:r>
      <w:proofErr w:type="spellStart"/>
      <w:r w:rsidR="00677AD1" w:rsidRPr="008A1679">
        <w:t>ICD</w:t>
      </w:r>
      <w:proofErr w:type="spellEnd"/>
      <w:r w:rsidR="00677AD1" w:rsidRPr="008A1679">
        <w:t>)</w:t>
      </w:r>
      <w:r w:rsidR="00E638F8" w:rsidRPr="008A1679">
        <w:t xml:space="preserve"> or another form of skin allergy</w:t>
      </w:r>
      <w:r w:rsidR="00677AD1" w:rsidRPr="008A1679">
        <w:t xml:space="preserve"> known as</w:t>
      </w:r>
      <w:r w:rsidR="00E638F8" w:rsidRPr="008A1679">
        <w:t xml:space="preserve"> contact </w:t>
      </w:r>
      <w:proofErr w:type="spellStart"/>
      <w:r w:rsidR="00E638F8" w:rsidRPr="008A1679">
        <w:t>urticaria</w:t>
      </w:r>
      <w:proofErr w:type="spellEnd"/>
      <w:r w:rsidR="00625D5A" w:rsidRPr="008A1679">
        <w:t xml:space="preserve">. Contact </w:t>
      </w:r>
      <w:proofErr w:type="spellStart"/>
      <w:r w:rsidR="00625D5A" w:rsidRPr="008A1679">
        <w:t>urticaria</w:t>
      </w:r>
      <w:proofErr w:type="spellEnd"/>
      <w:r w:rsidR="00625D5A" w:rsidRPr="008A1679">
        <w:t xml:space="preserve"> was </w:t>
      </w:r>
      <w:r w:rsidR="00E432F4" w:rsidRPr="008A1679">
        <w:t xml:space="preserve">diagnosed </w:t>
      </w:r>
      <w:r w:rsidR="00625D5A" w:rsidRPr="008A1679">
        <w:t xml:space="preserve">by </w:t>
      </w:r>
      <w:proofErr w:type="spellStart"/>
      <w:r w:rsidR="00625D5A" w:rsidRPr="008A1679">
        <w:t>radioallergosorbent</w:t>
      </w:r>
      <w:proofErr w:type="spellEnd"/>
      <w:r w:rsidR="00625D5A" w:rsidRPr="008A1679">
        <w:t xml:space="preserve"> testing (</w:t>
      </w:r>
      <w:proofErr w:type="spellStart"/>
      <w:r w:rsidR="00625D5A" w:rsidRPr="008A1679">
        <w:t>RAST</w:t>
      </w:r>
      <w:proofErr w:type="spellEnd"/>
      <w:r w:rsidR="00625D5A" w:rsidRPr="008A1679">
        <w:t>),</w:t>
      </w:r>
      <w:r w:rsidR="00DB44E4" w:rsidRPr="008A1679">
        <w:t xml:space="preserve"> a blood test</w:t>
      </w:r>
      <w:r w:rsidR="006431EC" w:rsidRPr="008A1679">
        <w:t>, particularly</w:t>
      </w:r>
      <w:r w:rsidR="00625D5A" w:rsidRPr="008A1679">
        <w:t xml:space="preserve"> </w:t>
      </w:r>
      <w:r w:rsidR="006431EC" w:rsidRPr="008A1679">
        <w:t>used to detect</w:t>
      </w:r>
      <w:r w:rsidR="00625D5A" w:rsidRPr="008A1679">
        <w:t xml:space="preserve"> latex allergy, and also by prick testing.</w:t>
      </w:r>
    </w:p>
    <w:p w:rsidR="00E367C3" w:rsidRPr="008A1679" w:rsidRDefault="00594FD0" w:rsidP="00A8173D">
      <w:pPr>
        <w:rPr>
          <w:b/>
          <w:bCs/>
          <w:iCs/>
        </w:rPr>
      </w:pPr>
      <w:r w:rsidRPr="008A1679">
        <w:rPr>
          <w:b/>
          <w:bCs/>
          <w:iCs/>
        </w:rPr>
        <w:t>Results</w:t>
      </w:r>
    </w:p>
    <w:p w:rsidR="00A46DE8" w:rsidRPr="008A1679" w:rsidRDefault="00A46DE8" w:rsidP="00E367C3">
      <w:r w:rsidRPr="008A1679">
        <w:t xml:space="preserve">Of the 2900 patients assessed at the clinic over the study period, 2177 (75.1%) were diagnosed with </w:t>
      </w:r>
      <w:proofErr w:type="spellStart"/>
      <w:r w:rsidRPr="008A1679">
        <w:t>OCD</w:t>
      </w:r>
      <w:proofErr w:type="spellEnd"/>
      <w:r w:rsidRPr="008A1679">
        <w:t xml:space="preserve"> and of these 1208 (55.5%) were male. Atopy was present in 45.0% </w:t>
      </w:r>
      <w:r w:rsidR="00A8173D" w:rsidRPr="008A1679">
        <w:t xml:space="preserve">of patients </w:t>
      </w:r>
      <w:r w:rsidR="007966BF" w:rsidRPr="008A1679">
        <w:t xml:space="preserve">with </w:t>
      </w:r>
      <w:proofErr w:type="spellStart"/>
      <w:r w:rsidR="00E432F4" w:rsidRPr="008A1679">
        <w:t>OCD</w:t>
      </w:r>
      <w:proofErr w:type="spellEnd"/>
      <w:r w:rsidR="00E432F4" w:rsidRPr="008A1679">
        <w:t xml:space="preserve"> (</w:t>
      </w:r>
      <w:r w:rsidRPr="008A1679">
        <w:t xml:space="preserve">980/2177). </w:t>
      </w:r>
      <w:proofErr w:type="spellStart"/>
      <w:r w:rsidRPr="008A1679">
        <w:t>ICD</w:t>
      </w:r>
      <w:proofErr w:type="spellEnd"/>
      <w:r w:rsidRPr="008A1679">
        <w:t xml:space="preserve"> was the primary diagnosis </w:t>
      </w:r>
      <w:r w:rsidR="00A8173D" w:rsidRPr="008A1679">
        <w:t>in 44.0% (958/2177) of patients</w:t>
      </w:r>
      <w:r w:rsidRPr="008A1679">
        <w:t xml:space="preserve"> and </w:t>
      </w:r>
      <w:proofErr w:type="spellStart"/>
      <w:r w:rsidRPr="008A1679">
        <w:t>ACD</w:t>
      </w:r>
      <w:proofErr w:type="spellEnd"/>
      <w:r w:rsidRPr="008A1679">
        <w:t xml:space="preserve"> in 32.7% </w:t>
      </w:r>
      <w:r w:rsidR="00A8173D" w:rsidRPr="008A1679">
        <w:t xml:space="preserve">of patients </w:t>
      </w:r>
      <w:r w:rsidRPr="008A1679">
        <w:t xml:space="preserve">(712/2177). </w:t>
      </w:r>
      <w:proofErr w:type="spellStart"/>
      <w:r w:rsidRPr="008A1679">
        <w:t>ICD</w:t>
      </w:r>
      <w:proofErr w:type="spellEnd"/>
      <w:r w:rsidRPr="008A1679">
        <w:t xml:space="preserve"> in women was significantly more likely to be caused by soaps/</w:t>
      </w:r>
      <w:r w:rsidR="00750163" w:rsidRPr="008A1679">
        <w:t>detergents and</w:t>
      </w:r>
      <w:r w:rsidRPr="008A1679">
        <w:t xml:space="preserve"> water/wet-work, whereas in men </w:t>
      </w:r>
      <w:r w:rsidR="00836E8F" w:rsidRPr="008A1679">
        <w:t xml:space="preserve">the most common </w:t>
      </w:r>
      <w:r w:rsidRPr="008A1679">
        <w:t xml:space="preserve">causes were oils/coolants and solvent exposures. The most common occupationally relevant allergens were </w:t>
      </w:r>
      <w:r w:rsidR="00836E8F" w:rsidRPr="008A1679">
        <w:t xml:space="preserve">rubber accelerators, such as thiuram mix consisting of allergens </w:t>
      </w:r>
      <w:proofErr w:type="spellStart"/>
      <w:r w:rsidRPr="008A1679">
        <w:t>tetraethylthiuram</w:t>
      </w:r>
      <w:proofErr w:type="spellEnd"/>
      <w:r w:rsidRPr="008A1679">
        <w:t xml:space="preserve"> disulfide, </w:t>
      </w:r>
      <w:proofErr w:type="spellStart"/>
      <w:r w:rsidR="00836E8F" w:rsidRPr="008A1679">
        <w:t>tetramethylthiuram</w:t>
      </w:r>
      <w:proofErr w:type="spellEnd"/>
      <w:r w:rsidR="00836E8F" w:rsidRPr="008A1679">
        <w:t xml:space="preserve"> </w:t>
      </w:r>
      <w:proofErr w:type="spellStart"/>
      <w:r w:rsidR="00836E8F" w:rsidRPr="008A1679">
        <w:t>monosulfide</w:t>
      </w:r>
      <w:proofErr w:type="spellEnd"/>
      <w:r w:rsidR="00836E8F" w:rsidRPr="008A1679">
        <w:t xml:space="preserve"> and </w:t>
      </w:r>
      <w:proofErr w:type="spellStart"/>
      <w:r w:rsidR="00836E8F" w:rsidRPr="008A1679">
        <w:t>tetramethylthiuram</w:t>
      </w:r>
      <w:proofErr w:type="spellEnd"/>
      <w:r w:rsidR="00836E8F" w:rsidRPr="008A1679">
        <w:t xml:space="preserve"> disulfide; ammonium </w:t>
      </w:r>
      <w:proofErr w:type="spellStart"/>
      <w:r w:rsidR="00836E8F" w:rsidRPr="008A1679">
        <w:t>persulfate</w:t>
      </w:r>
      <w:proofErr w:type="spellEnd"/>
      <w:r w:rsidR="00836E8F" w:rsidRPr="008A1679">
        <w:t xml:space="preserve"> or hairdressing bleach;</w:t>
      </w:r>
      <w:r w:rsidRPr="008A1679">
        <w:t xml:space="preserve"> potassium dichromate</w:t>
      </w:r>
      <w:r w:rsidR="00F01204" w:rsidRPr="008A1679">
        <w:t xml:space="preserve"> in leather or cement;</w:t>
      </w:r>
      <w:r w:rsidRPr="008A1679">
        <w:t xml:space="preserve"> 4-</w:t>
      </w:r>
      <w:proofErr w:type="spellStart"/>
      <w:r w:rsidRPr="008A1679">
        <w:t>phenylenediamine</w:t>
      </w:r>
      <w:proofErr w:type="spellEnd"/>
      <w:r w:rsidR="00836E8F" w:rsidRPr="008A1679">
        <w:t xml:space="preserve"> or hair dye</w:t>
      </w:r>
      <w:r w:rsidRPr="008A1679">
        <w:t xml:space="preserve"> and epoxy resin. </w:t>
      </w:r>
    </w:p>
    <w:p w:rsidR="00E367C3" w:rsidRPr="008A1679" w:rsidRDefault="00594FD0" w:rsidP="00A8173D">
      <w:r w:rsidRPr="008A1679">
        <w:rPr>
          <w:b/>
          <w:bCs/>
          <w:iCs/>
        </w:rPr>
        <w:t>Conclusions</w:t>
      </w:r>
      <w:r w:rsidRPr="008A1679">
        <w:tab/>
      </w:r>
    </w:p>
    <w:p w:rsidR="00594FD0" w:rsidRPr="008A1679" w:rsidRDefault="00F01204" w:rsidP="00E367C3">
      <w:proofErr w:type="spellStart"/>
      <w:r w:rsidRPr="008A1679">
        <w:t>ICD</w:t>
      </w:r>
      <w:proofErr w:type="spellEnd"/>
      <w:r w:rsidR="005A73D9" w:rsidRPr="008A1679">
        <w:t xml:space="preserve"> </w:t>
      </w:r>
      <w:r w:rsidR="003C5009" w:rsidRPr="008A1679">
        <w:t xml:space="preserve">was </w:t>
      </w:r>
      <w:r w:rsidRPr="008A1679">
        <w:t xml:space="preserve">more </w:t>
      </w:r>
      <w:r w:rsidR="003C5009" w:rsidRPr="008A1679">
        <w:t xml:space="preserve">common </w:t>
      </w:r>
      <w:r w:rsidRPr="008A1679">
        <w:t xml:space="preserve">than </w:t>
      </w:r>
      <w:proofErr w:type="spellStart"/>
      <w:r w:rsidRPr="008A1679">
        <w:t>ACD</w:t>
      </w:r>
      <w:proofErr w:type="spellEnd"/>
      <w:r w:rsidRPr="008A1679">
        <w:t xml:space="preserve"> </w:t>
      </w:r>
      <w:r w:rsidR="003C5009" w:rsidRPr="008A1679">
        <w:t xml:space="preserve">in our patient population. </w:t>
      </w:r>
      <w:r w:rsidR="00594FD0" w:rsidRPr="008A1679">
        <w:t xml:space="preserve">The most common occupations </w:t>
      </w:r>
      <w:r w:rsidR="003D280C" w:rsidRPr="008A1679">
        <w:t xml:space="preserve">associated with </w:t>
      </w:r>
      <w:proofErr w:type="spellStart"/>
      <w:r w:rsidR="003D280C" w:rsidRPr="008A1679">
        <w:t>OCD</w:t>
      </w:r>
      <w:proofErr w:type="spellEnd"/>
      <w:r w:rsidR="003D280C" w:rsidRPr="008A1679">
        <w:t xml:space="preserve"> were </w:t>
      </w:r>
      <w:r w:rsidR="00297BB3" w:rsidRPr="008A1679">
        <w:t xml:space="preserve">healthcare workers and </w:t>
      </w:r>
      <w:r w:rsidR="00B942BC" w:rsidRPr="008A1679">
        <w:t>‘trades persons and labourers’</w:t>
      </w:r>
      <w:r w:rsidR="00594FD0" w:rsidRPr="008A1679">
        <w:t>, whi</w:t>
      </w:r>
      <w:r w:rsidR="00B61D88" w:rsidRPr="008A1679">
        <w:t>l</w:t>
      </w:r>
      <w:r w:rsidR="00203869">
        <w:t>e</w:t>
      </w:r>
      <w:r w:rsidR="00B61D88" w:rsidRPr="008A1679">
        <w:t xml:space="preserve"> the </w:t>
      </w:r>
      <w:r w:rsidR="007966BF" w:rsidRPr="008A1679">
        <w:t xml:space="preserve">highest rate </w:t>
      </w:r>
      <w:r w:rsidR="00B61D88" w:rsidRPr="008A1679">
        <w:t xml:space="preserve">of </w:t>
      </w:r>
      <w:proofErr w:type="spellStart"/>
      <w:r w:rsidR="00B61D88" w:rsidRPr="008A1679">
        <w:t>OC</w:t>
      </w:r>
      <w:r w:rsidR="00594FD0" w:rsidRPr="008A1679">
        <w:t>D</w:t>
      </w:r>
      <w:proofErr w:type="spellEnd"/>
      <w:r w:rsidR="00594FD0" w:rsidRPr="008A1679">
        <w:t xml:space="preserve"> was seen in h</w:t>
      </w:r>
      <w:r w:rsidR="00E30E4E">
        <w:t>air</w:t>
      </w:r>
      <w:r w:rsidR="00594FD0" w:rsidRPr="008A1679">
        <w:t xml:space="preserve"> and beauty workers.</w:t>
      </w:r>
      <w:r w:rsidR="00965510" w:rsidRPr="008A1679">
        <w:t xml:space="preserve"> While our rates are not true incidence rates, they nevertheless provide relative information, particularly with respect to occupations experiencing </w:t>
      </w:r>
      <w:proofErr w:type="spellStart"/>
      <w:r w:rsidR="00965510" w:rsidRPr="008A1679">
        <w:t>OCD</w:t>
      </w:r>
      <w:proofErr w:type="spellEnd"/>
      <w:r w:rsidR="00965510" w:rsidRPr="008A1679">
        <w:t xml:space="preserve"> and the causative allergens and irritants in our population</w:t>
      </w:r>
      <w:r w:rsidR="00E432F4" w:rsidRPr="008A1679">
        <w:t xml:space="preserve"> referred for diagnostic patch testing</w:t>
      </w:r>
      <w:r w:rsidR="00965510" w:rsidRPr="008A1679">
        <w:t xml:space="preserve">. </w:t>
      </w:r>
      <w:r w:rsidR="00A8173D" w:rsidRPr="008A1679">
        <w:t>The rates calculated in this study</w:t>
      </w:r>
      <w:r w:rsidR="00965510" w:rsidRPr="008A1679">
        <w:t xml:space="preserve"> are likely to be a substantial underestimation of the true levels.</w:t>
      </w:r>
    </w:p>
    <w:p w:rsidR="00E367C3" w:rsidRPr="008A1679" w:rsidRDefault="00E367C3">
      <w:pPr>
        <w:rPr>
          <w:rFonts w:cs="Arial"/>
        </w:rPr>
      </w:pPr>
      <w:r w:rsidRPr="008A1679">
        <w:rPr>
          <w:rFonts w:cs="Arial"/>
        </w:rPr>
        <w:br w:type="page"/>
      </w:r>
    </w:p>
    <w:p w:rsidR="003E2A21" w:rsidRPr="008A1679" w:rsidRDefault="003E2A21">
      <w:pPr>
        <w:rPr>
          <w:b/>
          <w:sz w:val="28"/>
        </w:rPr>
      </w:pPr>
      <w:r w:rsidRPr="008A1679">
        <w:lastRenderedPageBreak/>
        <w:br w:type="page"/>
      </w:r>
    </w:p>
    <w:p w:rsidR="00E638F8" w:rsidRPr="008A1679" w:rsidRDefault="00E367C3" w:rsidP="00E367C3">
      <w:pPr>
        <w:pStyle w:val="Heading1"/>
      </w:pPr>
      <w:bookmarkStart w:id="5" w:name="_Toc310506118"/>
      <w:r w:rsidRPr="008A1679">
        <w:lastRenderedPageBreak/>
        <w:t>Introduction</w:t>
      </w:r>
      <w:bookmarkEnd w:id="5"/>
    </w:p>
    <w:p w:rsidR="00594FD0" w:rsidRPr="008A1679" w:rsidRDefault="00594FD0" w:rsidP="00E367C3">
      <w:r w:rsidRPr="008A1679">
        <w:t>Contact dermatitis is the most common form of occupational skin disease (</w:t>
      </w:r>
      <w:proofErr w:type="spellStart"/>
      <w:r w:rsidRPr="008A1679">
        <w:t>OSD</w:t>
      </w:r>
      <w:proofErr w:type="spellEnd"/>
      <w:r w:rsidRPr="008A1679">
        <w:t xml:space="preserve">). Epidemiological data estimate that contact dermatitis accounts for 79-95% of all cases of </w:t>
      </w:r>
      <w:proofErr w:type="spellStart"/>
      <w:r w:rsidRPr="008A1679">
        <w:t>OSD</w:t>
      </w:r>
      <w:r w:rsidRPr="008A1679">
        <w:rPr>
          <w:vertAlign w:val="superscript"/>
        </w:rPr>
        <w:t>1</w:t>
      </w:r>
      <w:proofErr w:type="spellEnd"/>
      <w:r w:rsidRPr="008A1679">
        <w:rPr>
          <w:vertAlign w:val="superscript"/>
        </w:rPr>
        <w:t>-4</w:t>
      </w:r>
      <w:r w:rsidR="0067563B" w:rsidRPr="008A1679">
        <w:t>,</w:t>
      </w:r>
      <w:r w:rsidRPr="008A1679">
        <w:t xml:space="preserve"> with contact </w:t>
      </w:r>
      <w:proofErr w:type="spellStart"/>
      <w:r w:rsidRPr="008A1679">
        <w:t>urticaria</w:t>
      </w:r>
      <w:proofErr w:type="spellEnd"/>
      <w:r w:rsidRPr="008A1679">
        <w:t xml:space="preserve">, </w:t>
      </w:r>
      <w:proofErr w:type="spellStart"/>
      <w:r w:rsidRPr="008A1679">
        <w:t>folliculitis</w:t>
      </w:r>
      <w:proofErr w:type="spellEnd"/>
      <w:r w:rsidRPr="008A1679">
        <w:t xml:space="preserve">/acne, mechanical/traumatic causes and </w:t>
      </w:r>
      <w:proofErr w:type="spellStart"/>
      <w:r w:rsidRPr="008A1679">
        <w:t>neoplasia</w:t>
      </w:r>
      <w:proofErr w:type="spellEnd"/>
      <w:r w:rsidRPr="008A1679">
        <w:t xml:space="preserve"> </w:t>
      </w:r>
      <w:r w:rsidR="00683043" w:rsidRPr="008A1679">
        <w:t>contributing to</w:t>
      </w:r>
      <w:r w:rsidRPr="008A1679">
        <w:t xml:space="preserve"> the remainder. Some countries</w:t>
      </w:r>
      <w:r w:rsidR="00BA7798" w:rsidRPr="008A1679">
        <w:t>, for example Germany</w:t>
      </w:r>
      <w:r w:rsidR="00D544A1" w:rsidRPr="008A1679">
        <w:t>,</w:t>
      </w:r>
      <w:r w:rsidR="00BA7798" w:rsidRPr="008A1679">
        <w:t xml:space="preserve"> </w:t>
      </w:r>
      <w:r w:rsidR="006866FE" w:rsidRPr="008A1679">
        <w:t>Finland</w:t>
      </w:r>
      <w:r w:rsidRPr="008A1679">
        <w:t xml:space="preserve"> </w:t>
      </w:r>
      <w:r w:rsidR="00A26C0A" w:rsidRPr="008A1679">
        <w:t xml:space="preserve">and Denmark </w:t>
      </w:r>
      <w:r w:rsidRPr="008A1679">
        <w:t xml:space="preserve">keep registers of </w:t>
      </w:r>
      <w:r w:rsidR="00442686" w:rsidRPr="008A1679">
        <w:t>occupational contact dermatitis (</w:t>
      </w:r>
      <w:proofErr w:type="spellStart"/>
      <w:r w:rsidRPr="008A1679">
        <w:t>O</w:t>
      </w:r>
      <w:r w:rsidR="006866FE" w:rsidRPr="008A1679">
        <w:t>C</w:t>
      </w:r>
      <w:r w:rsidRPr="008A1679">
        <w:t>D</w:t>
      </w:r>
      <w:proofErr w:type="spellEnd"/>
      <w:proofErr w:type="gramStart"/>
      <w:r w:rsidR="00442686" w:rsidRPr="008A1679">
        <w:t>)</w:t>
      </w:r>
      <w:r w:rsidRPr="008A1679">
        <w:rPr>
          <w:vertAlign w:val="superscript"/>
        </w:rPr>
        <w:t>3</w:t>
      </w:r>
      <w:proofErr w:type="gramEnd"/>
      <w:r w:rsidR="00114AAF" w:rsidRPr="008A1679">
        <w:rPr>
          <w:vertAlign w:val="superscript"/>
        </w:rPr>
        <w:t>, 5</w:t>
      </w:r>
      <w:r w:rsidRPr="008A1679">
        <w:rPr>
          <w:vertAlign w:val="superscript"/>
        </w:rPr>
        <w:t>-8</w:t>
      </w:r>
      <w:r w:rsidR="0067563B" w:rsidRPr="008A1679">
        <w:t>.</w:t>
      </w:r>
      <w:r w:rsidRPr="008A1679">
        <w:t xml:space="preserve"> </w:t>
      </w:r>
      <w:r w:rsidR="00193287" w:rsidRPr="008A1679">
        <w:t xml:space="preserve">Our group has reviewed the epidemiology of </w:t>
      </w:r>
      <w:proofErr w:type="spellStart"/>
      <w:r w:rsidR="00442686" w:rsidRPr="008A1679">
        <w:t>OCD</w:t>
      </w:r>
      <w:proofErr w:type="spellEnd"/>
      <w:r w:rsidR="00193287" w:rsidRPr="008A1679">
        <w:t xml:space="preserve"> </w:t>
      </w:r>
      <w:proofErr w:type="spellStart"/>
      <w:r w:rsidR="00193287" w:rsidRPr="008A1679">
        <w:t>worldwide</w:t>
      </w:r>
      <w:r w:rsidR="00442686" w:rsidRPr="008A1679">
        <w:rPr>
          <w:vertAlign w:val="superscript"/>
        </w:rPr>
        <w:t>9</w:t>
      </w:r>
      <w:proofErr w:type="spellEnd"/>
      <w:r w:rsidR="00442686" w:rsidRPr="008A1679">
        <w:t>. However, this was made difficult by</w:t>
      </w:r>
      <w:r w:rsidR="00193287" w:rsidRPr="008A1679">
        <w:t xml:space="preserve"> the lack of standardi</w:t>
      </w:r>
      <w:r w:rsidR="008A1679">
        <w:t>s</w:t>
      </w:r>
      <w:r w:rsidR="00193287" w:rsidRPr="008A1679">
        <w:t xml:space="preserve">ation of assessment of </w:t>
      </w:r>
      <w:proofErr w:type="spellStart"/>
      <w:r w:rsidR="00193287" w:rsidRPr="008A1679">
        <w:t>cases</w:t>
      </w:r>
      <w:r w:rsidR="00B6457D" w:rsidRPr="008A1679">
        <w:rPr>
          <w:vertAlign w:val="superscript"/>
        </w:rPr>
        <w:t>9</w:t>
      </w:r>
      <w:proofErr w:type="spellEnd"/>
      <w:r w:rsidR="00193287" w:rsidRPr="008A1679">
        <w:t>.</w:t>
      </w:r>
      <w:r w:rsidR="00193287" w:rsidRPr="008A1679">
        <w:rPr>
          <w:vertAlign w:val="superscript"/>
        </w:rPr>
        <w:t xml:space="preserve"> </w:t>
      </w:r>
      <w:r w:rsidR="00F7150B" w:rsidRPr="008A1679">
        <w:t xml:space="preserve">It </w:t>
      </w:r>
      <w:r w:rsidR="00442686" w:rsidRPr="008A1679">
        <w:t>is</w:t>
      </w:r>
      <w:r w:rsidR="00F7150B" w:rsidRPr="008A1679">
        <w:t xml:space="preserve"> recommended that the criteria proposed by Mathias for the determination of work-relatedness be </w:t>
      </w:r>
      <w:proofErr w:type="spellStart"/>
      <w:r w:rsidR="00F7150B" w:rsidRPr="008A1679">
        <w:t>adopted</w:t>
      </w:r>
      <w:r w:rsidR="00B6457D" w:rsidRPr="008A1679">
        <w:rPr>
          <w:vertAlign w:val="superscript"/>
        </w:rPr>
        <w:t>10</w:t>
      </w:r>
      <w:proofErr w:type="spellEnd"/>
      <w:r w:rsidR="00F7150B" w:rsidRPr="008A1679">
        <w:t>. T</w:t>
      </w:r>
      <w:r w:rsidRPr="008A1679">
        <w:t>he annual incidence of</w:t>
      </w:r>
      <w:r w:rsidR="00BA7798" w:rsidRPr="008A1679">
        <w:t xml:space="preserve"> </w:t>
      </w:r>
      <w:proofErr w:type="spellStart"/>
      <w:r w:rsidR="00705CA7" w:rsidRPr="008A1679">
        <w:t>OCD</w:t>
      </w:r>
      <w:proofErr w:type="spellEnd"/>
      <w:r w:rsidRPr="008A1679">
        <w:t xml:space="preserve"> has been estimated </w:t>
      </w:r>
      <w:r w:rsidR="006866FE" w:rsidRPr="008A1679">
        <w:t xml:space="preserve">in Germany </w:t>
      </w:r>
      <w:r w:rsidRPr="008A1679">
        <w:t>at 50-190</w:t>
      </w:r>
      <w:r w:rsidR="00442686" w:rsidRPr="008A1679">
        <w:t xml:space="preserve"> cases</w:t>
      </w:r>
      <w:r w:rsidRPr="008A1679">
        <w:t xml:space="preserve"> per 100</w:t>
      </w:r>
      <w:r w:rsidR="00203869">
        <w:t xml:space="preserve"> </w:t>
      </w:r>
      <w:r w:rsidRPr="008A1679">
        <w:t xml:space="preserve">000 </w:t>
      </w:r>
      <w:proofErr w:type="spellStart"/>
      <w:r w:rsidRPr="008A1679">
        <w:t>workers</w:t>
      </w:r>
      <w:r w:rsidR="00B6457D" w:rsidRPr="008A1679">
        <w:rPr>
          <w:vertAlign w:val="superscript"/>
        </w:rPr>
        <w:t>11</w:t>
      </w:r>
      <w:proofErr w:type="spellEnd"/>
      <w:r w:rsidR="00114AAF" w:rsidRPr="008A1679">
        <w:t>.</w:t>
      </w:r>
      <w:r w:rsidR="00BF236B" w:rsidRPr="008A1679">
        <w:t xml:space="preserve"> </w:t>
      </w:r>
      <w:r w:rsidR="00DB44E4" w:rsidRPr="008A1679">
        <w:t>In Victoria</w:t>
      </w:r>
      <w:r w:rsidR="006866FE" w:rsidRPr="008A1679">
        <w:t>, our group has estimated a</w:t>
      </w:r>
      <w:r w:rsidR="00B214D5" w:rsidRPr="008A1679">
        <w:t xml:space="preserve">n incidence rate of 20.5 </w:t>
      </w:r>
      <w:r w:rsidR="00442686" w:rsidRPr="008A1679">
        <w:t xml:space="preserve">cases </w:t>
      </w:r>
      <w:r w:rsidR="00B214D5" w:rsidRPr="008A1679">
        <w:t>per</w:t>
      </w:r>
      <w:r w:rsidR="00114AAF" w:rsidRPr="008A1679">
        <w:t xml:space="preserve"> </w:t>
      </w:r>
      <w:r w:rsidR="006866FE" w:rsidRPr="008A1679">
        <w:t>100</w:t>
      </w:r>
      <w:r w:rsidR="00203869">
        <w:t xml:space="preserve"> </w:t>
      </w:r>
      <w:r w:rsidR="006866FE" w:rsidRPr="008A1679">
        <w:t>000 workers, based on presentation to general practitioners</w:t>
      </w:r>
      <w:r w:rsidR="00DB44E4" w:rsidRPr="008A1679">
        <w:t>. W</w:t>
      </w:r>
      <w:r w:rsidR="006866FE" w:rsidRPr="008A1679">
        <w:t>e have also</w:t>
      </w:r>
      <w:r w:rsidR="000876CB" w:rsidRPr="008A1679">
        <w:t xml:space="preserve"> demonstrated that</w:t>
      </w:r>
      <w:r w:rsidRPr="008A1679">
        <w:t xml:space="preserve"> </w:t>
      </w:r>
      <w:r w:rsidR="00D54930" w:rsidRPr="008A1679">
        <w:t>for the corresponding period, the number of workers’ compensation claims was only 6.5/100</w:t>
      </w:r>
      <w:r w:rsidR="00203869">
        <w:t xml:space="preserve"> </w:t>
      </w:r>
      <w:r w:rsidR="00D54930" w:rsidRPr="008A1679">
        <w:t xml:space="preserve">000 </w:t>
      </w:r>
      <w:proofErr w:type="spellStart"/>
      <w:r w:rsidR="00D54930" w:rsidRPr="008A1679">
        <w:t>workers</w:t>
      </w:r>
      <w:r w:rsidR="002F6B92" w:rsidRPr="008A1679">
        <w:rPr>
          <w:vertAlign w:val="superscript"/>
        </w:rPr>
        <w:t>1</w:t>
      </w:r>
      <w:r w:rsidR="00B6457D" w:rsidRPr="008A1679">
        <w:rPr>
          <w:vertAlign w:val="superscript"/>
        </w:rPr>
        <w:t>2</w:t>
      </w:r>
      <w:proofErr w:type="spellEnd"/>
      <w:r w:rsidR="00BA7798" w:rsidRPr="008A1679">
        <w:t>.</w:t>
      </w:r>
      <w:r w:rsidR="00683043" w:rsidRPr="008A1679">
        <w:rPr>
          <w:vertAlign w:val="superscript"/>
        </w:rPr>
        <w:t xml:space="preserve"> </w:t>
      </w:r>
    </w:p>
    <w:p w:rsidR="00594FD0" w:rsidRPr="008A1679" w:rsidRDefault="00594FD0" w:rsidP="00E367C3">
      <w:proofErr w:type="spellStart"/>
      <w:r w:rsidRPr="008A1679">
        <w:t>OSD</w:t>
      </w:r>
      <w:proofErr w:type="spellEnd"/>
      <w:r w:rsidRPr="008A1679">
        <w:t xml:space="preserve"> is of </w:t>
      </w:r>
      <w:r w:rsidR="00A26C0A" w:rsidRPr="008A1679">
        <w:t xml:space="preserve">appreciable </w:t>
      </w:r>
      <w:r w:rsidRPr="008A1679">
        <w:t xml:space="preserve">public health importance because of its significant economic </w:t>
      </w:r>
      <w:proofErr w:type="spellStart"/>
      <w:r w:rsidRPr="008A1679">
        <w:t>impact</w:t>
      </w:r>
      <w:r w:rsidR="00572652" w:rsidRPr="008A1679">
        <w:rPr>
          <w:vertAlign w:val="superscript"/>
        </w:rPr>
        <w:t>1</w:t>
      </w:r>
      <w:r w:rsidR="00B6457D" w:rsidRPr="008A1679">
        <w:rPr>
          <w:vertAlign w:val="superscript"/>
        </w:rPr>
        <w:t>3</w:t>
      </w:r>
      <w:proofErr w:type="spellEnd"/>
      <w:r w:rsidR="0049552E" w:rsidRPr="008A1679">
        <w:t>.</w:t>
      </w:r>
      <w:r w:rsidR="00683043" w:rsidRPr="008A1679">
        <w:rPr>
          <w:vertAlign w:val="superscript"/>
        </w:rPr>
        <w:t xml:space="preserve"> </w:t>
      </w:r>
      <w:r w:rsidRPr="008A1679">
        <w:t xml:space="preserve"> Estimates from the USA suggest that annual direct and indirect costs of </w:t>
      </w:r>
      <w:proofErr w:type="spellStart"/>
      <w:r w:rsidRPr="008A1679">
        <w:t>OSD</w:t>
      </w:r>
      <w:proofErr w:type="spellEnd"/>
      <w:r w:rsidRPr="008A1679">
        <w:t xml:space="preserve"> </w:t>
      </w:r>
      <w:r w:rsidR="00442686" w:rsidRPr="008A1679">
        <w:t>are</w:t>
      </w:r>
      <w:r w:rsidRPr="008A1679">
        <w:t xml:space="preserve"> approximately $22 </w:t>
      </w:r>
      <w:proofErr w:type="spellStart"/>
      <w:r w:rsidRPr="008A1679">
        <w:t>million</w:t>
      </w:r>
      <w:r w:rsidRPr="008A1679">
        <w:rPr>
          <w:vertAlign w:val="superscript"/>
        </w:rPr>
        <w:t>1</w:t>
      </w:r>
      <w:r w:rsidR="00AA1D34" w:rsidRPr="008A1679">
        <w:rPr>
          <w:vertAlign w:val="superscript"/>
        </w:rPr>
        <w:t>3</w:t>
      </w:r>
      <w:proofErr w:type="spellEnd"/>
      <w:r w:rsidR="0049552E" w:rsidRPr="008A1679">
        <w:t>.</w:t>
      </w:r>
      <w:r w:rsidRPr="008A1679">
        <w:t xml:space="preserve"> If one as</w:t>
      </w:r>
      <w:r w:rsidR="000C5834" w:rsidRPr="008A1679">
        <w:t xml:space="preserve">sumes that </w:t>
      </w:r>
      <w:r w:rsidR="0049552E" w:rsidRPr="008A1679">
        <w:t xml:space="preserve">the </w:t>
      </w:r>
      <w:r w:rsidR="00BF236B" w:rsidRPr="008A1679">
        <w:t>number of reported cases is</w:t>
      </w:r>
      <w:r w:rsidR="00A90868" w:rsidRPr="008A1679">
        <w:t xml:space="preserve"> an </w:t>
      </w:r>
      <w:r w:rsidR="000C5834" w:rsidRPr="008A1679">
        <w:t>under</w:t>
      </w:r>
      <w:r w:rsidRPr="008A1679">
        <w:t xml:space="preserve">estimate </w:t>
      </w:r>
      <w:r w:rsidR="00A90868" w:rsidRPr="008A1679">
        <w:t xml:space="preserve">of </w:t>
      </w:r>
      <w:r w:rsidRPr="008A1679">
        <w:t>the true prevalence</w:t>
      </w:r>
      <w:r w:rsidR="00F871D3" w:rsidRPr="008A1679">
        <w:t>,</w:t>
      </w:r>
      <w:r w:rsidRPr="008A1679">
        <w:t xml:space="preserve"> then the </w:t>
      </w:r>
      <w:r w:rsidR="00BF28C1" w:rsidRPr="008A1679">
        <w:t>economic</w:t>
      </w:r>
      <w:r w:rsidRPr="008A1679">
        <w:t xml:space="preserve"> costs may be substantially </w:t>
      </w:r>
      <w:proofErr w:type="spellStart"/>
      <w:r w:rsidRPr="008A1679">
        <w:t>higher</w:t>
      </w:r>
      <w:r w:rsidRPr="008A1679">
        <w:rPr>
          <w:vertAlign w:val="superscript"/>
        </w:rPr>
        <w:t>1</w:t>
      </w:r>
      <w:r w:rsidR="00AA1D34" w:rsidRPr="008A1679">
        <w:rPr>
          <w:vertAlign w:val="superscript"/>
        </w:rPr>
        <w:t>4</w:t>
      </w:r>
      <w:proofErr w:type="spellEnd"/>
      <w:r w:rsidR="001A40D4" w:rsidRPr="008A1679">
        <w:t>.</w:t>
      </w:r>
      <w:r w:rsidRPr="008A1679">
        <w:t xml:space="preserve"> At a personal level, </w:t>
      </w:r>
      <w:proofErr w:type="spellStart"/>
      <w:r w:rsidRPr="008A1679">
        <w:t>OSD</w:t>
      </w:r>
      <w:proofErr w:type="spellEnd"/>
      <w:r w:rsidRPr="008A1679">
        <w:t xml:space="preserve"> often results in days away from work</w:t>
      </w:r>
      <w:r w:rsidR="00486BDD" w:rsidRPr="008A1679" w:rsidDel="00486BDD">
        <w:rPr>
          <w:vertAlign w:val="superscript"/>
        </w:rPr>
        <w:t xml:space="preserve"> </w:t>
      </w:r>
      <w:r w:rsidRPr="008A1679">
        <w:rPr>
          <w:vertAlign w:val="superscript"/>
        </w:rPr>
        <w:t>1</w:t>
      </w:r>
      <w:r w:rsidR="00AA1D34" w:rsidRPr="008A1679">
        <w:rPr>
          <w:vertAlign w:val="superscript"/>
        </w:rPr>
        <w:t>5</w:t>
      </w:r>
      <w:r w:rsidR="00BF236B" w:rsidRPr="008A1679">
        <w:rPr>
          <w:vertAlign w:val="superscript"/>
        </w:rPr>
        <w:t>, 16</w:t>
      </w:r>
      <w:r w:rsidR="0049552E" w:rsidRPr="008A1679">
        <w:t>.</w:t>
      </w:r>
      <w:r w:rsidRPr="008A1679">
        <w:t xml:space="preserve"> In one Canadian study of 235 workers with </w:t>
      </w:r>
      <w:proofErr w:type="spellStart"/>
      <w:r w:rsidRPr="008A1679">
        <w:t>OSD</w:t>
      </w:r>
      <w:proofErr w:type="spellEnd"/>
      <w:r w:rsidRPr="008A1679">
        <w:t>, only 33% had never missed a day of work, whil</w:t>
      </w:r>
      <w:r w:rsidR="00203869">
        <w:t>e</w:t>
      </w:r>
      <w:r w:rsidRPr="008A1679">
        <w:t xml:space="preserve"> 35% had been away from work for over one </w:t>
      </w:r>
      <w:proofErr w:type="spellStart"/>
      <w:r w:rsidRPr="008A1679">
        <w:t>month</w:t>
      </w:r>
      <w:r w:rsidRPr="008A1679">
        <w:rPr>
          <w:vertAlign w:val="superscript"/>
        </w:rPr>
        <w:t>1</w:t>
      </w:r>
      <w:r w:rsidR="00AA1D34" w:rsidRPr="008A1679">
        <w:rPr>
          <w:vertAlign w:val="superscript"/>
        </w:rPr>
        <w:t>6</w:t>
      </w:r>
      <w:proofErr w:type="spellEnd"/>
      <w:r w:rsidR="00114AAF" w:rsidRPr="008A1679">
        <w:t>.</w:t>
      </w:r>
    </w:p>
    <w:p w:rsidR="00594FD0" w:rsidRPr="008A1679" w:rsidRDefault="00653246" w:rsidP="00E367C3">
      <w:r w:rsidRPr="008A1679">
        <w:t xml:space="preserve">Determination of atopy is an important aspect of </w:t>
      </w:r>
      <w:r w:rsidR="00442686" w:rsidRPr="008A1679">
        <w:t xml:space="preserve">the </w:t>
      </w:r>
      <w:r w:rsidRPr="008A1679">
        <w:t xml:space="preserve">assessment of workers with contact dermatitis, as it has been established that </w:t>
      </w:r>
      <w:proofErr w:type="spellStart"/>
      <w:r w:rsidRPr="008A1679">
        <w:t>atopics</w:t>
      </w:r>
      <w:proofErr w:type="spellEnd"/>
      <w:r w:rsidRPr="008A1679">
        <w:t xml:space="preserve"> are more likely to experience </w:t>
      </w:r>
      <w:proofErr w:type="spellStart"/>
      <w:r w:rsidRPr="008A1679">
        <w:t>OCD</w:t>
      </w:r>
      <w:r w:rsidRPr="008A1679">
        <w:rPr>
          <w:vertAlign w:val="superscript"/>
        </w:rPr>
        <w:t>1</w:t>
      </w:r>
      <w:r w:rsidR="00AA1D34" w:rsidRPr="008A1679">
        <w:rPr>
          <w:vertAlign w:val="superscript"/>
        </w:rPr>
        <w:t>7</w:t>
      </w:r>
      <w:proofErr w:type="spellEnd"/>
      <w:r w:rsidR="00114AAF" w:rsidRPr="008A1679">
        <w:t>.</w:t>
      </w:r>
      <w:r w:rsidR="00442686" w:rsidRPr="008A1679">
        <w:t xml:space="preserve"> </w:t>
      </w:r>
      <w:r w:rsidR="0088255F" w:rsidRPr="008A1679">
        <w:t xml:space="preserve">There is evidence that </w:t>
      </w:r>
      <w:proofErr w:type="spellStart"/>
      <w:r w:rsidR="00594FD0" w:rsidRPr="008A1679">
        <w:t>OCD</w:t>
      </w:r>
      <w:proofErr w:type="spellEnd"/>
      <w:r w:rsidR="00594FD0" w:rsidRPr="008A1679">
        <w:t xml:space="preserve"> can have a poor </w:t>
      </w:r>
      <w:proofErr w:type="spellStart"/>
      <w:r w:rsidR="00594FD0" w:rsidRPr="008A1679">
        <w:t>prognosis</w:t>
      </w:r>
      <w:r w:rsidR="00572652" w:rsidRPr="008A1679">
        <w:rPr>
          <w:vertAlign w:val="superscript"/>
        </w:rPr>
        <w:t>1</w:t>
      </w:r>
      <w:r w:rsidR="00AA1D34" w:rsidRPr="008A1679">
        <w:rPr>
          <w:vertAlign w:val="superscript"/>
        </w:rPr>
        <w:t>8</w:t>
      </w:r>
      <w:proofErr w:type="spellEnd"/>
      <w:r w:rsidR="00594FD0" w:rsidRPr="008A1679">
        <w:rPr>
          <w:vertAlign w:val="superscript"/>
        </w:rPr>
        <w:t>-</w:t>
      </w:r>
      <w:r w:rsidRPr="008A1679">
        <w:rPr>
          <w:vertAlign w:val="superscript"/>
        </w:rPr>
        <w:t>2</w:t>
      </w:r>
      <w:r w:rsidR="00DA3E37" w:rsidRPr="008A1679">
        <w:rPr>
          <w:vertAlign w:val="superscript"/>
        </w:rPr>
        <w:t>2</w:t>
      </w:r>
      <w:r w:rsidR="00116C9A" w:rsidRPr="008A1679">
        <w:t>.</w:t>
      </w:r>
      <w:r w:rsidR="00594FD0" w:rsidRPr="008A1679">
        <w:t xml:space="preserve"> Wall and </w:t>
      </w:r>
      <w:proofErr w:type="spellStart"/>
      <w:r w:rsidR="00594FD0" w:rsidRPr="008A1679">
        <w:t>Gebauer</w:t>
      </w:r>
      <w:proofErr w:type="spellEnd"/>
      <w:r w:rsidR="00594FD0" w:rsidRPr="008A1679">
        <w:t xml:space="preserve"> first described persistent post-occupational dermatitis (</w:t>
      </w:r>
      <w:proofErr w:type="spellStart"/>
      <w:r w:rsidR="00594FD0" w:rsidRPr="008A1679">
        <w:t>PPOD</w:t>
      </w:r>
      <w:proofErr w:type="spellEnd"/>
      <w:r w:rsidR="00594FD0" w:rsidRPr="008A1679">
        <w:t xml:space="preserve">) as on-going dermatitis for which there is no obvious present cause, precipitated by prior </w:t>
      </w:r>
      <w:proofErr w:type="spellStart"/>
      <w:r w:rsidR="00594FD0" w:rsidRPr="008A1679">
        <w:t>OCD</w:t>
      </w:r>
      <w:r w:rsidRPr="008A1679">
        <w:rPr>
          <w:vertAlign w:val="superscript"/>
        </w:rPr>
        <w:t>2</w:t>
      </w:r>
      <w:r w:rsidR="00DA3E37" w:rsidRPr="008A1679">
        <w:rPr>
          <w:vertAlign w:val="superscript"/>
        </w:rPr>
        <w:t>2</w:t>
      </w:r>
      <w:proofErr w:type="spellEnd"/>
      <w:r w:rsidR="00116C9A" w:rsidRPr="008A1679">
        <w:t>.</w:t>
      </w:r>
      <w:r w:rsidR="00594FD0" w:rsidRPr="008A1679">
        <w:t xml:space="preserve"> This has now been further </w:t>
      </w:r>
      <w:proofErr w:type="spellStart"/>
      <w:r w:rsidR="00594FD0" w:rsidRPr="008A1679">
        <w:t>described</w:t>
      </w:r>
      <w:r w:rsidR="00D0310D" w:rsidRPr="008A1679">
        <w:rPr>
          <w:vertAlign w:val="superscript"/>
        </w:rPr>
        <w:t>2</w:t>
      </w:r>
      <w:r w:rsidR="00DA3E37" w:rsidRPr="008A1679">
        <w:rPr>
          <w:vertAlign w:val="superscript"/>
        </w:rPr>
        <w:t>3</w:t>
      </w:r>
      <w:proofErr w:type="spellEnd"/>
      <w:r w:rsidR="00DB7CDB" w:rsidRPr="008A1679">
        <w:rPr>
          <w:vertAlign w:val="superscript"/>
        </w:rPr>
        <w:t>, 24</w:t>
      </w:r>
      <w:r w:rsidR="00594FD0" w:rsidRPr="008A1679">
        <w:t xml:space="preserve"> and </w:t>
      </w:r>
      <w:r w:rsidR="00116C9A" w:rsidRPr="008A1679">
        <w:t xml:space="preserve">the </w:t>
      </w:r>
      <w:r w:rsidR="00594FD0" w:rsidRPr="008A1679">
        <w:t xml:space="preserve">financial implications for the employee and employer </w:t>
      </w:r>
      <w:proofErr w:type="spellStart"/>
      <w:r w:rsidR="00594FD0" w:rsidRPr="008A1679">
        <w:t>emphasi</w:t>
      </w:r>
      <w:r w:rsidR="008A1679">
        <w:t>s</w:t>
      </w:r>
      <w:r w:rsidR="00594FD0" w:rsidRPr="008A1679">
        <w:t>ed</w:t>
      </w:r>
      <w:r w:rsidR="00572652" w:rsidRPr="008A1679">
        <w:rPr>
          <w:vertAlign w:val="superscript"/>
        </w:rPr>
        <w:t>2</w:t>
      </w:r>
      <w:r w:rsidR="00DA3E37" w:rsidRPr="008A1679">
        <w:rPr>
          <w:vertAlign w:val="superscript"/>
        </w:rPr>
        <w:t>5</w:t>
      </w:r>
      <w:proofErr w:type="spellEnd"/>
      <w:r w:rsidR="00116C9A" w:rsidRPr="008A1679">
        <w:t>.</w:t>
      </w:r>
      <w:r w:rsidR="00594FD0" w:rsidRPr="008A1679">
        <w:t xml:space="preserve"> This </w:t>
      </w:r>
      <w:r w:rsidR="00442686" w:rsidRPr="008A1679">
        <w:t>highlights</w:t>
      </w:r>
      <w:r w:rsidR="00594FD0" w:rsidRPr="008A1679">
        <w:t xml:space="preserve"> the possible long-lasting impact of </w:t>
      </w:r>
      <w:proofErr w:type="spellStart"/>
      <w:r w:rsidR="00594FD0" w:rsidRPr="008A1679">
        <w:t>OCD</w:t>
      </w:r>
      <w:proofErr w:type="spellEnd"/>
      <w:r w:rsidR="00594FD0" w:rsidRPr="008A1679">
        <w:t xml:space="preserve"> on the individual. </w:t>
      </w:r>
    </w:p>
    <w:p w:rsidR="00594FD0" w:rsidRPr="008A1679" w:rsidRDefault="007A47C0" w:rsidP="00E367C3">
      <w:proofErr w:type="spellStart"/>
      <w:r w:rsidRPr="008A1679">
        <w:t>OS</w:t>
      </w:r>
      <w:r w:rsidR="00594FD0" w:rsidRPr="008A1679">
        <w:t>D</w:t>
      </w:r>
      <w:proofErr w:type="spellEnd"/>
      <w:r w:rsidR="00594FD0" w:rsidRPr="008A1679">
        <w:t xml:space="preserve"> has been identified as a priority area for research and </w:t>
      </w:r>
      <w:proofErr w:type="spellStart"/>
      <w:r w:rsidR="00594FD0" w:rsidRPr="008A1679">
        <w:t>prevention</w:t>
      </w:r>
      <w:r w:rsidR="00594FD0" w:rsidRPr="008A1679">
        <w:rPr>
          <w:vertAlign w:val="superscript"/>
        </w:rPr>
        <w:t>1</w:t>
      </w:r>
      <w:r w:rsidR="005673A0" w:rsidRPr="008A1679">
        <w:rPr>
          <w:vertAlign w:val="superscript"/>
        </w:rPr>
        <w:t>3</w:t>
      </w:r>
      <w:proofErr w:type="spellEnd"/>
      <w:r w:rsidR="00DB7CDB" w:rsidRPr="008A1679">
        <w:rPr>
          <w:vertAlign w:val="superscript"/>
        </w:rPr>
        <w:t>, 25</w:t>
      </w:r>
      <w:r w:rsidR="00A90868" w:rsidRPr="008A1679">
        <w:t>.</w:t>
      </w:r>
      <w:r w:rsidR="00594FD0" w:rsidRPr="008A1679">
        <w:t xml:space="preserve"> The importance of </w:t>
      </w:r>
      <w:proofErr w:type="spellStart"/>
      <w:r w:rsidR="00594FD0" w:rsidRPr="008A1679">
        <w:t>OCD</w:t>
      </w:r>
      <w:proofErr w:type="spellEnd"/>
      <w:r w:rsidR="00594FD0" w:rsidRPr="008A1679">
        <w:t xml:space="preserve"> as the major cause of </w:t>
      </w:r>
      <w:proofErr w:type="spellStart"/>
      <w:r w:rsidR="00594FD0" w:rsidRPr="008A1679">
        <w:t>OSD</w:t>
      </w:r>
      <w:proofErr w:type="spellEnd"/>
      <w:r w:rsidR="00594FD0" w:rsidRPr="008A1679">
        <w:t xml:space="preserve"> has lead to widespread efforts aimed at </w:t>
      </w:r>
      <w:proofErr w:type="spellStart"/>
      <w:r w:rsidR="00594FD0" w:rsidRPr="008A1679">
        <w:t>prevention</w:t>
      </w:r>
      <w:r w:rsidR="00572652" w:rsidRPr="008A1679">
        <w:rPr>
          <w:vertAlign w:val="superscript"/>
        </w:rPr>
        <w:t>2</w:t>
      </w:r>
      <w:r w:rsidR="00865915" w:rsidRPr="008A1679">
        <w:rPr>
          <w:vertAlign w:val="superscript"/>
        </w:rPr>
        <w:t>6</w:t>
      </w:r>
      <w:proofErr w:type="spellEnd"/>
      <w:r w:rsidR="00594FD0" w:rsidRPr="008A1679">
        <w:rPr>
          <w:vertAlign w:val="superscript"/>
        </w:rPr>
        <w:t>-</w:t>
      </w:r>
      <w:r w:rsidR="00865915" w:rsidRPr="008A1679">
        <w:rPr>
          <w:vertAlign w:val="superscript"/>
        </w:rPr>
        <w:t>29</w:t>
      </w:r>
      <w:r w:rsidR="00D0310D" w:rsidRPr="008A1679">
        <w:t xml:space="preserve"> </w:t>
      </w:r>
      <w:r w:rsidR="00594FD0" w:rsidRPr="008A1679">
        <w:t xml:space="preserve">and </w:t>
      </w:r>
      <w:proofErr w:type="spellStart"/>
      <w:r w:rsidR="00594FD0" w:rsidRPr="008A1679">
        <w:t>treatment</w:t>
      </w:r>
      <w:r w:rsidR="009D2E02" w:rsidRPr="008A1679">
        <w:rPr>
          <w:vertAlign w:val="superscript"/>
        </w:rPr>
        <w:t>3</w:t>
      </w:r>
      <w:r w:rsidR="00865915" w:rsidRPr="008A1679">
        <w:rPr>
          <w:vertAlign w:val="superscript"/>
        </w:rPr>
        <w:t>0</w:t>
      </w:r>
      <w:proofErr w:type="spellEnd"/>
      <w:r w:rsidR="005673A0" w:rsidRPr="008A1679">
        <w:rPr>
          <w:vertAlign w:val="superscript"/>
        </w:rPr>
        <w:t>-</w:t>
      </w:r>
      <w:r w:rsidR="00382525" w:rsidRPr="008A1679">
        <w:rPr>
          <w:vertAlign w:val="superscript"/>
        </w:rPr>
        <w:t>3</w:t>
      </w:r>
      <w:r w:rsidR="009617A8" w:rsidRPr="008A1679">
        <w:rPr>
          <w:vertAlign w:val="superscript"/>
        </w:rPr>
        <w:t>3</w:t>
      </w:r>
      <w:r w:rsidR="00A90868" w:rsidRPr="008A1679">
        <w:t>.</w:t>
      </w:r>
      <w:r w:rsidR="00594FD0" w:rsidRPr="008A1679">
        <w:t xml:space="preserve"> Germany has introduced legislation to limit exposure to </w:t>
      </w:r>
      <w:proofErr w:type="spellStart"/>
      <w:r w:rsidR="00594FD0" w:rsidRPr="008A1679">
        <w:t>irritants</w:t>
      </w:r>
      <w:r w:rsidR="00215B1B" w:rsidRPr="008A1679">
        <w:rPr>
          <w:vertAlign w:val="superscript"/>
        </w:rPr>
        <w:t>3</w:t>
      </w:r>
      <w:r w:rsidR="009617A8" w:rsidRPr="008A1679">
        <w:rPr>
          <w:vertAlign w:val="superscript"/>
        </w:rPr>
        <w:t>4</w:t>
      </w:r>
      <w:proofErr w:type="spellEnd"/>
      <w:r w:rsidR="00594FD0" w:rsidRPr="008A1679">
        <w:t xml:space="preserve"> </w:t>
      </w:r>
      <w:r w:rsidR="000C5834" w:rsidRPr="008A1679">
        <w:t>and European legislation limits</w:t>
      </w:r>
      <w:r w:rsidR="00594FD0" w:rsidRPr="008A1679">
        <w:t xml:space="preserve"> exposure to certain </w:t>
      </w:r>
      <w:proofErr w:type="spellStart"/>
      <w:r w:rsidR="00594FD0" w:rsidRPr="008A1679">
        <w:t>allergens</w:t>
      </w:r>
      <w:r w:rsidR="00572652" w:rsidRPr="008A1679">
        <w:rPr>
          <w:vertAlign w:val="superscript"/>
        </w:rPr>
        <w:t>3</w:t>
      </w:r>
      <w:r w:rsidR="009617A8" w:rsidRPr="008A1679">
        <w:rPr>
          <w:vertAlign w:val="superscript"/>
        </w:rPr>
        <w:t>5</w:t>
      </w:r>
      <w:proofErr w:type="spellEnd"/>
      <w:r w:rsidR="00E432F4" w:rsidRPr="008A1679">
        <w:t xml:space="preserve">. </w:t>
      </w:r>
      <w:r w:rsidR="000C5834" w:rsidRPr="008A1679">
        <w:t>T</w:t>
      </w:r>
      <w:r w:rsidR="00594FD0" w:rsidRPr="008A1679">
        <w:t>he success of such legislation has already been reported</w:t>
      </w:r>
      <w:r w:rsidR="00215B1B" w:rsidRPr="008A1679">
        <w:t xml:space="preserve">, </w:t>
      </w:r>
      <w:r w:rsidR="00D5648D" w:rsidRPr="008A1679">
        <w:t xml:space="preserve">including </w:t>
      </w:r>
      <w:r w:rsidR="00215B1B" w:rsidRPr="008A1679">
        <w:t xml:space="preserve">for a predominantly non-occupational allergen such as </w:t>
      </w:r>
      <w:proofErr w:type="spellStart"/>
      <w:r w:rsidR="00215B1B" w:rsidRPr="008A1679">
        <w:t>nickel</w:t>
      </w:r>
      <w:r w:rsidR="00215B1B" w:rsidRPr="008A1679">
        <w:rPr>
          <w:vertAlign w:val="superscript"/>
        </w:rPr>
        <w:t>3</w:t>
      </w:r>
      <w:r w:rsidR="009617A8" w:rsidRPr="008A1679">
        <w:rPr>
          <w:vertAlign w:val="superscript"/>
        </w:rPr>
        <w:t>6</w:t>
      </w:r>
      <w:proofErr w:type="spellEnd"/>
      <w:r w:rsidR="00215B1B" w:rsidRPr="008A1679">
        <w:t xml:space="preserve"> and an occupational allergen, such as </w:t>
      </w:r>
      <w:proofErr w:type="spellStart"/>
      <w:r w:rsidR="00215B1B" w:rsidRPr="008A1679">
        <w:t>chromate</w:t>
      </w:r>
      <w:r w:rsidR="00594FD0" w:rsidRPr="008A1679">
        <w:rPr>
          <w:vertAlign w:val="superscript"/>
        </w:rPr>
        <w:t>3</w:t>
      </w:r>
      <w:r w:rsidR="009617A8" w:rsidRPr="008A1679">
        <w:rPr>
          <w:vertAlign w:val="superscript"/>
        </w:rPr>
        <w:t>7</w:t>
      </w:r>
      <w:proofErr w:type="spellEnd"/>
      <w:r w:rsidR="00114AAF" w:rsidRPr="008A1679">
        <w:t xml:space="preserve">. </w:t>
      </w:r>
      <w:r w:rsidR="00215B1B" w:rsidRPr="008A1679">
        <w:t xml:space="preserve">In Europe, </w:t>
      </w:r>
      <w:r w:rsidR="00416B87" w:rsidRPr="008A1679">
        <w:t xml:space="preserve">the </w:t>
      </w:r>
      <w:r w:rsidR="00215B1B" w:rsidRPr="008A1679">
        <w:t xml:space="preserve">legislated addition of ferrous sulphate to cement has resulted in a decrease in chromate allergy in cement </w:t>
      </w:r>
      <w:proofErr w:type="spellStart"/>
      <w:r w:rsidR="00215B1B" w:rsidRPr="008A1679">
        <w:t>workers</w:t>
      </w:r>
      <w:r w:rsidR="00215B1B" w:rsidRPr="008A1679">
        <w:rPr>
          <w:vertAlign w:val="superscript"/>
        </w:rPr>
        <w:t>3</w:t>
      </w:r>
      <w:r w:rsidR="009617A8" w:rsidRPr="008A1679">
        <w:rPr>
          <w:vertAlign w:val="superscript"/>
        </w:rPr>
        <w:t>7</w:t>
      </w:r>
      <w:proofErr w:type="spellEnd"/>
      <w:r w:rsidR="00215B1B" w:rsidRPr="008A1679">
        <w:t>.</w:t>
      </w:r>
      <w:r w:rsidR="00114AAF" w:rsidRPr="008A1679">
        <w:t xml:space="preserve"> </w:t>
      </w:r>
      <w:r w:rsidR="00594FD0" w:rsidRPr="008A1679">
        <w:t xml:space="preserve">However, information on </w:t>
      </w:r>
      <w:r w:rsidR="00B01C93" w:rsidRPr="008A1679">
        <w:t xml:space="preserve">the </w:t>
      </w:r>
      <w:r w:rsidR="00594FD0" w:rsidRPr="008A1679">
        <w:t>charact</w:t>
      </w:r>
      <w:r w:rsidRPr="008A1679">
        <w:t xml:space="preserve">eristics of the patients with </w:t>
      </w:r>
      <w:proofErr w:type="spellStart"/>
      <w:r w:rsidRPr="008A1679">
        <w:t>OC</w:t>
      </w:r>
      <w:r w:rsidR="00594FD0" w:rsidRPr="008A1679">
        <w:t>D</w:t>
      </w:r>
      <w:proofErr w:type="spellEnd"/>
      <w:r w:rsidR="00594FD0" w:rsidRPr="008A1679">
        <w:t xml:space="preserve"> is limited</w:t>
      </w:r>
      <w:r w:rsidR="00326505" w:rsidRPr="008A1679">
        <w:t>, especially in Australia. S</w:t>
      </w:r>
      <w:r w:rsidR="00594FD0" w:rsidRPr="008A1679">
        <w:t xml:space="preserve">uch information is likely to assist in identifying determinants </w:t>
      </w:r>
      <w:r w:rsidR="00326505" w:rsidRPr="008A1679">
        <w:t xml:space="preserve">of </w:t>
      </w:r>
      <w:proofErr w:type="spellStart"/>
      <w:r w:rsidR="00326505" w:rsidRPr="008A1679">
        <w:t>O</w:t>
      </w:r>
      <w:r w:rsidR="00D5648D" w:rsidRPr="008A1679">
        <w:t>C</w:t>
      </w:r>
      <w:r w:rsidR="00326505" w:rsidRPr="008A1679">
        <w:t>D</w:t>
      </w:r>
      <w:proofErr w:type="spellEnd"/>
      <w:r w:rsidR="00326505" w:rsidRPr="008A1679">
        <w:t xml:space="preserve"> </w:t>
      </w:r>
      <w:r w:rsidR="00594FD0" w:rsidRPr="008A1679">
        <w:t xml:space="preserve">and thereby </w:t>
      </w:r>
      <w:r w:rsidR="00326505" w:rsidRPr="008A1679">
        <w:t xml:space="preserve">lead to appropriate </w:t>
      </w:r>
      <w:r w:rsidR="00594FD0" w:rsidRPr="008A1679">
        <w:t>preventive strategies. An audit of patient records is the most cost effective first step in investigating such determinants. Therefore, we have undertaken a review of patients seen in the Occupational Dermatology Clinic in Melbourne since its inception in 1993 unti</w:t>
      </w:r>
      <w:r w:rsidR="00B01C93" w:rsidRPr="008A1679">
        <w:t>l the end of December 2010</w:t>
      </w:r>
      <w:r w:rsidR="00594FD0" w:rsidRPr="008A1679">
        <w:t xml:space="preserve">. </w:t>
      </w:r>
    </w:p>
    <w:p w:rsidR="00594FD0" w:rsidRPr="008A1679" w:rsidRDefault="00945AD4" w:rsidP="00945AD4">
      <w:pPr>
        <w:pStyle w:val="Heading1"/>
      </w:pPr>
      <w:bookmarkStart w:id="6" w:name="_Toc310506119"/>
      <w:r w:rsidRPr="008A1679">
        <w:t>Methodology</w:t>
      </w:r>
      <w:bookmarkEnd w:id="6"/>
    </w:p>
    <w:p w:rsidR="00594FD0" w:rsidRPr="008A1679" w:rsidRDefault="00594FD0" w:rsidP="00945AD4">
      <w:pPr>
        <w:pStyle w:val="Heading2"/>
      </w:pPr>
      <w:bookmarkStart w:id="7" w:name="_Toc310506120"/>
      <w:r w:rsidRPr="008A1679">
        <w:t>Patients</w:t>
      </w:r>
      <w:bookmarkEnd w:id="7"/>
    </w:p>
    <w:p w:rsidR="00594FD0" w:rsidRPr="008A1679" w:rsidRDefault="00594FD0" w:rsidP="00945AD4">
      <w:r w:rsidRPr="008A1679">
        <w:t>The study population consisted of all patients seen at the Occupational Dermatology Clinic in Melbourne, Australia between 1 January 1993 and 31</w:t>
      </w:r>
      <w:r w:rsidR="00833E60" w:rsidRPr="008A1679">
        <w:t xml:space="preserve"> December 2010</w:t>
      </w:r>
      <w:r w:rsidRPr="008A1679">
        <w:t xml:space="preserve">. This clinic is a tertiary referral clinic for the investigation of patients with </w:t>
      </w:r>
      <w:r w:rsidR="00B942BC" w:rsidRPr="008A1679">
        <w:t xml:space="preserve">suspected occupational </w:t>
      </w:r>
      <w:proofErr w:type="spellStart"/>
      <w:r w:rsidR="00B942BC" w:rsidRPr="008A1679">
        <w:t>dermatose</w:t>
      </w:r>
      <w:r w:rsidRPr="008A1679">
        <w:t>s</w:t>
      </w:r>
      <w:proofErr w:type="spellEnd"/>
      <w:r w:rsidRPr="008A1679">
        <w:t xml:space="preserve">, predominantly contact dermatitis. </w:t>
      </w:r>
      <w:r w:rsidR="00B92FDB" w:rsidRPr="008A1679">
        <w:t xml:space="preserve">There is no other contact dermatitis clinic in Australia </w:t>
      </w:r>
      <w:r w:rsidR="006D31EC" w:rsidRPr="008A1679">
        <w:t>that</w:t>
      </w:r>
      <w:r w:rsidR="000A70B7" w:rsidRPr="008A1679">
        <w:t xml:space="preserve"> </w:t>
      </w:r>
      <w:r w:rsidR="00B92FDB" w:rsidRPr="008A1679">
        <w:t>specialises in occupational cases, although occasionally workers in Victoria will be referred to the general</w:t>
      </w:r>
      <w:r w:rsidR="000A70B7" w:rsidRPr="008A1679">
        <w:t xml:space="preserve"> Contact Dermatit</w:t>
      </w:r>
      <w:r w:rsidR="00B92FDB" w:rsidRPr="008A1679">
        <w:t>is Clinic at the Sk</w:t>
      </w:r>
      <w:r w:rsidR="000A70B7" w:rsidRPr="008A1679">
        <w:t xml:space="preserve">in and Cancer Foundation, to the clinic at </w:t>
      </w:r>
      <w:r w:rsidR="00B92FDB" w:rsidRPr="008A1679">
        <w:t xml:space="preserve">Monash Medical Centre, or rarely, </w:t>
      </w:r>
      <w:r w:rsidR="00183FC1" w:rsidRPr="008A1679">
        <w:t xml:space="preserve">will </w:t>
      </w:r>
      <w:r w:rsidR="00B92FDB" w:rsidRPr="008A1679">
        <w:t>be patch tested in private practice</w:t>
      </w:r>
      <w:r w:rsidR="009D4D21" w:rsidRPr="008A1679">
        <w:t xml:space="preserve">. </w:t>
      </w:r>
      <w:r w:rsidRPr="008A1679">
        <w:t xml:space="preserve">The majority of referrals </w:t>
      </w:r>
      <w:r w:rsidR="000A5BB3" w:rsidRPr="008A1679">
        <w:t>were</w:t>
      </w:r>
      <w:r w:rsidRPr="008A1679">
        <w:t xml:space="preserve"> from dermatologists, </w:t>
      </w:r>
      <w:r w:rsidR="00183FC1" w:rsidRPr="008A1679">
        <w:t>al</w:t>
      </w:r>
      <w:r w:rsidRPr="008A1679">
        <w:t xml:space="preserve">though referrals </w:t>
      </w:r>
      <w:r w:rsidR="00B214D5" w:rsidRPr="008A1679">
        <w:t xml:space="preserve">were </w:t>
      </w:r>
      <w:r w:rsidRPr="008A1679">
        <w:t xml:space="preserve">also accepted from general practitioners, occupational physicians and </w:t>
      </w:r>
      <w:r w:rsidRPr="008A1679">
        <w:lastRenderedPageBreak/>
        <w:t xml:space="preserve">clinical medical officers, other </w:t>
      </w:r>
      <w:r w:rsidR="00203869">
        <w:t>work</w:t>
      </w:r>
      <w:r w:rsidRPr="008A1679">
        <w:t xml:space="preserve"> health staff, allergists and direct from employers. There were no exclusion criteria. </w:t>
      </w:r>
    </w:p>
    <w:p w:rsidR="00594FD0" w:rsidRPr="008A1679" w:rsidRDefault="00594FD0" w:rsidP="00945AD4">
      <w:pPr>
        <w:pStyle w:val="Heading2"/>
      </w:pPr>
      <w:bookmarkStart w:id="8" w:name="_Toc310506121"/>
      <w:r w:rsidRPr="008A1679">
        <w:t>Patch testing</w:t>
      </w:r>
      <w:r w:rsidR="007C5CE4" w:rsidRPr="008A1679">
        <w:t xml:space="preserve"> and assignation of diagnoses</w:t>
      </w:r>
      <w:bookmarkEnd w:id="8"/>
    </w:p>
    <w:p w:rsidR="00594FD0" w:rsidRPr="008A1679" w:rsidRDefault="007101FD" w:rsidP="00945AD4">
      <w:r w:rsidRPr="008A1679">
        <w:t xml:space="preserve">Patients were assessed </w:t>
      </w:r>
      <w:r w:rsidR="00885AB4" w:rsidRPr="008A1679">
        <w:t>through</w:t>
      </w:r>
      <w:r w:rsidRPr="008A1679">
        <w:t xml:space="preserve"> history-taking and examination and 95% of patients in this study group were assessed by the one occupational dermatologist (RN).</w:t>
      </w:r>
      <w:r w:rsidR="00885AB4" w:rsidRPr="008A1679">
        <w:t xml:space="preserve"> </w:t>
      </w:r>
      <w:r w:rsidR="00594FD0" w:rsidRPr="008A1679">
        <w:t xml:space="preserve">All patients who were thought clinically to have contact dermatitis were patch tested using allergens from </w:t>
      </w:r>
      <w:proofErr w:type="spellStart"/>
      <w:r w:rsidR="00594FD0" w:rsidRPr="008A1679">
        <w:t>Chemotechnique</w:t>
      </w:r>
      <w:proofErr w:type="spellEnd"/>
      <w:r w:rsidR="00594FD0" w:rsidRPr="008A1679">
        <w:t xml:space="preserve"> Diagnostics</w:t>
      </w:r>
      <w:r w:rsidR="00594FD0" w:rsidRPr="008A1679">
        <w:rPr>
          <w:vertAlign w:val="superscript"/>
        </w:rPr>
        <w:t>®</w:t>
      </w:r>
      <w:r w:rsidR="00594FD0" w:rsidRPr="008A1679">
        <w:t xml:space="preserve"> (</w:t>
      </w:r>
      <w:proofErr w:type="spellStart"/>
      <w:r w:rsidR="00594FD0" w:rsidRPr="008A1679">
        <w:t>Malmö</w:t>
      </w:r>
      <w:proofErr w:type="spellEnd"/>
      <w:r w:rsidR="00594FD0" w:rsidRPr="008A1679">
        <w:t>, Sweden) and</w:t>
      </w:r>
      <w:r w:rsidR="00833E60" w:rsidRPr="008A1679">
        <w:t>/or</w:t>
      </w:r>
      <w:r w:rsidR="00594FD0" w:rsidRPr="008A1679">
        <w:t xml:space="preserve"> </w:t>
      </w:r>
      <w:proofErr w:type="spellStart"/>
      <w:r w:rsidR="00594FD0" w:rsidRPr="008A1679">
        <w:t>Trolab</w:t>
      </w:r>
      <w:proofErr w:type="spellEnd"/>
      <w:r w:rsidR="00594FD0" w:rsidRPr="008A1679">
        <w:rPr>
          <w:vertAlign w:val="superscript"/>
        </w:rPr>
        <w:t>®</w:t>
      </w:r>
      <w:r w:rsidR="00594FD0" w:rsidRPr="008A1679">
        <w:t xml:space="preserve"> </w:t>
      </w:r>
      <w:proofErr w:type="spellStart"/>
      <w:r w:rsidR="00594FD0" w:rsidRPr="008A1679">
        <w:t>Hermal</w:t>
      </w:r>
      <w:proofErr w:type="spellEnd"/>
      <w:r w:rsidR="00594FD0" w:rsidRPr="008A1679">
        <w:t xml:space="preserve"> (</w:t>
      </w:r>
      <w:proofErr w:type="spellStart"/>
      <w:r w:rsidR="00594FD0" w:rsidRPr="008A1679">
        <w:t>Reinbek</w:t>
      </w:r>
      <w:proofErr w:type="spellEnd"/>
      <w:r w:rsidR="00594FD0" w:rsidRPr="008A1679">
        <w:t xml:space="preserve">, Germany). </w:t>
      </w:r>
      <w:r w:rsidR="008319BC" w:rsidRPr="008A1679">
        <w:t>They</w:t>
      </w:r>
      <w:r w:rsidR="00885AB4" w:rsidRPr="008A1679">
        <w:t xml:space="preserve"> were tested to an extended European standard series and to </w:t>
      </w:r>
      <w:r w:rsidR="00183FC1" w:rsidRPr="008A1679">
        <w:t xml:space="preserve">an </w:t>
      </w:r>
      <w:r w:rsidR="008319BC" w:rsidRPr="008A1679">
        <w:t xml:space="preserve">additional </w:t>
      </w:r>
      <w:r w:rsidR="00885AB4" w:rsidRPr="008A1679">
        <w:t>allergen</w:t>
      </w:r>
      <w:r w:rsidR="008319BC" w:rsidRPr="008A1679">
        <w:t xml:space="preserve"> series </w:t>
      </w:r>
      <w:r w:rsidR="00A935FB" w:rsidRPr="008A1679">
        <w:t>compiled</w:t>
      </w:r>
      <w:r w:rsidR="008319BC" w:rsidRPr="008A1679">
        <w:t xml:space="preserve"> from the international literature.</w:t>
      </w:r>
      <w:r w:rsidR="00885AB4" w:rsidRPr="008A1679">
        <w:t xml:space="preserve"> Patients were also tested </w:t>
      </w:r>
      <w:r w:rsidR="00203869">
        <w:t>with</w:t>
      </w:r>
      <w:r w:rsidR="00885AB4" w:rsidRPr="008A1679">
        <w:t xml:space="preserve"> their own samples, as indicated by their </w:t>
      </w:r>
      <w:r w:rsidR="008319BC" w:rsidRPr="008A1679">
        <w:t xml:space="preserve">occupational and personal </w:t>
      </w:r>
      <w:r w:rsidR="008474CD" w:rsidRPr="008A1679">
        <w:t>history,</w:t>
      </w:r>
      <w:r w:rsidR="00885AB4" w:rsidRPr="008A1679">
        <w:t xml:space="preserve"> prepared for testing according to De </w:t>
      </w:r>
      <w:proofErr w:type="spellStart"/>
      <w:r w:rsidR="00885AB4" w:rsidRPr="008A1679">
        <w:t>Groot</w:t>
      </w:r>
      <w:r w:rsidR="00885AB4" w:rsidRPr="008A1679">
        <w:rPr>
          <w:vertAlign w:val="superscript"/>
        </w:rPr>
        <w:t>3</w:t>
      </w:r>
      <w:r w:rsidR="004619C4" w:rsidRPr="008A1679">
        <w:rPr>
          <w:vertAlign w:val="superscript"/>
        </w:rPr>
        <w:t>8</w:t>
      </w:r>
      <w:proofErr w:type="spellEnd"/>
      <w:r w:rsidR="00885AB4" w:rsidRPr="008A1679">
        <w:t>.</w:t>
      </w:r>
      <w:r w:rsidR="00A935FB" w:rsidRPr="008A1679">
        <w:t xml:space="preserve"> </w:t>
      </w:r>
      <w:r w:rsidR="00594FD0" w:rsidRPr="008A1679">
        <w:t>Patches were applied to the back using Finn Chambers</w:t>
      </w:r>
      <w:r w:rsidR="00594FD0" w:rsidRPr="008A1679">
        <w:rPr>
          <w:vertAlign w:val="superscript"/>
        </w:rPr>
        <w:t>®</w:t>
      </w:r>
      <w:r w:rsidR="00594FD0" w:rsidRPr="008A1679">
        <w:t xml:space="preserve"> on </w:t>
      </w:r>
      <w:proofErr w:type="spellStart"/>
      <w:r w:rsidR="00594FD0" w:rsidRPr="008A1679">
        <w:t>Scanpor</w:t>
      </w:r>
      <w:proofErr w:type="spellEnd"/>
      <w:r w:rsidR="00594FD0" w:rsidRPr="008A1679">
        <w:rPr>
          <w:vertAlign w:val="superscript"/>
        </w:rPr>
        <w:t>®</w:t>
      </w:r>
      <w:r w:rsidR="00594FD0" w:rsidRPr="008A1679">
        <w:t xml:space="preserve"> (</w:t>
      </w:r>
      <w:proofErr w:type="spellStart"/>
      <w:r w:rsidR="00594FD0" w:rsidRPr="008A1679">
        <w:t>Epitest</w:t>
      </w:r>
      <w:proofErr w:type="spellEnd"/>
      <w:r w:rsidR="00594FD0" w:rsidRPr="008A1679">
        <w:t xml:space="preserve"> </w:t>
      </w:r>
      <w:proofErr w:type="spellStart"/>
      <w:r w:rsidR="00594FD0" w:rsidRPr="008A1679">
        <w:t>OY</w:t>
      </w:r>
      <w:proofErr w:type="spellEnd"/>
      <w:r w:rsidR="00594FD0" w:rsidRPr="008A1679">
        <w:t xml:space="preserve">, </w:t>
      </w:r>
      <w:proofErr w:type="spellStart"/>
      <w:r w:rsidR="00594FD0" w:rsidRPr="008A1679">
        <w:t>Tuusula</w:t>
      </w:r>
      <w:proofErr w:type="spellEnd"/>
      <w:r w:rsidR="00594FD0" w:rsidRPr="008A1679">
        <w:t xml:space="preserve">, Finland). They were removed and read at day </w:t>
      </w:r>
      <w:r w:rsidR="00BD28F5" w:rsidRPr="008A1679">
        <w:t xml:space="preserve">two </w:t>
      </w:r>
      <w:r w:rsidR="00594FD0" w:rsidRPr="008A1679">
        <w:t xml:space="preserve">or day </w:t>
      </w:r>
      <w:r w:rsidR="00BD28F5" w:rsidRPr="008A1679">
        <w:t>three</w:t>
      </w:r>
      <w:r w:rsidR="00594FD0" w:rsidRPr="008A1679">
        <w:t xml:space="preserve">, and day </w:t>
      </w:r>
      <w:r w:rsidR="00BD28F5" w:rsidRPr="008A1679">
        <w:t xml:space="preserve">four </w:t>
      </w:r>
      <w:r w:rsidR="007A47C0" w:rsidRPr="008A1679">
        <w:t xml:space="preserve">or </w:t>
      </w:r>
      <w:r w:rsidR="00BD28F5" w:rsidRPr="008A1679">
        <w:t>five</w:t>
      </w:r>
      <w:r w:rsidR="00594FD0" w:rsidRPr="008A1679">
        <w:t xml:space="preserve">. </w:t>
      </w:r>
    </w:p>
    <w:p w:rsidR="00C90EBA" w:rsidRPr="008A1679" w:rsidRDefault="00A935FB" w:rsidP="00945AD4">
      <w:r w:rsidRPr="008A1679">
        <w:t xml:space="preserve">Positive patch tests were then assigned to be </w:t>
      </w:r>
      <w:r w:rsidR="000C4431" w:rsidRPr="008A1679">
        <w:t>of relevance</w:t>
      </w:r>
      <w:r w:rsidRPr="008A1679">
        <w:t>, of past relevance, or of unknown relevance</w:t>
      </w:r>
      <w:r w:rsidR="007B3C1D" w:rsidRPr="008A1679">
        <w:t>, to the patients’ dermatitis</w:t>
      </w:r>
      <w:r w:rsidRPr="008A1679">
        <w:t>. In order to diagnose allergic contact dermatitis</w:t>
      </w:r>
      <w:r w:rsidR="00960ACF" w:rsidRPr="008A1679">
        <w:t xml:space="preserve"> (</w:t>
      </w:r>
      <w:proofErr w:type="spellStart"/>
      <w:r w:rsidR="00960ACF" w:rsidRPr="008A1679">
        <w:t>ACD</w:t>
      </w:r>
      <w:proofErr w:type="spellEnd"/>
      <w:r w:rsidR="00960ACF" w:rsidRPr="008A1679">
        <w:t>)</w:t>
      </w:r>
      <w:r w:rsidRPr="008A1679">
        <w:t xml:space="preserve">, there must be not only a positive patch test, but some history of relevant exposure </w:t>
      </w:r>
      <w:r w:rsidR="00183FC1" w:rsidRPr="008A1679">
        <w:t>that</w:t>
      </w:r>
      <w:r w:rsidR="00C90EBA" w:rsidRPr="008A1679">
        <w:t xml:space="preserve"> would account for the distribution</w:t>
      </w:r>
      <w:r w:rsidR="000C4431" w:rsidRPr="008A1679">
        <w:t xml:space="preserve"> of the dermatitis on the skin</w:t>
      </w:r>
      <w:r w:rsidR="00C90EBA" w:rsidRPr="008A1679">
        <w:t xml:space="preserve"> and </w:t>
      </w:r>
      <w:r w:rsidR="000C4431" w:rsidRPr="008A1679">
        <w:t xml:space="preserve">its </w:t>
      </w:r>
      <w:r w:rsidR="00C90EBA" w:rsidRPr="008A1679">
        <w:t xml:space="preserve">time </w:t>
      </w:r>
      <w:proofErr w:type="spellStart"/>
      <w:r w:rsidR="00C90EBA" w:rsidRPr="008A1679">
        <w:t>course</w:t>
      </w:r>
      <w:r w:rsidR="00AE7486" w:rsidRPr="008A1679">
        <w:rPr>
          <w:vertAlign w:val="superscript"/>
        </w:rPr>
        <w:t>31</w:t>
      </w:r>
      <w:proofErr w:type="spellEnd"/>
      <w:r w:rsidR="000C4431" w:rsidRPr="008A1679">
        <w:t xml:space="preserve">. </w:t>
      </w:r>
      <w:r w:rsidRPr="008A1679">
        <w:t xml:space="preserve">For example, a </w:t>
      </w:r>
      <w:r w:rsidR="00C90EBA" w:rsidRPr="008A1679">
        <w:t>30 year old cleaner was</w:t>
      </w:r>
      <w:r w:rsidRPr="008A1679">
        <w:t xml:space="preserve"> identified</w:t>
      </w:r>
      <w:r w:rsidR="00C90EBA" w:rsidRPr="008A1679">
        <w:t xml:space="preserve"> with a positive reaction to nickel, which was assigned to be of old relevance from c</w:t>
      </w:r>
      <w:r w:rsidR="00183FC1" w:rsidRPr="008A1679">
        <w:t xml:space="preserve">ontact with nickel in jewellery. The positive reaction to nickel was considered to be </w:t>
      </w:r>
      <w:r w:rsidR="00C90EBA" w:rsidRPr="008A1679">
        <w:t>of no relevance to the presenting dermatitis, which was thought to be irritant contact dermatitis</w:t>
      </w:r>
      <w:r w:rsidR="00960ACF" w:rsidRPr="008A1679">
        <w:t xml:space="preserve"> (</w:t>
      </w:r>
      <w:proofErr w:type="spellStart"/>
      <w:r w:rsidR="00960ACF" w:rsidRPr="008A1679">
        <w:t>ICD</w:t>
      </w:r>
      <w:proofErr w:type="spellEnd"/>
      <w:r w:rsidR="00960ACF" w:rsidRPr="008A1679">
        <w:t>)</w:t>
      </w:r>
      <w:r w:rsidR="00C90EBA" w:rsidRPr="008A1679">
        <w:t xml:space="preserve"> caused by exposure to wet work. </w:t>
      </w:r>
      <w:r w:rsidR="00EB51E2" w:rsidRPr="008A1679">
        <w:t>By convention</w:t>
      </w:r>
      <w:r w:rsidR="007B3C1D" w:rsidRPr="008A1679">
        <w:t xml:space="preserve"> in this case</w:t>
      </w:r>
      <w:r w:rsidR="00EB51E2" w:rsidRPr="008A1679">
        <w:t>, t</w:t>
      </w:r>
      <w:r w:rsidR="00C90EBA" w:rsidRPr="008A1679">
        <w:t>he reaction to nickel is termed ‘nickel allergy’, not, ‘</w:t>
      </w:r>
      <w:proofErr w:type="spellStart"/>
      <w:r w:rsidR="00960ACF" w:rsidRPr="008A1679">
        <w:t>ACD</w:t>
      </w:r>
      <w:proofErr w:type="spellEnd"/>
      <w:r w:rsidR="00960ACF" w:rsidRPr="008A1679">
        <w:t xml:space="preserve"> </w:t>
      </w:r>
      <w:r w:rsidR="00C90EBA" w:rsidRPr="008A1679">
        <w:t>to nickel’.</w:t>
      </w:r>
      <w:r w:rsidR="00EB51E2" w:rsidRPr="008A1679">
        <w:t xml:space="preserve"> </w:t>
      </w:r>
      <w:r w:rsidR="00183FC1" w:rsidRPr="008A1679">
        <w:t>T</w:t>
      </w:r>
      <w:r w:rsidR="00C90EBA" w:rsidRPr="008A1679">
        <w:t xml:space="preserve">here is no diagnostic test for </w:t>
      </w:r>
      <w:proofErr w:type="spellStart"/>
      <w:r w:rsidR="00960ACF" w:rsidRPr="008A1679">
        <w:t>ICD</w:t>
      </w:r>
      <w:proofErr w:type="spellEnd"/>
      <w:r w:rsidR="00183FC1" w:rsidRPr="008A1679">
        <w:t xml:space="preserve">. Consequently, </w:t>
      </w:r>
      <w:proofErr w:type="spellStart"/>
      <w:r w:rsidR="00183FC1" w:rsidRPr="008A1679">
        <w:t>ICD</w:t>
      </w:r>
      <w:proofErr w:type="spellEnd"/>
      <w:r w:rsidR="00C90EBA" w:rsidRPr="008A1679">
        <w:t xml:space="preserve"> is a subjective diagnosis based on the exclusion of allergy with negative </w:t>
      </w:r>
      <w:r w:rsidR="007B3C1D" w:rsidRPr="008A1679">
        <w:t xml:space="preserve">patch </w:t>
      </w:r>
      <w:r w:rsidR="00C90EBA" w:rsidRPr="008A1679">
        <w:t>testing.</w:t>
      </w:r>
    </w:p>
    <w:p w:rsidR="00A935FB" w:rsidRPr="008A1679" w:rsidRDefault="00A935FB" w:rsidP="00945AD4">
      <w:r w:rsidRPr="008A1679">
        <w:t xml:space="preserve">At the conclusion of testing, the attending physician formulated a diagnosis </w:t>
      </w:r>
      <w:r w:rsidR="00C90EBA" w:rsidRPr="008A1679">
        <w:t>relevant to the</w:t>
      </w:r>
      <w:r w:rsidRPr="008A1679">
        <w:t xml:space="preserve"> patient’s skin condition, which was discussed with the patient. This could include a number of different contributing factors, which were listed in order of importance. </w:t>
      </w:r>
      <w:r w:rsidR="00EB51E2" w:rsidRPr="008A1679">
        <w:t>Th</w:t>
      </w:r>
      <w:r w:rsidR="00183FC1" w:rsidRPr="008A1679">
        <w:t>e</w:t>
      </w:r>
      <w:r w:rsidR="00C90EBA" w:rsidRPr="008A1679">
        <w:t xml:space="preserve"> cleaner </w:t>
      </w:r>
      <w:r w:rsidR="00183FC1" w:rsidRPr="008A1679">
        <w:t xml:space="preserve">described previously </w:t>
      </w:r>
      <w:r w:rsidR="00C90EBA" w:rsidRPr="008A1679">
        <w:t xml:space="preserve">was diagnosed with </w:t>
      </w:r>
      <w:r w:rsidR="00183FC1" w:rsidRPr="008A1679">
        <w:t xml:space="preserve">first </w:t>
      </w:r>
      <w:proofErr w:type="spellStart"/>
      <w:r w:rsidR="00960ACF" w:rsidRPr="008A1679">
        <w:t>ICD</w:t>
      </w:r>
      <w:proofErr w:type="spellEnd"/>
      <w:r w:rsidR="00183FC1" w:rsidRPr="008A1679">
        <w:t>, second nickel allergy, and third a</w:t>
      </w:r>
      <w:r w:rsidR="00C90EBA" w:rsidRPr="008A1679">
        <w:t xml:space="preserve">topic eczema. </w:t>
      </w:r>
      <w:r w:rsidR="004E1F07" w:rsidRPr="008A1679">
        <w:t>Patients were given information relevant to their diagnoses, including in this case, a list of possible sources of nickel to avoid.</w:t>
      </w:r>
    </w:p>
    <w:p w:rsidR="004E1F07" w:rsidRPr="008A1679" w:rsidRDefault="004E1F07" w:rsidP="00945AD4">
      <w:r w:rsidRPr="008A1679">
        <w:t xml:space="preserve">Such a process of making a diagnosis is </w:t>
      </w:r>
      <w:r w:rsidR="00EB51E2" w:rsidRPr="008A1679">
        <w:t xml:space="preserve">both complex and </w:t>
      </w:r>
      <w:r w:rsidRPr="008A1679">
        <w:t>subjective</w:t>
      </w:r>
      <w:r w:rsidR="007B3C1D" w:rsidRPr="008A1679">
        <w:t>,</w:t>
      </w:r>
      <w:r w:rsidRPr="008A1679">
        <w:t xml:space="preserve"> and relies greatly on the experience of the attending physician.</w:t>
      </w:r>
      <w:r w:rsidR="002721C8" w:rsidRPr="008A1679">
        <w:t xml:space="preserve"> An extensive knowledge of possible sources of exposure to allergens is required.</w:t>
      </w:r>
      <w:r w:rsidR="00BF236B" w:rsidRPr="008A1679">
        <w:t xml:space="preserve"> </w:t>
      </w:r>
      <w:r w:rsidR="00DB7CDB" w:rsidRPr="008A1679">
        <w:t xml:space="preserve">An </w:t>
      </w:r>
      <w:r w:rsidR="008F7470" w:rsidRPr="008A1679">
        <w:t>algorithm is</w:t>
      </w:r>
      <w:r w:rsidR="00BF236B" w:rsidRPr="008A1679">
        <w:t xml:space="preserve"> used in the clinic to facilitate the understanding of this diagnostic process and is included </w:t>
      </w:r>
      <w:r w:rsidR="008F7470" w:rsidRPr="008A1679">
        <w:t xml:space="preserve">here </w:t>
      </w:r>
      <w:r w:rsidR="0099568D" w:rsidRPr="008A1679">
        <w:t>(</w:t>
      </w:r>
      <w:r w:rsidR="00B967B9">
        <w:fldChar w:fldCharType="begin"/>
      </w:r>
      <w:r w:rsidR="00B967B9">
        <w:instrText xml:space="preserve"> REF _Ref309393684 \h </w:instrText>
      </w:r>
      <w:r w:rsidR="00B967B9">
        <w:fldChar w:fldCharType="separate"/>
      </w:r>
      <w:r w:rsidR="005406BD" w:rsidRPr="008A1679">
        <w:t xml:space="preserve">Figure </w:t>
      </w:r>
      <w:r w:rsidR="005406BD" w:rsidRPr="008A1679">
        <w:rPr>
          <w:noProof/>
        </w:rPr>
        <w:t>1</w:t>
      </w:r>
      <w:r w:rsidR="00B967B9">
        <w:fldChar w:fldCharType="end"/>
      </w:r>
      <w:r w:rsidR="0099568D" w:rsidRPr="008A1679">
        <w:t>)</w:t>
      </w:r>
      <w:r w:rsidR="00BF236B" w:rsidRPr="008A1679">
        <w:t>.</w:t>
      </w:r>
    </w:p>
    <w:p w:rsidR="00CD2D33" w:rsidRPr="008A1679" w:rsidRDefault="00CD2D33" w:rsidP="00945AD4">
      <w:r w:rsidRPr="008A1679">
        <w:t xml:space="preserve">Finally, patients suspected of having immediate rather than delayed skin reactions were assessed with </w:t>
      </w:r>
      <w:proofErr w:type="spellStart"/>
      <w:r w:rsidRPr="008A1679">
        <w:t>radioallergosorbent</w:t>
      </w:r>
      <w:proofErr w:type="spellEnd"/>
      <w:r w:rsidRPr="008A1679">
        <w:t xml:space="preserve"> testing (</w:t>
      </w:r>
      <w:proofErr w:type="spellStart"/>
      <w:r w:rsidRPr="008A1679">
        <w:t>RAST</w:t>
      </w:r>
      <w:proofErr w:type="spellEnd"/>
      <w:r w:rsidRPr="008A1679">
        <w:t xml:space="preserve">), </w:t>
      </w:r>
      <w:r w:rsidR="00FB4C9D" w:rsidRPr="008A1679">
        <w:t xml:space="preserve">a blood test used to diagnose </w:t>
      </w:r>
      <w:r w:rsidRPr="008A1679">
        <w:t>latex allergy, and/or prick tested to relevant immediate allergens to which they had been exposed, particularly foodstuffs. Prick testing involves placing a small amount of the suspected allergic material on the ventral aspect of the forearm and pricking the skin with a lancet (Hollister-</w:t>
      </w:r>
      <w:proofErr w:type="spellStart"/>
      <w:r w:rsidRPr="008A1679">
        <w:t>Stier</w:t>
      </w:r>
      <w:proofErr w:type="spellEnd"/>
      <w:r w:rsidR="00FB4C9D" w:rsidRPr="008A1679">
        <w:rPr>
          <w:vertAlign w:val="superscript"/>
        </w:rPr>
        <w:t>®</w:t>
      </w:r>
      <w:r w:rsidRPr="008A1679">
        <w:t xml:space="preserve">), and comparing any resulting wheal and </w:t>
      </w:r>
      <w:r w:rsidR="006F4666" w:rsidRPr="008A1679">
        <w:t xml:space="preserve">surrounding </w:t>
      </w:r>
      <w:r w:rsidRPr="008A1679">
        <w:t xml:space="preserve">flare </w:t>
      </w:r>
      <w:r w:rsidR="006F4666" w:rsidRPr="008A1679">
        <w:t>reaction to</w:t>
      </w:r>
      <w:r w:rsidRPr="008A1679">
        <w:t xml:space="preserve"> a positive control (histamine</w:t>
      </w:r>
      <w:r w:rsidR="00AE7486" w:rsidRPr="008A1679">
        <w:t>, Hollister-</w:t>
      </w:r>
      <w:proofErr w:type="spellStart"/>
      <w:r w:rsidR="00AE7486" w:rsidRPr="008A1679">
        <w:t>Stier</w:t>
      </w:r>
      <w:proofErr w:type="spellEnd"/>
      <w:r w:rsidR="00AE7486" w:rsidRPr="008A1679">
        <w:rPr>
          <w:vertAlign w:val="superscript"/>
        </w:rPr>
        <w:t>®</w:t>
      </w:r>
      <w:r w:rsidRPr="008A1679">
        <w:t xml:space="preserve">) and negative control (0.9% saline). Relevant positive reactions were diagnosed with contact </w:t>
      </w:r>
      <w:proofErr w:type="spellStart"/>
      <w:r w:rsidRPr="008A1679">
        <w:t>urticaria</w:t>
      </w:r>
      <w:proofErr w:type="spellEnd"/>
      <w:r w:rsidRPr="008A1679">
        <w:t>.</w:t>
      </w:r>
    </w:p>
    <w:p w:rsidR="00465FC4" w:rsidRPr="008A1679" w:rsidRDefault="001A40D4" w:rsidP="00945AD4">
      <w:pPr>
        <w:pStyle w:val="Heading2"/>
      </w:pPr>
      <w:bookmarkStart w:id="9" w:name="_Toc310506122"/>
      <w:r w:rsidRPr="008A1679">
        <w:t>Possible diagnoses</w:t>
      </w:r>
      <w:bookmarkEnd w:id="9"/>
    </w:p>
    <w:p w:rsidR="00465FC4" w:rsidRPr="008A1679" w:rsidRDefault="001A40D4" w:rsidP="00945AD4">
      <w:r w:rsidRPr="008A1679">
        <w:t xml:space="preserve">The following </w:t>
      </w:r>
      <w:r w:rsidR="00FC39E4" w:rsidRPr="008A1679">
        <w:t>diagnostics</w:t>
      </w:r>
      <w:r w:rsidRPr="008A1679">
        <w:t xml:space="preserve"> categories were used</w:t>
      </w:r>
      <w:r w:rsidR="00480AE3" w:rsidRPr="008A1679">
        <w:t>:</w:t>
      </w:r>
      <w:r w:rsidR="00FC39E4" w:rsidRPr="008A1679">
        <w:t xml:space="preserve"> </w:t>
      </w:r>
      <w:proofErr w:type="spellStart"/>
      <w:r w:rsidR="00960ACF" w:rsidRPr="008A1679">
        <w:t>ICD</w:t>
      </w:r>
      <w:proofErr w:type="spellEnd"/>
      <w:r w:rsidR="00FC39E4" w:rsidRPr="008A1679">
        <w:t xml:space="preserve">, </w:t>
      </w:r>
      <w:proofErr w:type="spellStart"/>
      <w:r w:rsidR="000F7E61" w:rsidRPr="008A1679">
        <w:t>ACD</w:t>
      </w:r>
      <w:proofErr w:type="spellEnd"/>
      <w:r w:rsidR="000F7E61" w:rsidRPr="008A1679">
        <w:t xml:space="preserve">, </w:t>
      </w:r>
      <w:r w:rsidR="00FC39E4" w:rsidRPr="008A1679">
        <w:t>‘endogenous’</w:t>
      </w:r>
      <w:r w:rsidR="000F7E61" w:rsidRPr="008A1679">
        <w:t>,</w:t>
      </w:r>
      <w:r w:rsidR="00FC39E4" w:rsidRPr="008A1679">
        <w:t xml:space="preserve"> which implies that the diagnosis is a form of eczema, psoriasis, latex allergy, contact </w:t>
      </w:r>
      <w:proofErr w:type="spellStart"/>
      <w:r w:rsidR="00FC39E4" w:rsidRPr="008A1679">
        <w:t>urticaria</w:t>
      </w:r>
      <w:proofErr w:type="spellEnd"/>
      <w:r w:rsidR="000F7E61" w:rsidRPr="008A1679">
        <w:t>,</w:t>
      </w:r>
      <w:r w:rsidR="00FC39E4" w:rsidRPr="008A1679">
        <w:t xml:space="preserve"> and </w:t>
      </w:r>
      <w:proofErr w:type="spellStart"/>
      <w:r w:rsidR="000F7E61" w:rsidRPr="008A1679">
        <w:t>PPOD</w:t>
      </w:r>
      <w:proofErr w:type="spellEnd"/>
      <w:r w:rsidR="00FC39E4" w:rsidRPr="008A1679">
        <w:t xml:space="preserve">. </w:t>
      </w:r>
      <w:r w:rsidR="006F4666" w:rsidRPr="008A1679">
        <w:t>Atopic eczema wa</w:t>
      </w:r>
      <w:r w:rsidR="00480AE3" w:rsidRPr="008A1679">
        <w:t xml:space="preserve">s the major type of eczema diagnosed, but there are other forms of non-atopic eczema as well. </w:t>
      </w:r>
      <w:r w:rsidR="00FC39E4" w:rsidRPr="008A1679">
        <w:t>These terms are further explained in the Glossary.</w:t>
      </w:r>
    </w:p>
    <w:p w:rsidR="0099568D" w:rsidRPr="008A1679" w:rsidRDefault="00F93849" w:rsidP="0099568D">
      <w:pPr>
        <w:keepNext/>
      </w:pPr>
      <w:r>
        <w:rPr>
          <w:noProof/>
        </w:rPr>
        <w:lastRenderedPageBreak/>
        <w:drawing>
          <wp:inline distT="0" distB="0" distL="0" distR="0">
            <wp:extent cx="6183926" cy="4371975"/>
            <wp:effectExtent l="19050" t="0" r="7324" b="0"/>
            <wp:docPr id="4" name="Picture 3" descr="understanding you skin condi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derstanding you skin condition.jpg"/>
                    <pic:cNvPicPr/>
                  </pic:nvPicPr>
                  <pic:blipFill>
                    <a:blip r:embed="rId11" cstate="print"/>
                    <a:stretch>
                      <a:fillRect/>
                    </a:stretch>
                  </pic:blipFill>
                  <pic:spPr>
                    <a:xfrm>
                      <a:off x="0" y="0"/>
                      <a:ext cx="6198020" cy="4381939"/>
                    </a:xfrm>
                    <a:prstGeom prst="rect">
                      <a:avLst/>
                    </a:prstGeom>
                  </pic:spPr>
                </pic:pic>
              </a:graphicData>
            </a:graphic>
          </wp:inline>
        </w:drawing>
      </w:r>
    </w:p>
    <w:p w:rsidR="00183FC1" w:rsidRPr="008A1679" w:rsidRDefault="0099568D" w:rsidP="002834C4">
      <w:pPr>
        <w:pStyle w:val="Caption"/>
      </w:pPr>
      <w:bookmarkStart w:id="10" w:name="_Ref309393684"/>
      <w:bookmarkStart w:id="11" w:name="_Toc310506138"/>
      <w:r w:rsidRPr="008A1679">
        <w:t xml:space="preserve">Figure </w:t>
      </w:r>
      <w:r w:rsidR="00B967B9" w:rsidRPr="008A1679">
        <w:fldChar w:fldCharType="begin"/>
      </w:r>
      <w:r w:rsidRPr="008A1679">
        <w:instrText xml:space="preserve"> SEQ Figure \* ARABIC </w:instrText>
      </w:r>
      <w:r w:rsidR="00B967B9" w:rsidRPr="008A1679">
        <w:fldChar w:fldCharType="separate"/>
      </w:r>
      <w:r w:rsidR="005406BD" w:rsidRPr="008A1679">
        <w:rPr>
          <w:noProof/>
        </w:rPr>
        <w:t>1</w:t>
      </w:r>
      <w:r w:rsidR="00B967B9" w:rsidRPr="008A1679">
        <w:fldChar w:fldCharType="end"/>
      </w:r>
      <w:bookmarkEnd w:id="10"/>
      <w:r w:rsidRPr="008A1679">
        <w:t xml:space="preserve"> </w:t>
      </w:r>
      <w:r w:rsidRPr="008A1679">
        <w:rPr>
          <w:b w:val="0"/>
        </w:rPr>
        <w:t>The clinic algorithm for understanding the diagnostic process for skin conditions</w:t>
      </w:r>
      <w:bookmarkEnd w:id="11"/>
    </w:p>
    <w:p w:rsidR="007555CF" w:rsidRPr="008A1679" w:rsidRDefault="001A40D4" w:rsidP="00945AD4">
      <w:pPr>
        <w:pStyle w:val="Heading2"/>
      </w:pPr>
      <w:bookmarkStart w:id="12" w:name="_Toc310506123"/>
      <w:r w:rsidRPr="008A1679">
        <w:t>Determination of work-relatedness</w:t>
      </w:r>
      <w:bookmarkEnd w:id="12"/>
    </w:p>
    <w:p w:rsidR="004E1F07" w:rsidRPr="008A1679" w:rsidRDefault="000F7E61" w:rsidP="00945AD4">
      <w:r w:rsidRPr="008A1679">
        <w:t>An assessment was</w:t>
      </w:r>
      <w:r w:rsidR="004E1F07" w:rsidRPr="008A1679">
        <w:t xml:space="preserve"> made</w:t>
      </w:r>
      <w:r w:rsidRPr="008A1679">
        <w:t xml:space="preserve"> at the conclusion of testing</w:t>
      </w:r>
      <w:r w:rsidR="004E1F07" w:rsidRPr="008A1679">
        <w:t xml:space="preserve"> as to whether the condition was substantially work-related, partially work-related or not work-related. In cases of substantial work-relatedness, it was thought that work was a </w:t>
      </w:r>
      <w:r w:rsidR="0098441C" w:rsidRPr="008A1679">
        <w:t xml:space="preserve">significant aggravating factor and that </w:t>
      </w:r>
      <w:r w:rsidR="004E1F07" w:rsidRPr="008A1679">
        <w:t>these patients were eligible for workers’</w:t>
      </w:r>
      <w:r w:rsidR="0098441C" w:rsidRPr="008A1679">
        <w:t xml:space="preserve"> compensation. </w:t>
      </w:r>
      <w:r w:rsidR="007555CF" w:rsidRPr="008A1679">
        <w:t xml:space="preserve">This assessment was made using the criteria of </w:t>
      </w:r>
      <w:proofErr w:type="spellStart"/>
      <w:r w:rsidR="007555CF" w:rsidRPr="008A1679">
        <w:t>Mathias</w:t>
      </w:r>
      <w:r w:rsidR="007555CF" w:rsidRPr="008A1679">
        <w:rPr>
          <w:vertAlign w:val="superscript"/>
        </w:rPr>
        <w:t>1</w:t>
      </w:r>
      <w:r w:rsidR="00865915" w:rsidRPr="008A1679">
        <w:rPr>
          <w:vertAlign w:val="superscript"/>
        </w:rPr>
        <w:t>0</w:t>
      </w:r>
      <w:proofErr w:type="spellEnd"/>
      <w:r w:rsidRPr="008A1679">
        <w:t>,</w:t>
      </w:r>
      <w:r w:rsidR="00E575F4" w:rsidRPr="008A1679">
        <w:t xml:space="preserve"> </w:t>
      </w:r>
      <w:r w:rsidR="00480AE3" w:rsidRPr="008A1679">
        <w:t>which are detailed</w:t>
      </w:r>
      <w:r w:rsidR="00E575F4" w:rsidRPr="008A1679">
        <w:t xml:space="preserve"> in</w:t>
      </w:r>
      <w:r w:rsidR="000F175D" w:rsidRPr="008A1679">
        <w:t xml:space="preserve"> </w:t>
      </w:r>
      <w:r w:rsidR="00B967B9" w:rsidRPr="008A1679">
        <w:fldChar w:fldCharType="begin"/>
      </w:r>
      <w:r w:rsidR="000F175D" w:rsidRPr="008A1679">
        <w:instrText xml:space="preserve"> REF _Ref309394273 \h </w:instrText>
      </w:r>
      <w:r w:rsidR="00B967B9" w:rsidRPr="008A1679">
        <w:fldChar w:fldCharType="separate"/>
      </w:r>
      <w:r w:rsidR="005406BD" w:rsidRPr="008A1679">
        <w:t xml:space="preserve">Table </w:t>
      </w:r>
      <w:r w:rsidR="005406BD" w:rsidRPr="008A1679">
        <w:rPr>
          <w:noProof/>
        </w:rPr>
        <w:t>1</w:t>
      </w:r>
      <w:r w:rsidR="00B967B9" w:rsidRPr="008A1679">
        <w:fldChar w:fldCharType="end"/>
      </w:r>
      <w:r w:rsidR="00E575F4" w:rsidRPr="008A1679">
        <w:t xml:space="preserve">. </w:t>
      </w:r>
      <w:r w:rsidR="007555CF" w:rsidRPr="008A1679">
        <w:t xml:space="preserve"> </w:t>
      </w:r>
      <w:r w:rsidR="004E1F07" w:rsidRPr="008A1679">
        <w:t xml:space="preserve">Workers assessed with ‘partially work-related’ skin </w:t>
      </w:r>
      <w:r w:rsidR="00083D76" w:rsidRPr="008A1679">
        <w:t>disease were</w:t>
      </w:r>
      <w:r w:rsidR="004E1F07" w:rsidRPr="008A1679">
        <w:t xml:space="preserve"> those whose </w:t>
      </w:r>
      <w:r w:rsidR="00083D76" w:rsidRPr="008A1679">
        <w:t xml:space="preserve">pre-existing </w:t>
      </w:r>
      <w:r w:rsidR="004E1F07" w:rsidRPr="008A1679">
        <w:t xml:space="preserve">skin disease was aggravated </w:t>
      </w:r>
      <w:r w:rsidR="000D66F3" w:rsidRPr="008A1679">
        <w:t>by work. These people invariably had</w:t>
      </w:r>
      <w:r w:rsidR="007268C5" w:rsidRPr="008A1679">
        <w:t xml:space="preserve"> underlying atopic eczema</w:t>
      </w:r>
      <w:r w:rsidR="00083D76" w:rsidRPr="008A1679">
        <w:t>, and where work was a partial rather than significant aggravating factor, generally making them not eligible for workers’ compensation in the relevant jurisdiction.</w:t>
      </w:r>
    </w:p>
    <w:p w:rsidR="000F175D" w:rsidRPr="008A1679" w:rsidRDefault="000F175D" w:rsidP="00BA41D6">
      <w:pPr>
        <w:pStyle w:val="Caption"/>
      </w:pPr>
      <w:bookmarkStart w:id="13" w:name="_Ref309394273"/>
      <w:bookmarkStart w:id="14" w:name="_Toc310506140"/>
      <w:r w:rsidRPr="008A1679">
        <w:t xml:space="preserve">Table </w:t>
      </w:r>
      <w:r w:rsidR="00B967B9" w:rsidRPr="008A1679">
        <w:fldChar w:fldCharType="begin"/>
      </w:r>
      <w:r w:rsidRPr="008A1679">
        <w:instrText xml:space="preserve"> SEQ Table \* ARABIC </w:instrText>
      </w:r>
      <w:r w:rsidR="00B967B9" w:rsidRPr="008A1679">
        <w:fldChar w:fldCharType="separate"/>
      </w:r>
      <w:r w:rsidR="005406BD" w:rsidRPr="008A1679">
        <w:rPr>
          <w:noProof/>
        </w:rPr>
        <w:t>1</w:t>
      </w:r>
      <w:r w:rsidR="00B967B9" w:rsidRPr="008A1679">
        <w:fldChar w:fldCharType="end"/>
      </w:r>
      <w:bookmarkEnd w:id="13"/>
      <w:r w:rsidRPr="008A1679">
        <w:t xml:space="preserve"> </w:t>
      </w:r>
      <w:r w:rsidRPr="008A1679">
        <w:rPr>
          <w:b w:val="0"/>
        </w:rPr>
        <w:t>Criteria for determining the work-relatedness of skin disease (Mathias</w:t>
      </w:r>
      <w:proofErr w:type="gramStart"/>
      <w:r w:rsidRPr="008A1679">
        <w:rPr>
          <w:b w:val="0"/>
        </w:rPr>
        <w:t>)</w:t>
      </w:r>
      <w:r w:rsidRPr="008A1679">
        <w:rPr>
          <w:b w:val="0"/>
          <w:vertAlign w:val="superscript"/>
        </w:rPr>
        <w:t>10</w:t>
      </w:r>
      <w:bookmarkEnd w:id="14"/>
      <w:proofErr w:type="gramEnd"/>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1133"/>
        <w:gridCol w:w="8110"/>
      </w:tblGrid>
      <w:tr w:rsidR="000F7E61" w:rsidRPr="008A1679" w:rsidTr="000F175D">
        <w:tc>
          <w:tcPr>
            <w:tcW w:w="1133" w:type="dxa"/>
            <w:tcBorders>
              <w:top w:val="single" w:sz="12" w:space="0" w:color="000000" w:themeColor="text1"/>
              <w:bottom w:val="single" w:sz="12" w:space="0" w:color="000000" w:themeColor="text1"/>
            </w:tcBorders>
          </w:tcPr>
          <w:p w:rsidR="000F7E61" w:rsidRPr="008A1679" w:rsidRDefault="000F7E61" w:rsidP="000F175D">
            <w:pPr>
              <w:spacing w:before="60" w:after="60"/>
              <w:jc w:val="center"/>
              <w:rPr>
                <w:b/>
              </w:rPr>
            </w:pPr>
            <w:r w:rsidRPr="008A1679">
              <w:rPr>
                <w:b/>
              </w:rPr>
              <w:t>Criterion</w:t>
            </w:r>
          </w:p>
        </w:tc>
        <w:tc>
          <w:tcPr>
            <w:tcW w:w="8110" w:type="dxa"/>
            <w:tcBorders>
              <w:top w:val="single" w:sz="12" w:space="0" w:color="000000" w:themeColor="text1"/>
              <w:bottom w:val="single" w:sz="12" w:space="0" w:color="000000" w:themeColor="text1"/>
            </w:tcBorders>
          </w:tcPr>
          <w:p w:rsidR="000F7E61" w:rsidRPr="008A1679" w:rsidRDefault="000F7E61" w:rsidP="000F175D">
            <w:pPr>
              <w:spacing w:before="60" w:after="60"/>
              <w:rPr>
                <w:b/>
              </w:rPr>
            </w:pPr>
            <w:r w:rsidRPr="008A1679">
              <w:rPr>
                <w:b/>
              </w:rPr>
              <w:t>Descriptor</w:t>
            </w:r>
          </w:p>
        </w:tc>
      </w:tr>
      <w:tr w:rsidR="000F7E61" w:rsidRPr="008A1679" w:rsidTr="000F175D">
        <w:tc>
          <w:tcPr>
            <w:tcW w:w="1133" w:type="dxa"/>
            <w:tcBorders>
              <w:top w:val="single" w:sz="12" w:space="0" w:color="000000" w:themeColor="text1"/>
            </w:tcBorders>
          </w:tcPr>
          <w:p w:rsidR="000F7E61" w:rsidRPr="008A1679" w:rsidRDefault="000F7E61" w:rsidP="000F175D">
            <w:pPr>
              <w:spacing w:before="60" w:after="60"/>
              <w:jc w:val="center"/>
              <w:rPr>
                <w:sz w:val="20"/>
                <w:szCs w:val="20"/>
              </w:rPr>
            </w:pPr>
            <w:r w:rsidRPr="008A1679">
              <w:rPr>
                <w:sz w:val="20"/>
                <w:szCs w:val="20"/>
              </w:rPr>
              <w:t>1</w:t>
            </w:r>
          </w:p>
        </w:tc>
        <w:tc>
          <w:tcPr>
            <w:tcW w:w="8110" w:type="dxa"/>
            <w:tcBorders>
              <w:top w:val="single" w:sz="12" w:space="0" w:color="000000" w:themeColor="text1"/>
            </w:tcBorders>
          </w:tcPr>
          <w:p w:rsidR="000F7E61" w:rsidRPr="008A1679" w:rsidRDefault="000F7E61" w:rsidP="000F175D">
            <w:pPr>
              <w:spacing w:before="60" w:after="60"/>
              <w:rPr>
                <w:sz w:val="20"/>
                <w:szCs w:val="20"/>
              </w:rPr>
            </w:pPr>
            <w:r w:rsidRPr="008A1679">
              <w:rPr>
                <w:sz w:val="20"/>
                <w:szCs w:val="20"/>
              </w:rPr>
              <w:t>Is the clinical appearance consistent with contact dermatitis?</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2</w:t>
            </w:r>
          </w:p>
        </w:tc>
        <w:tc>
          <w:tcPr>
            <w:tcW w:w="8110" w:type="dxa"/>
          </w:tcPr>
          <w:p w:rsidR="000F7E61" w:rsidRPr="008A1679" w:rsidRDefault="000F7E61" w:rsidP="000F175D">
            <w:pPr>
              <w:spacing w:before="60" w:after="60"/>
              <w:rPr>
                <w:sz w:val="20"/>
                <w:szCs w:val="20"/>
              </w:rPr>
            </w:pPr>
            <w:r w:rsidRPr="008A1679">
              <w:rPr>
                <w:sz w:val="20"/>
                <w:szCs w:val="20"/>
              </w:rPr>
              <w:t xml:space="preserve">Are there workplace exposures to potential </w:t>
            </w:r>
            <w:proofErr w:type="spellStart"/>
            <w:r w:rsidRPr="008A1679">
              <w:rPr>
                <w:sz w:val="20"/>
                <w:szCs w:val="20"/>
              </w:rPr>
              <w:t>cutaneous</w:t>
            </w:r>
            <w:proofErr w:type="spellEnd"/>
            <w:r w:rsidRPr="008A1679">
              <w:rPr>
                <w:sz w:val="20"/>
                <w:szCs w:val="20"/>
              </w:rPr>
              <w:t xml:space="preserve"> irritants or allergens?</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3</w:t>
            </w:r>
          </w:p>
        </w:tc>
        <w:tc>
          <w:tcPr>
            <w:tcW w:w="8110" w:type="dxa"/>
          </w:tcPr>
          <w:p w:rsidR="000F7E61" w:rsidRPr="008A1679" w:rsidRDefault="000F7E61" w:rsidP="000F175D">
            <w:pPr>
              <w:spacing w:before="60" w:after="60"/>
              <w:rPr>
                <w:sz w:val="20"/>
                <w:szCs w:val="20"/>
              </w:rPr>
            </w:pPr>
            <w:r w:rsidRPr="008A1679">
              <w:rPr>
                <w:sz w:val="20"/>
                <w:szCs w:val="20"/>
              </w:rPr>
              <w:t xml:space="preserve">Is the anatomic distribution of dermatitis consistent with </w:t>
            </w:r>
            <w:proofErr w:type="spellStart"/>
            <w:r w:rsidRPr="008A1679">
              <w:rPr>
                <w:sz w:val="20"/>
                <w:szCs w:val="20"/>
              </w:rPr>
              <w:t>cutaneous</w:t>
            </w:r>
            <w:proofErr w:type="spellEnd"/>
            <w:r w:rsidRPr="008A1679">
              <w:rPr>
                <w:sz w:val="20"/>
                <w:szCs w:val="20"/>
              </w:rPr>
              <w:t xml:space="preserve"> exposure in relation to the job task?</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4</w:t>
            </w:r>
          </w:p>
        </w:tc>
        <w:tc>
          <w:tcPr>
            <w:tcW w:w="8110" w:type="dxa"/>
          </w:tcPr>
          <w:p w:rsidR="000F7E61" w:rsidRPr="008A1679" w:rsidRDefault="000F7E61" w:rsidP="000F175D">
            <w:pPr>
              <w:spacing w:before="60" w:after="60"/>
              <w:rPr>
                <w:sz w:val="20"/>
                <w:szCs w:val="20"/>
              </w:rPr>
            </w:pPr>
            <w:r w:rsidRPr="008A1679">
              <w:rPr>
                <w:sz w:val="20"/>
                <w:szCs w:val="20"/>
              </w:rPr>
              <w:t>Is the temporal relationship between exposure and onset consistent with contact dermatitis?</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5</w:t>
            </w:r>
          </w:p>
        </w:tc>
        <w:tc>
          <w:tcPr>
            <w:tcW w:w="8110" w:type="dxa"/>
          </w:tcPr>
          <w:p w:rsidR="000F7E61" w:rsidRPr="008A1679" w:rsidRDefault="000F7E61" w:rsidP="000F175D">
            <w:pPr>
              <w:spacing w:before="60" w:after="60"/>
              <w:rPr>
                <w:sz w:val="20"/>
                <w:szCs w:val="20"/>
              </w:rPr>
            </w:pPr>
            <w:r w:rsidRPr="008A1679">
              <w:rPr>
                <w:sz w:val="20"/>
                <w:szCs w:val="20"/>
              </w:rPr>
              <w:t>Are non</w:t>
            </w:r>
            <w:r w:rsidR="000F175D" w:rsidRPr="008A1679">
              <w:rPr>
                <w:sz w:val="20"/>
                <w:szCs w:val="20"/>
              </w:rPr>
              <w:t>-</w:t>
            </w:r>
            <w:r w:rsidRPr="008A1679">
              <w:rPr>
                <w:sz w:val="20"/>
                <w:szCs w:val="20"/>
              </w:rPr>
              <w:t>occupational exposures excluded as possible causes?</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6</w:t>
            </w:r>
          </w:p>
        </w:tc>
        <w:tc>
          <w:tcPr>
            <w:tcW w:w="8110" w:type="dxa"/>
          </w:tcPr>
          <w:p w:rsidR="000F7E61" w:rsidRPr="008A1679" w:rsidRDefault="000F7E61" w:rsidP="000F175D">
            <w:pPr>
              <w:spacing w:before="60" w:after="60"/>
              <w:rPr>
                <w:sz w:val="20"/>
                <w:szCs w:val="20"/>
              </w:rPr>
            </w:pPr>
            <w:r w:rsidRPr="008A1679">
              <w:rPr>
                <w:sz w:val="20"/>
                <w:szCs w:val="20"/>
              </w:rPr>
              <w:t>Does dermatitis improve away from work exposure to the suspected irritant or allergen?</w:t>
            </w:r>
          </w:p>
        </w:tc>
      </w:tr>
      <w:tr w:rsidR="000F7E61" w:rsidRPr="008A1679" w:rsidTr="000F175D">
        <w:tc>
          <w:tcPr>
            <w:tcW w:w="1133" w:type="dxa"/>
          </w:tcPr>
          <w:p w:rsidR="000F7E61" w:rsidRPr="008A1679" w:rsidRDefault="000F7E61" w:rsidP="000F175D">
            <w:pPr>
              <w:spacing w:before="60" w:after="60"/>
              <w:jc w:val="center"/>
              <w:rPr>
                <w:sz w:val="20"/>
                <w:szCs w:val="20"/>
              </w:rPr>
            </w:pPr>
            <w:r w:rsidRPr="008A1679">
              <w:rPr>
                <w:sz w:val="20"/>
                <w:szCs w:val="20"/>
              </w:rPr>
              <w:t>7</w:t>
            </w:r>
          </w:p>
        </w:tc>
        <w:tc>
          <w:tcPr>
            <w:tcW w:w="8110" w:type="dxa"/>
          </w:tcPr>
          <w:p w:rsidR="000F7E61" w:rsidRPr="008A1679" w:rsidRDefault="000F7E61" w:rsidP="000F175D">
            <w:pPr>
              <w:spacing w:before="60" w:after="60"/>
              <w:rPr>
                <w:sz w:val="20"/>
                <w:szCs w:val="20"/>
              </w:rPr>
            </w:pPr>
            <w:r w:rsidRPr="008A1679">
              <w:rPr>
                <w:sz w:val="20"/>
                <w:szCs w:val="20"/>
              </w:rPr>
              <w:t>Do patch or provocation tests identify a probable causal agent?</w:t>
            </w:r>
          </w:p>
        </w:tc>
      </w:tr>
    </w:tbl>
    <w:p w:rsidR="007C5CE4" w:rsidRPr="008A1679" w:rsidRDefault="007C5CE4" w:rsidP="00945AD4">
      <w:pPr>
        <w:pStyle w:val="Heading2"/>
      </w:pPr>
      <w:bookmarkStart w:id="15" w:name="_Toc310506124"/>
      <w:r w:rsidRPr="008A1679">
        <w:lastRenderedPageBreak/>
        <w:t>Atopy</w:t>
      </w:r>
      <w:bookmarkEnd w:id="15"/>
    </w:p>
    <w:p w:rsidR="007C5CE4" w:rsidRPr="008A1679" w:rsidRDefault="007C5CE4" w:rsidP="00945AD4">
      <w:r w:rsidRPr="008A1679">
        <w:t>In this study, atopy was define</w:t>
      </w:r>
      <w:r w:rsidR="003A7B69" w:rsidRPr="008A1679">
        <w:t>d</w:t>
      </w:r>
      <w:r w:rsidRPr="008A1679">
        <w:t xml:space="preserve"> as a personal and family history of atopic eczema, asthma and hay fever</w:t>
      </w:r>
      <w:r w:rsidR="000B2A00" w:rsidRPr="008A1679">
        <w:t>, and was assessed by the consultant occupational dermatologist</w:t>
      </w:r>
      <w:r w:rsidRPr="008A1679">
        <w:t>.</w:t>
      </w:r>
    </w:p>
    <w:p w:rsidR="00594FD0" w:rsidRPr="008A1679" w:rsidRDefault="00594FD0" w:rsidP="00945AD4">
      <w:pPr>
        <w:pStyle w:val="Heading2"/>
      </w:pPr>
      <w:bookmarkStart w:id="16" w:name="_Toc310506125"/>
      <w:r w:rsidRPr="008A1679">
        <w:t>Classification of occupation and industry groups</w:t>
      </w:r>
      <w:bookmarkEnd w:id="16"/>
    </w:p>
    <w:p w:rsidR="00594FD0" w:rsidRPr="008A1679" w:rsidRDefault="00594FD0" w:rsidP="00945AD4">
      <w:r w:rsidRPr="008A1679">
        <w:t>The occupation of patients was classified and recorded using the Australian Bureau of Statistics</w:t>
      </w:r>
      <w:r w:rsidR="00852027" w:rsidRPr="008A1679">
        <w:t>’</w:t>
      </w:r>
      <w:r w:rsidRPr="008A1679">
        <w:t xml:space="preserve"> (ABS)</w:t>
      </w:r>
      <w:r w:rsidR="00852027" w:rsidRPr="008A1679">
        <w:t xml:space="preserve"> </w:t>
      </w:r>
      <w:r w:rsidRPr="008A1679">
        <w:t>Australian Standard Classification of Occupations (</w:t>
      </w:r>
      <w:proofErr w:type="spellStart"/>
      <w:r w:rsidRPr="008A1679">
        <w:t>ASCO</w:t>
      </w:r>
      <w:proofErr w:type="spellEnd"/>
      <w:proofErr w:type="gramStart"/>
      <w:r w:rsidRPr="008A1679">
        <w:t>)</w:t>
      </w:r>
      <w:r w:rsidRPr="008A1679">
        <w:rPr>
          <w:vertAlign w:val="superscript"/>
        </w:rPr>
        <w:t>3</w:t>
      </w:r>
      <w:r w:rsidR="004619C4" w:rsidRPr="008A1679">
        <w:rPr>
          <w:vertAlign w:val="superscript"/>
        </w:rPr>
        <w:t>9</w:t>
      </w:r>
      <w:proofErr w:type="gramEnd"/>
      <w:r w:rsidR="00E33250" w:rsidRPr="008A1679">
        <w:t>.</w:t>
      </w:r>
      <w:r w:rsidRPr="008A1679">
        <w:t xml:space="preserve"> The industry </w:t>
      </w:r>
      <w:r w:rsidR="00852027" w:rsidRPr="008A1679">
        <w:t xml:space="preserve">in which </w:t>
      </w:r>
      <w:r w:rsidRPr="008A1679">
        <w:t>patients</w:t>
      </w:r>
      <w:r w:rsidR="00852027" w:rsidRPr="008A1679">
        <w:t xml:space="preserve"> were employed</w:t>
      </w:r>
      <w:r w:rsidRPr="008A1679">
        <w:t xml:space="preserve"> was classi</w:t>
      </w:r>
      <w:r w:rsidR="00852027" w:rsidRPr="008A1679">
        <w:t>fied and recorded using the ABS’</w:t>
      </w:r>
      <w:r w:rsidRPr="008A1679">
        <w:t xml:space="preserve"> Australia</w:t>
      </w:r>
      <w:r w:rsidR="00852027" w:rsidRPr="008A1679">
        <w:t>n and</w:t>
      </w:r>
      <w:r w:rsidRPr="008A1679">
        <w:t xml:space="preserve"> New Zealand Standard Industry Classification (</w:t>
      </w:r>
      <w:proofErr w:type="spellStart"/>
      <w:r w:rsidRPr="008A1679">
        <w:t>ANZSIC</w:t>
      </w:r>
      <w:proofErr w:type="spellEnd"/>
      <w:r w:rsidR="008F7470" w:rsidRPr="008A1679">
        <w:t>)</w:t>
      </w:r>
      <w:r w:rsidR="008F7470" w:rsidRPr="008A1679">
        <w:rPr>
          <w:vertAlign w:val="superscript"/>
        </w:rPr>
        <w:t xml:space="preserve"> 40</w:t>
      </w:r>
      <w:r w:rsidR="00096F88" w:rsidRPr="008A1679">
        <w:t xml:space="preserve"> from 2001, which was at the midpoint of the data collection period 1993 to 2010</w:t>
      </w:r>
      <w:r w:rsidRPr="008A1679">
        <w:t xml:space="preserve">. For the purposes of this analysis nurses, nursing assistants, dentists, dental assistants, doctors and allied health professionals were grouped together as ‘healthcare workers’. </w:t>
      </w:r>
    </w:p>
    <w:p w:rsidR="00594FD0" w:rsidRPr="008A1679" w:rsidRDefault="00594FD0" w:rsidP="00945AD4">
      <w:pPr>
        <w:pStyle w:val="Heading2"/>
      </w:pPr>
      <w:bookmarkStart w:id="17" w:name="_Toc310506126"/>
      <w:r w:rsidRPr="008A1679">
        <w:t>Statistical Analysis</w:t>
      </w:r>
      <w:bookmarkEnd w:id="17"/>
    </w:p>
    <w:p w:rsidR="00594FD0" w:rsidRPr="008A1679" w:rsidRDefault="00594FD0" w:rsidP="00945AD4">
      <w:r w:rsidRPr="008A1679">
        <w:t>All analyses were conducted using the</w:t>
      </w:r>
      <w:r w:rsidR="00422E13" w:rsidRPr="008A1679">
        <w:t xml:space="preserve"> </w:t>
      </w:r>
      <w:proofErr w:type="spellStart"/>
      <w:r w:rsidR="00422E13" w:rsidRPr="008A1679">
        <w:t>STATA</w:t>
      </w:r>
      <w:proofErr w:type="spellEnd"/>
      <w:r w:rsidR="00422E13" w:rsidRPr="008A1679">
        <w:t xml:space="preserve"> (version 10.1</w:t>
      </w:r>
      <w:r w:rsidRPr="008A1679">
        <w:rPr>
          <w:rFonts w:eastAsia="MS Mincho"/>
        </w:rPr>
        <w:t xml:space="preserve">; </w:t>
      </w:r>
      <w:proofErr w:type="spellStart"/>
      <w:r w:rsidRPr="008A1679">
        <w:rPr>
          <w:rFonts w:eastAsia="MS Mincho"/>
        </w:rPr>
        <w:t>STATA</w:t>
      </w:r>
      <w:proofErr w:type="spellEnd"/>
      <w:r w:rsidRPr="008A1679">
        <w:rPr>
          <w:rFonts w:eastAsia="MS Mincho"/>
        </w:rPr>
        <w:t xml:space="preserve"> Corporation Texas</w:t>
      </w:r>
      <w:r w:rsidRPr="008A1679">
        <w:t>) statistical package. Contingency tables were analysed using Chi-square test</w:t>
      </w:r>
      <w:r w:rsidR="00852027" w:rsidRPr="008A1679">
        <w:t>s</w:t>
      </w:r>
      <w:r w:rsidRPr="008A1679">
        <w:t xml:space="preserve">. Fisher’s exact tests were used when one or more expected values were less than </w:t>
      </w:r>
      <w:r w:rsidR="00E33250" w:rsidRPr="008A1679">
        <w:t>five</w:t>
      </w:r>
      <w:r w:rsidRPr="008A1679">
        <w:t>. Potential differences between proportions were assessed using the 2-sample test of independent proportions. A p value less than 0.05 was considered as statistically significant.</w:t>
      </w:r>
    </w:p>
    <w:p w:rsidR="00594FD0" w:rsidRPr="008A1679" w:rsidRDefault="00594FD0" w:rsidP="00945AD4">
      <w:pPr>
        <w:pStyle w:val="Heading1"/>
      </w:pPr>
      <w:bookmarkStart w:id="18" w:name="_Toc310506127"/>
      <w:r w:rsidRPr="008A1679">
        <w:t>Results</w:t>
      </w:r>
      <w:bookmarkEnd w:id="18"/>
    </w:p>
    <w:p w:rsidR="00422E13" w:rsidRPr="008A1679" w:rsidRDefault="00422E13" w:rsidP="00945AD4">
      <w:pPr>
        <w:pStyle w:val="Heading2"/>
      </w:pPr>
      <w:bookmarkStart w:id="19" w:name="_Toc310506128"/>
      <w:r w:rsidRPr="008A1679">
        <w:t>Demographic data</w:t>
      </w:r>
      <w:bookmarkEnd w:id="19"/>
    </w:p>
    <w:p w:rsidR="00422E13" w:rsidRPr="008A1679" w:rsidRDefault="00422E13" w:rsidP="00945AD4">
      <w:r w:rsidRPr="008A1679">
        <w:t xml:space="preserve">The demographic characteristics of the sample are </w:t>
      </w:r>
      <w:r w:rsidR="005507CC" w:rsidRPr="008A1679">
        <w:t>presented</w:t>
      </w:r>
      <w:r w:rsidRPr="008A1679">
        <w:t xml:space="preserve"> in</w:t>
      </w:r>
      <w:r w:rsidR="00E96042" w:rsidRPr="008A1679">
        <w:t xml:space="preserve"> </w:t>
      </w:r>
      <w:r w:rsidR="00B967B9" w:rsidRPr="008A1679">
        <w:fldChar w:fldCharType="begin"/>
      </w:r>
      <w:r w:rsidR="00E96042" w:rsidRPr="008A1679">
        <w:instrText xml:space="preserve"> REF _Ref310426307 \h </w:instrText>
      </w:r>
      <w:r w:rsidR="00B967B9" w:rsidRPr="008A1679">
        <w:fldChar w:fldCharType="separate"/>
      </w:r>
      <w:r w:rsidR="005406BD" w:rsidRPr="008A1679">
        <w:t xml:space="preserve">Table </w:t>
      </w:r>
      <w:r w:rsidR="005406BD" w:rsidRPr="008A1679">
        <w:rPr>
          <w:noProof/>
        </w:rPr>
        <w:t>2</w:t>
      </w:r>
      <w:r w:rsidR="00B967B9" w:rsidRPr="008A1679">
        <w:fldChar w:fldCharType="end"/>
      </w:r>
      <w:r w:rsidRPr="008A1679">
        <w:t xml:space="preserve">. In total 2900 </w:t>
      </w:r>
      <w:r w:rsidR="00D7028B" w:rsidRPr="008A1679">
        <w:t xml:space="preserve">patients </w:t>
      </w:r>
      <w:r w:rsidRPr="008A1679">
        <w:t xml:space="preserve">were </w:t>
      </w:r>
      <w:r w:rsidR="007555CF" w:rsidRPr="008A1679">
        <w:t xml:space="preserve">assessed </w:t>
      </w:r>
      <w:r w:rsidRPr="008A1679">
        <w:t>in the clinic between 1 January 1993 and 31 December 2010. Of these, the majority were male (n=1609, 55.6%), and their ages ranged from 15 years to 82 years. Of</w:t>
      </w:r>
      <w:r w:rsidR="00E33250" w:rsidRPr="008A1679">
        <w:t xml:space="preserve"> all</w:t>
      </w:r>
      <w:r w:rsidRPr="008A1679">
        <w:t xml:space="preserve"> the patients seen, 217</w:t>
      </w:r>
      <w:r w:rsidR="00004874" w:rsidRPr="008A1679">
        <w:t>7</w:t>
      </w:r>
      <w:r w:rsidRPr="008A1679">
        <w:t xml:space="preserve"> (75.1%) had a skin condition that was regarded to be substantially or partially work related. </w:t>
      </w:r>
    </w:p>
    <w:p w:rsidR="00422E13" w:rsidRPr="008A1679" w:rsidRDefault="00422E13" w:rsidP="00945AD4">
      <w:r w:rsidRPr="008A1679">
        <w:t xml:space="preserve">The dermatology consultant (RN) considered 41.8% (n=1210) of all patients to be atopic based on a personal or family history of asthma, eczema or hay fever. Of the 1210 atopic patients, significantly more were women (50.4% vs. 34.8%, P&lt;0.001). </w:t>
      </w:r>
    </w:p>
    <w:p w:rsidR="00422E13" w:rsidRPr="008A1679" w:rsidRDefault="00422E13" w:rsidP="00945AD4">
      <w:pPr>
        <w:pStyle w:val="Heading2"/>
      </w:pPr>
      <w:bookmarkStart w:id="20" w:name="_Toc310506129"/>
      <w:r w:rsidRPr="008A1679">
        <w:t>Primary diagnosis</w:t>
      </w:r>
      <w:bookmarkEnd w:id="20"/>
    </w:p>
    <w:p w:rsidR="00422E13" w:rsidRPr="008A1679" w:rsidRDefault="00422E13" w:rsidP="00945AD4">
      <w:r w:rsidRPr="008A1679">
        <w:t xml:space="preserve">The majority of subjects with a </w:t>
      </w:r>
      <w:r w:rsidR="007555CF" w:rsidRPr="008A1679">
        <w:t xml:space="preserve">diagnosis which was assessed to be </w:t>
      </w:r>
      <w:r w:rsidRPr="008A1679">
        <w:t>substantially or partially work related</w:t>
      </w:r>
      <w:r w:rsidR="007555CF" w:rsidRPr="008A1679">
        <w:t>,</w:t>
      </w:r>
      <w:r w:rsidRPr="008A1679">
        <w:t xml:space="preserve"> were diagnosed </w:t>
      </w:r>
      <w:r w:rsidR="0040468B" w:rsidRPr="008A1679">
        <w:t xml:space="preserve">primarily </w:t>
      </w:r>
      <w:r w:rsidRPr="008A1679">
        <w:t xml:space="preserve">with </w:t>
      </w:r>
      <w:proofErr w:type="spellStart"/>
      <w:r w:rsidRPr="008A1679">
        <w:t>ICD</w:t>
      </w:r>
      <w:proofErr w:type="spellEnd"/>
      <w:r w:rsidRPr="008A1679">
        <w:t xml:space="preserve"> (44.0%; 958/217</w:t>
      </w:r>
      <w:r w:rsidR="00004874" w:rsidRPr="008A1679">
        <w:t>7</w:t>
      </w:r>
      <w:r w:rsidRPr="008A1679">
        <w:t xml:space="preserve">), followed by </w:t>
      </w:r>
      <w:proofErr w:type="spellStart"/>
      <w:r w:rsidRPr="008A1679">
        <w:t>ACD</w:t>
      </w:r>
      <w:proofErr w:type="spellEnd"/>
      <w:r w:rsidRPr="008A1679">
        <w:t xml:space="preserve"> (32.7%; 712/217</w:t>
      </w:r>
      <w:r w:rsidR="00004874" w:rsidRPr="008A1679">
        <w:t>7</w:t>
      </w:r>
      <w:r w:rsidRPr="008A1679">
        <w:t xml:space="preserve">) and endogenous eczema (10.5%, 229/2177). There was no significant difference in the diagnosis between the genders. The mean age of those with psoriasis and </w:t>
      </w:r>
      <w:proofErr w:type="spellStart"/>
      <w:r w:rsidRPr="008A1679">
        <w:t>PPOD</w:t>
      </w:r>
      <w:proofErr w:type="spellEnd"/>
      <w:r w:rsidRPr="008A1679">
        <w:t xml:space="preserve"> was slightly higher than those with other diagnoses.</w:t>
      </w:r>
    </w:p>
    <w:p w:rsidR="00363DD7" w:rsidRPr="008A1679" w:rsidRDefault="00363DD7" w:rsidP="00363DD7">
      <w:pPr>
        <w:pStyle w:val="Heading2"/>
      </w:pPr>
      <w:bookmarkStart w:id="21" w:name="_Toc310506130"/>
      <w:r w:rsidRPr="008A1679">
        <w:t>Irritant contact dermatitis</w:t>
      </w:r>
      <w:bookmarkEnd w:id="21"/>
      <w:r w:rsidRPr="008A1679">
        <w:t xml:space="preserve"> </w:t>
      </w:r>
    </w:p>
    <w:p w:rsidR="00905AA3" w:rsidRPr="008A1679" w:rsidRDefault="00363DD7" w:rsidP="00905AA3">
      <w:r w:rsidRPr="008A1679">
        <w:t>In those</w:t>
      </w:r>
      <w:r w:rsidR="00641665" w:rsidRPr="008A1679">
        <w:t xml:space="preserve"> patients</w:t>
      </w:r>
      <w:r w:rsidRPr="008A1679">
        <w:t xml:space="preserve"> with a primary diagnosis of </w:t>
      </w:r>
      <w:proofErr w:type="spellStart"/>
      <w:r w:rsidRPr="008A1679">
        <w:t>ICD</w:t>
      </w:r>
      <w:proofErr w:type="spellEnd"/>
      <w:r w:rsidRPr="008A1679">
        <w:t>, it was regarded as substantially work related in 89.9% (862/958) cases and partially work related in 10.0</w:t>
      </w:r>
      <w:r w:rsidR="00905AA3" w:rsidRPr="008A1679">
        <w:t xml:space="preserve">% (96/958) cases. </w:t>
      </w:r>
      <w:r w:rsidRPr="008A1679">
        <w:t>The most common skin irritants are presented in</w:t>
      </w:r>
      <w:r w:rsidR="00634FFF" w:rsidRPr="008A1679">
        <w:t xml:space="preserve"> </w:t>
      </w:r>
      <w:r w:rsidR="00B967B9" w:rsidRPr="008A1679">
        <w:fldChar w:fldCharType="begin"/>
      </w:r>
      <w:r w:rsidR="00634FFF" w:rsidRPr="008A1679">
        <w:instrText xml:space="preserve"> REF _Ref310434801 \h </w:instrText>
      </w:r>
      <w:r w:rsidR="00B967B9" w:rsidRPr="008A1679">
        <w:fldChar w:fldCharType="separate"/>
      </w:r>
      <w:r w:rsidR="005406BD" w:rsidRPr="008A1679">
        <w:t xml:space="preserve">Table </w:t>
      </w:r>
      <w:r w:rsidR="005406BD" w:rsidRPr="008A1679">
        <w:rPr>
          <w:noProof/>
        </w:rPr>
        <w:t>3</w:t>
      </w:r>
      <w:r w:rsidR="00B967B9" w:rsidRPr="008A1679">
        <w:fldChar w:fldCharType="end"/>
      </w:r>
      <w:r w:rsidRPr="008A1679">
        <w:t xml:space="preserve">. Water and wet work were the most common cause of </w:t>
      </w:r>
      <w:proofErr w:type="spellStart"/>
      <w:r w:rsidRPr="008A1679">
        <w:t>ICD</w:t>
      </w:r>
      <w:proofErr w:type="spellEnd"/>
      <w:r w:rsidRPr="008A1679">
        <w:t xml:space="preserve"> with soap and detergents the next most common.</w:t>
      </w:r>
      <w:r w:rsidR="00905AA3" w:rsidRPr="008A1679">
        <w:t xml:space="preserve"> Women were significantly more likely to have soaps/detergents (p&lt;0.001) and water/wet-work (p&lt;0.001) as causes of their </w:t>
      </w:r>
      <w:proofErr w:type="spellStart"/>
      <w:r w:rsidR="00905AA3" w:rsidRPr="008A1679">
        <w:t>ICD</w:t>
      </w:r>
      <w:proofErr w:type="spellEnd"/>
      <w:r w:rsidR="00905AA3" w:rsidRPr="008A1679">
        <w:t xml:space="preserve"> than men. Men were significantly more likely to have oils/coolants (p&lt;0.001) and solvent exposures (p&lt;0.001) as causes of their </w:t>
      </w:r>
      <w:proofErr w:type="spellStart"/>
      <w:r w:rsidR="00905AA3" w:rsidRPr="008A1679">
        <w:t>ICD</w:t>
      </w:r>
      <w:proofErr w:type="spellEnd"/>
      <w:r w:rsidR="00905AA3" w:rsidRPr="008A1679">
        <w:t>.</w:t>
      </w:r>
    </w:p>
    <w:p w:rsidR="00363DD7" w:rsidRPr="008A1679" w:rsidRDefault="00363DD7" w:rsidP="00363DD7">
      <w:r w:rsidRPr="008A1679">
        <w:t>More than 60% of subjects had more than one irritant as the cause of their skin condition (no cause 9.9%; one cause 30.1%; two causes 44.1%; three cau</w:t>
      </w:r>
      <w:r w:rsidR="00634FFF" w:rsidRPr="008A1679">
        <w:t xml:space="preserve">ses 15.8%; four causes 0.16%). </w:t>
      </w:r>
      <w:r w:rsidRPr="008A1679">
        <w:t xml:space="preserve">Of the 958 patients with a primary diagnosis of </w:t>
      </w:r>
      <w:proofErr w:type="spellStart"/>
      <w:r w:rsidRPr="008A1679">
        <w:t>ICD</w:t>
      </w:r>
      <w:proofErr w:type="spellEnd"/>
      <w:r w:rsidRPr="008A1679">
        <w:t xml:space="preserve">, 454 (47.4%) had an atopic background, however this was not significantly different from the rate of atopy in those with </w:t>
      </w:r>
      <w:proofErr w:type="spellStart"/>
      <w:r w:rsidRPr="008A1679">
        <w:t>OSD</w:t>
      </w:r>
      <w:proofErr w:type="spellEnd"/>
      <w:r w:rsidRPr="008A1679">
        <w:t xml:space="preserve"> (45.0%). While </w:t>
      </w:r>
      <w:proofErr w:type="spellStart"/>
      <w:r w:rsidRPr="008A1679">
        <w:t>ICD</w:t>
      </w:r>
      <w:proofErr w:type="spellEnd"/>
      <w:r w:rsidRPr="008A1679">
        <w:t xml:space="preserve"> was the primary diagnosis in 44.0% (958/2177) cases, it was an additional diagnosis in another 591, comprising 71.1% (1549/2177) of patients diagnosed with </w:t>
      </w:r>
      <w:proofErr w:type="spellStart"/>
      <w:r w:rsidRPr="008A1679">
        <w:t>OSD</w:t>
      </w:r>
      <w:proofErr w:type="spellEnd"/>
      <w:r w:rsidRPr="008A1679">
        <w:t>.</w:t>
      </w:r>
    </w:p>
    <w:p w:rsidR="00BA41D6" w:rsidRPr="008A1679" w:rsidRDefault="00BA41D6" w:rsidP="00BA41D6">
      <w:pPr>
        <w:pStyle w:val="Caption"/>
      </w:pPr>
      <w:bookmarkStart w:id="22" w:name="_Ref310426307"/>
      <w:bookmarkStart w:id="23" w:name="_Toc310506141"/>
      <w:r w:rsidRPr="008A1679">
        <w:lastRenderedPageBreak/>
        <w:t xml:space="preserve">Table </w:t>
      </w:r>
      <w:fldSimple w:instr=" SEQ Table \* ARABIC ">
        <w:r w:rsidR="005406BD" w:rsidRPr="008A1679">
          <w:rPr>
            <w:noProof/>
          </w:rPr>
          <w:t>2</w:t>
        </w:r>
      </w:fldSimple>
      <w:bookmarkEnd w:id="22"/>
      <w:r w:rsidRPr="008A1679">
        <w:t xml:space="preserve"> </w:t>
      </w:r>
      <w:r w:rsidRPr="008A1679">
        <w:rPr>
          <w:b w:val="0"/>
        </w:rPr>
        <w:t>Demographic characteristics of subjects by primary diagnosis</w:t>
      </w:r>
      <w:bookmarkEnd w:id="23"/>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80"/>
        <w:gridCol w:w="1519"/>
        <w:gridCol w:w="1520"/>
        <w:gridCol w:w="1520"/>
        <w:gridCol w:w="1233"/>
        <w:gridCol w:w="871"/>
      </w:tblGrid>
      <w:tr w:rsidR="005507CC" w:rsidRPr="008A1679" w:rsidTr="007F7B93">
        <w:tc>
          <w:tcPr>
            <w:tcW w:w="1396" w:type="pct"/>
            <w:tcBorders>
              <w:top w:val="single" w:sz="12" w:space="0" w:color="000000" w:themeColor="text1"/>
              <w:bottom w:val="single" w:sz="12" w:space="0" w:color="000000" w:themeColor="text1"/>
            </w:tcBorders>
          </w:tcPr>
          <w:p w:rsidR="005507CC" w:rsidRPr="008A1679" w:rsidRDefault="005507CC" w:rsidP="005507CC">
            <w:pPr>
              <w:spacing w:before="60" w:after="60"/>
              <w:rPr>
                <w:rFonts w:cs="Arial"/>
                <w:sz w:val="20"/>
                <w:szCs w:val="20"/>
              </w:rPr>
            </w:pPr>
          </w:p>
        </w:tc>
        <w:tc>
          <w:tcPr>
            <w:tcW w:w="822" w:type="pct"/>
            <w:tcBorders>
              <w:top w:val="single" w:sz="12" w:space="0" w:color="000000" w:themeColor="text1"/>
              <w:bottom w:val="single" w:sz="12" w:space="0" w:color="000000" w:themeColor="text1"/>
            </w:tcBorders>
          </w:tcPr>
          <w:p w:rsidR="005507CC" w:rsidRPr="008A1679" w:rsidRDefault="005507CC" w:rsidP="005507CC">
            <w:pPr>
              <w:spacing w:before="60" w:after="60"/>
              <w:jc w:val="center"/>
              <w:rPr>
                <w:rFonts w:cs="Arial"/>
                <w:sz w:val="20"/>
                <w:szCs w:val="20"/>
              </w:rPr>
            </w:pPr>
            <w:r w:rsidRPr="008A1679">
              <w:rPr>
                <w:rFonts w:cs="Arial"/>
                <w:sz w:val="20"/>
                <w:szCs w:val="20"/>
              </w:rPr>
              <w:t>Total</w:t>
            </w:r>
          </w:p>
          <w:p w:rsidR="005507CC" w:rsidRPr="008A1679" w:rsidRDefault="005507CC" w:rsidP="005507CC">
            <w:pPr>
              <w:spacing w:before="60" w:after="60"/>
              <w:jc w:val="center"/>
              <w:rPr>
                <w:rFonts w:cs="Arial"/>
                <w:sz w:val="20"/>
                <w:szCs w:val="20"/>
              </w:rPr>
            </w:pPr>
            <w:r w:rsidRPr="008A1679">
              <w:rPr>
                <w:rFonts w:cs="Arial"/>
                <w:sz w:val="20"/>
                <w:szCs w:val="20"/>
              </w:rPr>
              <w:t>N (%)</w:t>
            </w:r>
            <w:r w:rsidRPr="008A1679">
              <w:rPr>
                <w:rFonts w:cs="Arial"/>
                <w:sz w:val="20"/>
                <w:szCs w:val="20"/>
                <w:vertAlign w:val="superscript"/>
              </w:rPr>
              <w:t xml:space="preserve"> †</w:t>
            </w:r>
          </w:p>
        </w:tc>
        <w:tc>
          <w:tcPr>
            <w:tcW w:w="822" w:type="pct"/>
            <w:tcBorders>
              <w:top w:val="single" w:sz="12" w:space="0" w:color="000000" w:themeColor="text1"/>
              <w:bottom w:val="single" w:sz="12" w:space="0" w:color="000000" w:themeColor="text1"/>
            </w:tcBorders>
          </w:tcPr>
          <w:p w:rsidR="005507CC" w:rsidRPr="008A1679" w:rsidRDefault="005507CC" w:rsidP="005507CC">
            <w:pPr>
              <w:spacing w:before="60" w:after="60"/>
              <w:jc w:val="center"/>
              <w:rPr>
                <w:rFonts w:cs="Arial"/>
                <w:sz w:val="20"/>
                <w:szCs w:val="20"/>
              </w:rPr>
            </w:pPr>
            <w:r w:rsidRPr="008A1679">
              <w:rPr>
                <w:rFonts w:cs="Arial"/>
                <w:sz w:val="20"/>
                <w:szCs w:val="20"/>
              </w:rPr>
              <w:t>Males</w:t>
            </w:r>
          </w:p>
          <w:p w:rsidR="005507CC" w:rsidRPr="008A1679" w:rsidRDefault="005507CC" w:rsidP="005507CC">
            <w:pPr>
              <w:spacing w:before="60" w:after="60"/>
              <w:jc w:val="center"/>
              <w:rPr>
                <w:rFonts w:cs="Arial"/>
                <w:sz w:val="20"/>
                <w:szCs w:val="20"/>
              </w:rPr>
            </w:pPr>
            <w:r w:rsidRPr="008A1679">
              <w:rPr>
                <w:rFonts w:cs="Arial"/>
                <w:sz w:val="20"/>
                <w:szCs w:val="20"/>
              </w:rPr>
              <w:t>N (%)</w:t>
            </w:r>
          </w:p>
        </w:tc>
        <w:tc>
          <w:tcPr>
            <w:tcW w:w="822" w:type="pct"/>
            <w:tcBorders>
              <w:top w:val="single" w:sz="12" w:space="0" w:color="000000" w:themeColor="text1"/>
              <w:bottom w:val="single" w:sz="12" w:space="0" w:color="000000" w:themeColor="text1"/>
            </w:tcBorders>
          </w:tcPr>
          <w:p w:rsidR="005507CC" w:rsidRPr="008A1679" w:rsidRDefault="005507CC" w:rsidP="005507CC">
            <w:pPr>
              <w:spacing w:before="60" w:after="60"/>
              <w:jc w:val="center"/>
              <w:rPr>
                <w:rFonts w:cs="Arial"/>
                <w:sz w:val="20"/>
                <w:szCs w:val="20"/>
              </w:rPr>
            </w:pPr>
            <w:r w:rsidRPr="008A1679">
              <w:rPr>
                <w:rFonts w:cs="Arial"/>
                <w:sz w:val="20"/>
                <w:szCs w:val="20"/>
              </w:rPr>
              <w:t>Females</w:t>
            </w:r>
          </w:p>
          <w:p w:rsidR="005507CC" w:rsidRPr="008A1679" w:rsidRDefault="005507CC" w:rsidP="005507CC">
            <w:pPr>
              <w:spacing w:before="60" w:after="60"/>
              <w:jc w:val="center"/>
              <w:rPr>
                <w:rFonts w:cs="Arial"/>
                <w:sz w:val="20"/>
                <w:szCs w:val="20"/>
              </w:rPr>
            </w:pPr>
            <w:r w:rsidRPr="008A1679">
              <w:rPr>
                <w:rFonts w:cs="Arial"/>
                <w:sz w:val="20"/>
                <w:szCs w:val="20"/>
              </w:rPr>
              <w:t>N (%)</w:t>
            </w:r>
          </w:p>
        </w:tc>
        <w:tc>
          <w:tcPr>
            <w:tcW w:w="667" w:type="pct"/>
            <w:tcBorders>
              <w:top w:val="single" w:sz="12" w:space="0" w:color="000000" w:themeColor="text1"/>
              <w:bottom w:val="single" w:sz="12" w:space="0" w:color="000000" w:themeColor="text1"/>
            </w:tcBorders>
          </w:tcPr>
          <w:p w:rsidR="005507CC" w:rsidRPr="008A1679" w:rsidRDefault="005507CC" w:rsidP="005507CC">
            <w:pPr>
              <w:spacing w:before="60" w:after="60"/>
              <w:jc w:val="center"/>
              <w:rPr>
                <w:rFonts w:cs="Arial"/>
                <w:sz w:val="20"/>
                <w:szCs w:val="20"/>
              </w:rPr>
            </w:pPr>
            <w:r w:rsidRPr="008A1679">
              <w:rPr>
                <w:rFonts w:cs="Arial"/>
                <w:sz w:val="20"/>
                <w:szCs w:val="20"/>
              </w:rPr>
              <w:t>Age</w:t>
            </w:r>
          </w:p>
          <w:p w:rsidR="005507CC" w:rsidRPr="008A1679" w:rsidRDefault="005507CC" w:rsidP="005507CC">
            <w:pPr>
              <w:spacing w:before="60" w:after="60"/>
              <w:jc w:val="center"/>
              <w:rPr>
                <w:rFonts w:cs="Arial"/>
                <w:sz w:val="20"/>
                <w:szCs w:val="20"/>
              </w:rPr>
            </w:pPr>
            <w:r w:rsidRPr="008A1679">
              <w:rPr>
                <w:rFonts w:cs="Arial"/>
                <w:sz w:val="20"/>
                <w:szCs w:val="20"/>
              </w:rPr>
              <w:t xml:space="preserve">Mean </w:t>
            </w:r>
            <w:r w:rsidRPr="008A1679">
              <w:rPr>
                <w:rFonts w:cs="Arial"/>
                <w:sz w:val="20"/>
                <w:szCs w:val="20"/>
              </w:rPr>
              <w:sym w:font="Symbol" w:char="F0B1"/>
            </w:r>
            <w:r w:rsidRPr="008A1679">
              <w:rPr>
                <w:rFonts w:cs="Arial"/>
                <w:sz w:val="20"/>
                <w:szCs w:val="20"/>
              </w:rPr>
              <w:t xml:space="preserve"> S.D.</w:t>
            </w:r>
          </w:p>
        </w:tc>
        <w:tc>
          <w:tcPr>
            <w:tcW w:w="471" w:type="pct"/>
            <w:tcBorders>
              <w:top w:val="single" w:sz="12" w:space="0" w:color="000000" w:themeColor="text1"/>
              <w:bottom w:val="single" w:sz="12" w:space="0" w:color="000000" w:themeColor="text1"/>
            </w:tcBorders>
          </w:tcPr>
          <w:p w:rsidR="005507CC" w:rsidRPr="008A1679" w:rsidRDefault="005507CC" w:rsidP="005507CC">
            <w:pPr>
              <w:spacing w:before="60" w:after="60"/>
              <w:jc w:val="center"/>
              <w:rPr>
                <w:rFonts w:cs="Arial"/>
                <w:sz w:val="20"/>
                <w:szCs w:val="20"/>
              </w:rPr>
            </w:pPr>
            <w:r w:rsidRPr="008A1679">
              <w:rPr>
                <w:rFonts w:cs="Arial"/>
                <w:sz w:val="20"/>
                <w:szCs w:val="20"/>
              </w:rPr>
              <w:t>Age</w:t>
            </w:r>
          </w:p>
          <w:p w:rsidR="005507CC" w:rsidRPr="008A1679" w:rsidRDefault="005507CC" w:rsidP="005507CC">
            <w:pPr>
              <w:spacing w:before="60" w:after="60"/>
              <w:jc w:val="center"/>
              <w:rPr>
                <w:rFonts w:cs="Arial"/>
                <w:sz w:val="20"/>
                <w:szCs w:val="20"/>
              </w:rPr>
            </w:pPr>
            <w:r w:rsidRPr="008A1679">
              <w:rPr>
                <w:rFonts w:cs="Arial"/>
                <w:sz w:val="20"/>
                <w:szCs w:val="20"/>
              </w:rPr>
              <w:t>Year range</w:t>
            </w:r>
          </w:p>
        </w:tc>
      </w:tr>
      <w:tr w:rsidR="005507CC" w:rsidRPr="008A1679" w:rsidTr="007F7B93">
        <w:trPr>
          <w:trHeight w:val="60"/>
        </w:trPr>
        <w:tc>
          <w:tcPr>
            <w:tcW w:w="1396" w:type="pct"/>
            <w:tcBorders>
              <w:top w:val="single" w:sz="12" w:space="0" w:color="000000" w:themeColor="text1"/>
              <w:bottom w:val="single" w:sz="8" w:space="0" w:color="808080" w:themeColor="background1" w:themeShade="80"/>
            </w:tcBorders>
          </w:tcPr>
          <w:p w:rsidR="005507CC" w:rsidRPr="008A1679" w:rsidRDefault="005507CC" w:rsidP="005507CC">
            <w:pPr>
              <w:spacing w:before="60" w:after="60"/>
              <w:rPr>
                <w:rFonts w:cs="Arial"/>
                <w:b/>
                <w:sz w:val="20"/>
                <w:szCs w:val="20"/>
              </w:rPr>
            </w:pPr>
            <w:r w:rsidRPr="008A1679">
              <w:rPr>
                <w:rFonts w:cs="Arial"/>
                <w:b/>
                <w:sz w:val="20"/>
                <w:szCs w:val="20"/>
              </w:rPr>
              <w:t>Total patients</w:t>
            </w:r>
          </w:p>
        </w:tc>
        <w:tc>
          <w:tcPr>
            <w:tcW w:w="822" w:type="pct"/>
            <w:tcBorders>
              <w:top w:val="single" w:sz="12" w:space="0" w:color="000000" w:themeColor="text1"/>
              <w:bottom w:val="single" w:sz="8" w:space="0" w:color="808080" w:themeColor="background1" w:themeShade="80"/>
            </w:tcBorders>
          </w:tcPr>
          <w:p w:rsidR="005507CC" w:rsidRPr="008A1679" w:rsidRDefault="005507CC" w:rsidP="00DF238F">
            <w:pPr>
              <w:spacing w:before="60" w:after="60"/>
              <w:jc w:val="center"/>
              <w:rPr>
                <w:rFonts w:cs="Arial"/>
                <w:sz w:val="20"/>
                <w:szCs w:val="20"/>
              </w:rPr>
            </w:pPr>
            <w:r w:rsidRPr="008A1679">
              <w:rPr>
                <w:rFonts w:cs="Arial"/>
                <w:sz w:val="20"/>
                <w:szCs w:val="20"/>
              </w:rPr>
              <w:t>2900 (100)</w:t>
            </w:r>
          </w:p>
        </w:tc>
        <w:tc>
          <w:tcPr>
            <w:tcW w:w="822" w:type="pct"/>
            <w:tcBorders>
              <w:top w:val="single" w:sz="12" w:space="0" w:color="000000" w:themeColor="text1"/>
              <w:bottom w:val="single" w:sz="8" w:space="0" w:color="808080" w:themeColor="background1" w:themeShade="80"/>
            </w:tcBorders>
          </w:tcPr>
          <w:p w:rsidR="005507CC" w:rsidRPr="008A1679" w:rsidRDefault="005507CC" w:rsidP="00DF238F">
            <w:pPr>
              <w:spacing w:before="60" w:after="60"/>
              <w:jc w:val="center"/>
              <w:rPr>
                <w:rFonts w:cs="Arial"/>
                <w:sz w:val="20"/>
                <w:szCs w:val="20"/>
              </w:rPr>
            </w:pPr>
            <w:r w:rsidRPr="008A1679">
              <w:rPr>
                <w:rFonts w:cs="Arial"/>
                <w:sz w:val="20"/>
                <w:szCs w:val="20"/>
              </w:rPr>
              <w:t>1609 (55.6)</w:t>
            </w:r>
          </w:p>
        </w:tc>
        <w:tc>
          <w:tcPr>
            <w:tcW w:w="822" w:type="pct"/>
            <w:tcBorders>
              <w:top w:val="single" w:sz="12" w:space="0" w:color="000000" w:themeColor="text1"/>
              <w:bottom w:val="single" w:sz="8" w:space="0" w:color="808080" w:themeColor="background1" w:themeShade="80"/>
            </w:tcBorders>
          </w:tcPr>
          <w:p w:rsidR="005507CC" w:rsidRPr="008A1679" w:rsidRDefault="005507CC" w:rsidP="00DF238F">
            <w:pPr>
              <w:spacing w:before="60" w:after="60"/>
              <w:jc w:val="center"/>
              <w:rPr>
                <w:rFonts w:cs="Arial"/>
                <w:sz w:val="20"/>
                <w:szCs w:val="20"/>
              </w:rPr>
            </w:pPr>
            <w:r w:rsidRPr="008A1679">
              <w:rPr>
                <w:rFonts w:cs="Arial"/>
                <w:sz w:val="20"/>
                <w:szCs w:val="20"/>
              </w:rPr>
              <w:t>1287 (44.4)</w:t>
            </w:r>
          </w:p>
        </w:tc>
        <w:tc>
          <w:tcPr>
            <w:tcW w:w="667" w:type="pct"/>
            <w:tcBorders>
              <w:top w:val="single" w:sz="12" w:space="0" w:color="000000" w:themeColor="text1"/>
              <w:bottom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 xml:space="preserve">37.2 </w:t>
            </w:r>
            <w:r w:rsidRPr="008A1679">
              <w:rPr>
                <w:rFonts w:cs="Arial"/>
                <w:sz w:val="20"/>
                <w:szCs w:val="20"/>
              </w:rPr>
              <w:sym w:font="Symbol" w:char="F0B1"/>
            </w:r>
            <w:r w:rsidRPr="008A1679">
              <w:rPr>
                <w:rFonts w:cs="Arial"/>
                <w:sz w:val="20"/>
                <w:szCs w:val="20"/>
              </w:rPr>
              <w:t xml:space="preserve"> 12.8</w:t>
            </w:r>
          </w:p>
        </w:tc>
        <w:tc>
          <w:tcPr>
            <w:tcW w:w="471" w:type="pct"/>
            <w:tcBorders>
              <w:top w:val="single" w:sz="12" w:space="0" w:color="000000" w:themeColor="text1"/>
              <w:bottom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15-82</w:t>
            </w:r>
          </w:p>
        </w:tc>
      </w:tr>
      <w:tr w:rsidR="005507CC" w:rsidRPr="008A1679" w:rsidTr="007F7B93">
        <w:tc>
          <w:tcPr>
            <w:tcW w:w="1396" w:type="pct"/>
            <w:tcBorders>
              <w:top w:val="single" w:sz="8" w:space="0" w:color="808080" w:themeColor="background1" w:themeShade="80"/>
            </w:tcBorders>
          </w:tcPr>
          <w:p w:rsidR="005507CC" w:rsidRPr="008A1679" w:rsidRDefault="005507CC" w:rsidP="005507CC">
            <w:pPr>
              <w:spacing w:before="60" w:after="60"/>
              <w:rPr>
                <w:rFonts w:cs="Arial"/>
                <w:b/>
                <w:sz w:val="20"/>
                <w:szCs w:val="20"/>
              </w:rPr>
            </w:pPr>
            <w:r w:rsidRPr="008A1679">
              <w:rPr>
                <w:rFonts w:cs="Arial"/>
                <w:b/>
                <w:sz w:val="20"/>
                <w:szCs w:val="20"/>
              </w:rPr>
              <w:t>Work related diagnosis</w:t>
            </w: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667"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471"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p>
        </w:tc>
      </w:tr>
      <w:tr w:rsidR="005507CC" w:rsidRPr="008A1679" w:rsidTr="004454FE">
        <w:tc>
          <w:tcPr>
            <w:tcW w:w="1396" w:type="pct"/>
          </w:tcPr>
          <w:p w:rsidR="005507CC" w:rsidRPr="008A1679" w:rsidRDefault="0077422A" w:rsidP="005507CC">
            <w:pPr>
              <w:spacing w:before="60" w:after="60"/>
              <w:rPr>
                <w:rFonts w:cs="Arial"/>
                <w:sz w:val="20"/>
                <w:szCs w:val="20"/>
              </w:rPr>
            </w:pPr>
            <w:r w:rsidRPr="008A1679">
              <w:rPr>
                <w:rFonts w:cs="Arial"/>
                <w:sz w:val="20"/>
                <w:szCs w:val="20"/>
              </w:rPr>
              <w:t>Substantiall</w:t>
            </w:r>
            <w:r w:rsidR="005507CC" w:rsidRPr="008A1679">
              <w:rPr>
                <w:rFonts w:cs="Arial"/>
                <w:sz w:val="20"/>
                <w:szCs w:val="20"/>
              </w:rPr>
              <w:t>y</w:t>
            </w:r>
          </w:p>
        </w:tc>
        <w:tc>
          <w:tcPr>
            <w:tcW w:w="822" w:type="pct"/>
          </w:tcPr>
          <w:p w:rsidR="005507CC" w:rsidRPr="008A1679" w:rsidRDefault="005507CC" w:rsidP="00DF238F">
            <w:pPr>
              <w:tabs>
                <w:tab w:val="left" w:pos="1212"/>
                <w:tab w:val="left" w:pos="1440"/>
              </w:tabs>
              <w:spacing w:before="60" w:after="60"/>
              <w:jc w:val="center"/>
              <w:rPr>
                <w:rFonts w:cs="Arial"/>
                <w:sz w:val="20"/>
                <w:szCs w:val="20"/>
              </w:rPr>
            </w:pPr>
            <w:r w:rsidRPr="008A1679">
              <w:rPr>
                <w:rFonts w:cs="Arial"/>
                <w:sz w:val="20"/>
                <w:szCs w:val="20"/>
              </w:rPr>
              <w:t>1741 (60.0)</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961 (59.7)</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788 (60.4)</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35.7 ± 12.6</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15-74</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Partially</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437 (15.1)</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247 (15.3)</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190 (14.8)</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37.4 ± 12.2</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16-76</w:t>
            </w:r>
          </w:p>
        </w:tc>
      </w:tr>
      <w:tr w:rsidR="005507CC" w:rsidRPr="008A1679" w:rsidTr="004454FE">
        <w:trPr>
          <w:trHeight w:val="199"/>
        </w:trPr>
        <w:tc>
          <w:tcPr>
            <w:tcW w:w="1396" w:type="pct"/>
          </w:tcPr>
          <w:p w:rsidR="005507CC" w:rsidRPr="008A1679" w:rsidRDefault="005507CC" w:rsidP="005507CC">
            <w:pPr>
              <w:spacing w:before="60" w:after="60"/>
              <w:rPr>
                <w:rFonts w:cs="Arial"/>
                <w:sz w:val="20"/>
                <w:szCs w:val="20"/>
              </w:rPr>
            </w:pPr>
            <w:r w:rsidRPr="008A1679">
              <w:rPr>
                <w:rFonts w:cs="Arial"/>
                <w:sz w:val="20"/>
                <w:szCs w:val="20"/>
              </w:rPr>
              <w:t>Not work related</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706 (24.3)</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389 (24.2)</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315 (24.5)</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40.6 ± 13.2</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15-82</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Not known</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16 (0.6)</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12 (0.8)</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4 (0.3)</w:t>
            </w:r>
          </w:p>
        </w:tc>
        <w:tc>
          <w:tcPr>
            <w:tcW w:w="667" w:type="pct"/>
          </w:tcPr>
          <w:p w:rsidR="005507CC" w:rsidRPr="008A1679" w:rsidRDefault="005507CC" w:rsidP="005507CC">
            <w:pPr>
              <w:spacing w:before="60" w:after="60"/>
              <w:jc w:val="center"/>
              <w:rPr>
                <w:rFonts w:cs="Arial"/>
                <w:sz w:val="20"/>
                <w:szCs w:val="20"/>
              </w:rPr>
            </w:pPr>
          </w:p>
        </w:tc>
        <w:tc>
          <w:tcPr>
            <w:tcW w:w="471" w:type="pct"/>
          </w:tcPr>
          <w:p w:rsidR="005507CC" w:rsidRPr="008A1679" w:rsidRDefault="005507CC" w:rsidP="005507CC">
            <w:pPr>
              <w:spacing w:before="60" w:after="60"/>
              <w:jc w:val="center"/>
              <w:rPr>
                <w:rFonts w:cs="Arial"/>
                <w:sz w:val="20"/>
                <w:szCs w:val="20"/>
              </w:rPr>
            </w:pPr>
          </w:p>
        </w:tc>
      </w:tr>
      <w:tr w:rsidR="005507CC" w:rsidRPr="008A1679" w:rsidTr="004454FE">
        <w:tc>
          <w:tcPr>
            <w:tcW w:w="1396" w:type="pct"/>
          </w:tcPr>
          <w:p w:rsidR="005507CC" w:rsidRPr="008A1679" w:rsidRDefault="005507CC" w:rsidP="005507CC">
            <w:pPr>
              <w:spacing w:before="60" w:after="60"/>
              <w:rPr>
                <w:rFonts w:cs="Arial"/>
                <w:b/>
                <w:sz w:val="20"/>
                <w:szCs w:val="20"/>
              </w:rPr>
            </w:pPr>
            <w:r w:rsidRPr="008A1679">
              <w:rPr>
                <w:rFonts w:cs="Arial"/>
                <w:b/>
                <w:sz w:val="20"/>
                <w:szCs w:val="20"/>
              </w:rPr>
              <w:t>Atopic</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1210 (41.8)</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559 (34.8)**</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648 (50.4)**</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33.4 ± 11.9</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15-80</w:t>
            </w:r>
          </w:p>
        </w:tc>
      </w:tr>
      <w:tr w:rsidR="005507CC" w:rsidRPr="008A1679" w:rsidTr="0074231D">
        <w:tc>
          <w:tcPr>
            <w:tcW w:w="1396" w:type="pct"/>
            <w:tcBorders>
              <w:bottom w:val="single" w:sz="8" w:space="0" w:color="808080" w:themeColor="background1" w:themeShade="80"/>
            </w:tcBorders>
          </w:tcPr>
          <w:p w:rsidR="005507CC" w:rsidRPr="008A1679" w:rsidRDefault="005507CC" w:rsidP="005507CC">
            <w:pPr>
              <w:spacing w:before="60" w:after="60"/>
              <w:rPr>
                <w:rFonts w:cs="Arial"/>
                <w:sz w:val="20"/>
                <w:szCs w:val="20"/>
              </w:rPr>
            </w:pPr>
          </w:p>
        </w:tc>
        <w:tc>
          <w:tcPr>
            <w:tcW w:w="822" w:type="pct"/>
            <w:tcBorders>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822" w:type="pct"/>
            <w:tcBorders>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822" w:type="pct"/>
            <w:tcBorders>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667" w:type="pct"/>
            <w:tcBorders>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471" w:type="pct"/>
            <w:tcBorders>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r>
      <w:tr w:rsidR="005507CC" w:rsidRPr="008A1679" w:rsidTr="0074231D">
        <w:tc>
          <w:tcPr>
            <w:tcW w:w="1396"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rPr>
                <w:rFonts w:cs="Arial"/>
                <w:b/>
                <w:sz w:val="20"/>
                <w:szCs w:val="20"/>
              </w:rPr>
            </w:pPr>
            <w:r w:rsidRPr="008A1679">
              <w:rPr>
                <w:rFonts w:cs="Arial"/>
                <w:b/>
                <w:sz w:val="20"/>
                <w:szCs w:val="20"/>
              </w:rPr>
              <w:t xml:space="preserve">Primary diagnosis in patients with </w:t>
            </w:r>
            <w:proofErr w:type="spellStart"/>
            <w:r w:rsidRPr="008A1679">
              <w:rPr>
                <w:rFonts w:cs="Arial"/>
                <w:b/>
                <w:sz w:val="20"/>
                <w:szCs w:val="20"/>
              </w:rPr>
              <w:t>OSD</w:t>
            </w:r>
            <w:proofErr w:type="spellEnd"/>
          </w:p>
        </w:tc>
        <w:tc>
          <w:tcPr>
            <w:tcW w:w="822"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2177</w:t>
            </w:r>
            <w:r w:rsidR="004454FE" w:rsidRPr="008A1679">
              <w:rPr>
                <w:rFonts w:cs="Arial"/>
                <w:sz w:val="20"/>
                <w:szCs w:val="20"/>
              </w:rPr>
              <w:t xml:space="preserve"> (75.1)</w:t>
            </w:r>
          </w:p>
        </w:tc>
        <w:tc>
          <w:tcPr>
            <w:tcW w:w="822"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822"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667"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c>
          <w:tcPr>
            <w:tcW w:w="471" w:type="pct"/>
            <w:tcBorders>
              <w:top w:val="single" w:sz="8" w:space="0" w:color="808080" w:themeColor="background1" w:themeShade="80"/>
              <w:bottom w:val="single" w:sz="8" w:space="0" w:color="808080" w:themeColor="background1" w:themeShade="80"/>
            </w:tcBorders>
          </w:tcPr>
          <w:p w:rsidR="005507CC" w:rsidRPr="008A1679" w:rsidRDefault="005507CC" w:rsidP="005507CC">
            <w:pPr>
              <w:spacing w:before="60" w:after="60"/>
              <w:jc w:val="center"/>
              <w:rPr>
                <w:rFonts w:cs="Arial"/>
                <w:sz w:val="20"/>
                <w:szCs w:val="20"/>
              </w:rPr>
            </w:pPr>
          </w:p>
        </w:tc>
      </w:tr>
      <w:tr w:rsidR="005507CC" w:rsidRPr="008A1679" w:rsidTr="0074231D">
        <w:tc>
          <w:tcPr>
            <w:tcW w:w="1396" w:type="pct"/>
            <w:tcBorders>
              <w:top w:val="single" w:sz="8" w:space="0" w:color="808080" w:themeColor="background1" w:themeShade="80"/>
            </w:tcBorders>
          </w:tcPr>
          <w:p w:rsidR="005507CC" w:rsidRPr="008A1679" w:rsidRDefault="005507CC" w:rsidP="005507CC">
            <w:pPr>
              <w:spacing w:before="60" w:after="60"/>
              <w:rPr>
                <w:rFonts w:cs="Arial"/>
                <w:sz w:val="20"/>
                <w:szCs w:val="20"/>
              </w:rPr>
            </w:pPr>
            <w:proofErr w:type="spellStart"/>
            <w:r w:rsidRPr="008A1679">
              <w:rPr>
                <w:rFonts w:cs="Arial"/>
                <w:sz w:val="20"/>
                <w:szCs w:val="20"/>
              </w:rPr>
              <w:t>ICD</w:t>
            </w:r>
            <w:proofErr w:type="spellEnd"/>
            <w:r w:rsidRPr="008A1679">
              <w:rPr>
                <w:rFonts w:cs="Arial"/>
                <w:sz w:val="20"/>
                <w:szCs w:val="20"/>
              </w:rPr>
              <w:t>*</w:t>
            </w: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958 (44.0)</w:t>
            </w: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543 (45.0)</w:t>
            </w:r>
          </w:p>
        </w:tc>
        <w:tc>
          <w:tcPr>
            <w:tcW w:w="822"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413 (42.7)</w:t>
            </w:r>
          </w:p>
        </w:tc>
        <w:tc>
          <w:tcPr>
            <w:tcW w:w="667"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35.3 ± 12.3</w:t>
            </w:r>
          </w:p>
        </w:tc>
        <w:tc>
          <w:tcPr>
            <w:tcW w:w="471" w:type="pct"/>
            <w:tcBorders>
              <w:top w:val="single" w:sz="8" w:space="0" w:color="808080" w:themeColor="background1" w:themeShade="80"/>
            </w:tcBorders>
          </w:tcPr>
          <w:p w:rsidR="005507CC" w:rsidRPr="008A1679" w:rsidRDefault="005507CC" w:rsidP="005507CC">
            <w:pPr>
              <w:spacing w:before="60" w:after="60"/>
              <w:jc w:val="center"/>
              <w:rPr>
                <w:rFonts w:cs="Arial"/>
                <w:sz w:val="20"/>
                <w:szCs w:val="20"/>
              </w:rPr>
            </w:pPr>
            <w:r w:rsidRPr="008A1679">
              <w:rPr>
                <w:rFonts w:cs="Arial"/>
                <w:sz w:val="20"/>
                <w:szCs w:val="20"/>
              </w:rPr>
              <w:t>16-70</w:t>
            </w:r>
          </w:p>
        </w:tc>
      </w:tr>
      <w:tr w:rsidR="005507CC" w:rsidRPr="008A1679" w:rsidTr="004454FE">
        <w:tc>
          <w:tcPr>
            <w:tcW w:w="1396" w:type="pct"/>
          </w:tcPr>
          <w:p w:rsidR="005507CC" w:rsidRPr="008A1679" w:rsidRDefault="005507CC" w:rsidP="005507CC">
            <w:pPr>
              <w:spacing w:before="60" w:after="60"/>
              <w:rPr>
                <w:rFonts w:cs="Arial"/>
                <w:sz w:val="20"/>
                <w:szCs w:val="20"/>
              </w:rPr>
            </w:pPr>
            <w:proofErr w:type="spellStart"/>
            <w:r w:rsidRPr="008A1679">
              <w:rPr>
                <w:rFonts w:cs="Arial"/>
                <w:sz w:val="20"/>
                <w:szCs w:val="20"/>
              </w:rPr>
              <w:t>ACD</w:t>
            </w:r>
            <w:proofErr w:type="spellEnd"/>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712 (32.7)</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400 (33.1)</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312 (32.2)</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36.6 ± 13.1</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15-74</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Endogenous</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229 (10.5)</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128 (10.6)</w:t>
            </w:r>
          </w:p>
        </w:tc>
        <w:tc>
          <w:tcPr>
            <w:tcW w:w="822" w:type="pct"/>
          </w:tcPr>
          <w:p w:rsidR="005507CC" w:rsidRPr="008A1679" w:rsidRDefault="005507CC" w:rsidP="005507CC">
            <w:pPr>
              <w:spacing w:before="60" w:after="60"/>
              <w:jc w:val="center"/>
              <w:rPr>
                <w:rFonts w:cs="Arial"/>
                <w:sz w:val="20"/>
                <w:szCs w:val="20"/>
              </w:rPr>
            </w:pPr>
            <w:r w:rsidRPr="008A1679">
              <w:rPr>
                <w:rFonts w:cs="Arial"/>
                <w:sz w:val="20"/>
                <w:szCs w:val="20"/>
              </w:rPr>
              <w:t>101 (10.4)</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36.2 ± 11.4</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17-63</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Psoriasis</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51 (2.3)</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44 (3.7)</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7 (0.7)</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45.6 ±10.9</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20-70</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 xml:space="preserve">Latex </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61 (2.8)</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13 (1.1)</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48 (5.0)</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32.8 ± 11.7</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17-60</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 xml:space="preserve">Contact </w:t>
            </w:r>
            <w:proofErr w:type="spellStart"/>
            <w:r w:rsidRPr="008A1679">
              <w:rPr>
                <w:rFonts w:cs="Arial"/>
                <w:sz w:val="20"/>
                <w:szCs w:val="20"/>
              </w:rPr>
              <w:t>urticaria</w:t>
            </w:r>
            <w:proofErr w:type="spellEnd"/>
            <w:r w:rsidRPr="008A1679">
              <w:rPr>
                <w:rFonts w:cs="Arial"/>
                <w:sz w:val="20"/>
                <w:szCs w:val="20"/>
              </w:rPr>
              <w:t xml:space="preserve"> </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55 (2.5)</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26 (2.2)</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29 (3.0)</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30.6 ± 11.4</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16-65</w:t>
            </w:r>
          </w:p>
        </w:tc>
      </w:tr>
      <w:tr w:rsidR="005507CC" w:rsidRPr="008A1679" w:rsidTr="004454FE">
        <w:trPr>
          <w:trHeight w:val="278"/>
        </w:trPr>
        <w:tc>
          <w:tcPr>
            <w:tcW w:w="1396" w:type="pct"/>
          </w:tcPr>
          <w:p w:rsidR="005507CC" w:rsidRPr="008A1679" w:rsidRDefault="003A4687" w:rsidP="005507CC">
            <w:pPr>
              <w:spacing w:before="60" w:after="60"/>
              <w:rPr>
                <w:rFonts w:cs="Arial"/>
                <w:sz w:val="20"/>
                <w:szCs w:val="20"/>
              </w:rPr>
            </w:pPr>
            <w:proofErr w:type="spellStart"/>
            <w:r w:rsidRPr="008A1679">
              <w:rPr>
                <w:rFonts w:cs="Arial"/>
                <w:sz w:val="20"/>
                <w:szCs w:val="20"/>
              </w:rPr>
              <w:t>PPOD</w:t>
            </w:r>
            <w:proofErr w:type="spellEnd"/>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15 (0.7)</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7 (0.6)</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8 (0.8)</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45.7 ± 10.2</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25-60</w:t>
            </w:r>
          </w:p>
        </w:tc>
      </w:tr>
      <w:tr w:rsidR="005507CC" w:rsidRPr="008A1679" w:rsidTr="004454FE">
        <w:tc>
          <w:tcPr>
            <w:tcW w:w="1396" w:type="pct"/>
          </w:tcPr>
          <w:p w:rsidR="005507CC" w:rsidRPr="008A1679" w:rsidRDefault="005507CC" w:rsidP="005507CC">
            <w:pPr>
              <w:spacing w:before="60" w:after="60"/>
              <w:rPr>
                <w:rFonts w:cs="Arial"/>
                <w:sz w:val="20"/>
                <w:szCs w:val="20"/>
              </w:rPr>
            </w:pPr>
            <w:r w:rsidRPr="008A1679">
              <w:rPr>
                <w:rFonts w:cs="Arial"/>
                <w:sz w:val="20"/>
                <w:szCs w:val="20"/>
              </w:rPr>
              <w:t xml:space="preserve">Other </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74 (3.4)</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41 (3.4)</w:t>
            </w:r>
          </w:p>
        </w:tc>
        <w:tc>
          <w:tcPr>
            <w:tcW w:w="822" w:type="pct"/>
          </w:tcPr>
          <w:p w:rsidR="005507CC" w:rsidRPr="008A1679" w:rsidRDefault="005507CC" w:rsidP="004454FE">
            <w:pPr>
              <w:spacing w:before="60" w:after="60"/>
              <w:jc w:val="center"/>
              <w:rPr>
                <w:rFonts w:cs="Arial"/>
                <w:sz w:val="20"/>
                <w:szCs w:val="20"/>
              </w:rPr>
            </w:pPr>
            <w:r w:rsidRPr="008A1679">
              <w:rPr>
                <w:rFonts w:cs="Arial"/>
                <w:sz w:val="20"/>
                <w:szCs w:val="20"/>
              </w:rPr>
              <w:t>33 (3.4)</w:t>
            </w:r>
          </w:p>
        </w:tc>
        <w:tc>
          <w:tcPr>
            <w:tcW w:w="667" w:type="pct"/>
          </w:tcPr>
          <w:p w:rsidR="005507CC" w:rsidRPr="008A1679" w:rsidRDefault="005507CC" w:rsidP="005507CC">
            <w:pPr>
              <w:spacing w:before="60" w:after="60"/>
              <w:jc w:val="center"/>
              <w:rPr>
                <w:rFonts w:cs="Arial"/>
                <w:sz w:val="20"/>
                <w:szCs w:val="20"/>
              </w:rPr>
            </w:pPr>
            <w:r w:rsidRPr="008A1679">
              <w:rPr>
                <w:rFonts w:cs="Arial"/>
                <w:sz w:val="20"/>
                <w:szCs w:val="20"/>
              </w:rPr>
              <w:t>38.8 ± 12.4</w:t>
            </w:r>
          </w:p>
        </w:tc>
        <w:tc>
          <w:tcPr>
            <w:tcW w:w="471" w:type="pct"/>
          </w:tcPr>
          <w:p w:rsidR="005507CC" w:rsidRPr="008A1679" w:rsidRDefault="005507CC" w:rsidP="005507CC">
            <w:pPr>
              <w:spacing w:before="60" w:after="60"/>
              <w:jc w:val="center"/>
              <w:rPr>
                <w:rFonts w:cs="Arial"/>
                <w:sz w:val="20"/>
                <w:szCs w:val="20"/>
              </w:rPr>
            </w:pPr>
            <w:r w:rsidRPr="008A1679">
              <w:rPr>
                <w:rFonts w:cs="Arial"/>
                <w:sz w:val="20"/>
                <w:szCs w:val="20"/>
              </w:rPr>
              <w:t>19-76</w:t>
            </w:r>
          </w:p>
        </w:tc>
      </w:tr>
      <w:tr w:rsidR="005507CC" w:rsidRPr="008A1679" w:rsidTr="004454FE">
        <w:trPr>
          <w:trHeight w:val="58"/>
        </w:trPr>
        <w:tc>
          <w:tcPr>
            <w:tcW w:w="1396" w:type="pct"/>
            <w:tcBorders>
              <w:bottom w:val="single" w:sz="12" w:space="0" w:color="auto"/>
            </w:tcBorders>
          </w:tcPr>
          <w:p w:rsidR="005507CC" w:rsidRPr="008A1679" w:rsidRDefault="005507CC" w:rsidP="005507CC">
            <w:pPr>
              <w:spacing w:before="60" w:after="60"/>
              <w:rPr>
                <w:rFonts w:cs="Arial"/>
                <w:sz w:val="20"/>
                <w:szCs w:val="20"/>
              </w:rPr>
            </w:pPr>
            <w:r w:rsidRPr="008A1679">
              <w:rPr>
                <w:rFonts w:cs="Arial"/>
                <w:sz w:val="20"/>
                <w:szCs w:val="20"/>
              </w:rPr>
              <w:t>Unclassified</w:t>
            </w:r>
          </w:p>
        </w:tc>
        <w:tc>
          <w:tcPr>
            <w:tcW w:w="822" w:type="pct"/>
            <w:tcBorders>
              <w:bottom w:val="single" w:sz="12" w:space="0" w:color="auto"/>
            </w:tcBorders>
          </w:tcPr>
          <w:p w:rsidR="005507CC" w:rsidRPr="008A1679" w:rsidRDefault="005507CC" w:rsidP="004454FE">
            <w:pPr>
              <w:spacing w:before="60" w:after="60"/>
              <w:jc w:val="center"/>
              <w:rPr>
                <w:rFonts w:cs="Arial"/>
                <w:sz w:val="20"/>
                <w:szCs w:val="20"/>
              </w:rPr>
            </w:pPr>
            <w:r w:rsidRPr="008A1679">
              <w:rPr>
                <w:rFonts w:cs="Arial"/>
                <w:sz w:val="20"/>
                <w:szCs w:val="20"/>
              </w:rPr>
              <w:t>22 (1.0)</w:t>
            </w:r>
          </w:p>
        </w:tc>
        <w:tc>
          <w:tcPr>
            <w:tcW w:w="822" w:type="pct"/>
            <w:tcBorders>
              <w:bottom w:val="single" w:sz="12" w:space="0" w:color="auto"/>
            </w:tcBorders>
          </w:tcPr>
          <w:p w:rsidR="005507CC" w:rsidRPr="008A1679" w:rsidRDefault="005507CC" w:rsidP="005507CC">
            <w:pPr>
              <w:spacing w:before="60" w:after="60"/>
              <w:jc w:val="center"/>
              <w:rPr>
                <w:rFonts w:cs="Arial"/>
                <w:sz w:val="20"/>
                <w:szCs w:val="20"/>
              </w:rPr>
            </w:pPr>
          </w:p>
        </w:tc>
        <w:tc>
          <w:tcPr>
            <w:tcW w:w="822" w:type="pct"/>
            <w:tcBorders>
              <w:bottom w:val="single" w:sz="12" w:space="0" w:color="auto"/>
            </w:tcBorders>
          </w:tcPr>
          <w:p w:rsidR="005507CC" w:rsidRPr="008A1679" w:rsidRDefault="005507CC" w:rsidP="005507CC">
            <w:pPr>
              <w:spacing w:before="60" w:after="60"/>
              <w:jc w:val="center"/>
              <w:rPr>
                <w:rFonts w:cs="Arial"/>
                <w:sz w:val="20"/>
                <w:szCs w:val="20"/>
              </w:rPr>
            </w:pPr>
          </w:p>
        </w:tc>
        <w:tc>
          <w:tcPr>
            <w:tcW w:w="667" w:type="pct"/>
            <w:tcBorders>
              <w:bottom w:val="single" w:sz="12" w:space="0" w:color="auto"/>
            </w:tcBorders>
          </w:tcPr>
          <w:p w:rsidR="005507CC" w:rsidRPr="008A1679" w:rsidRDefault="005507CC" w:rsidP="005507CC">
            <w:pPr>
              <w:spacing w:before="60" w:after="60"/>
              <w:jc w:val="center"/>
              <w:rPr>
                <w:rFonts w:cs="Arial"/>
                <w:sz w:val="20"/>
                <w:szCs w:val="20"/>
              </w:rPr>
            </w:pPr>
          </w:p>
        </w:tc>
        <w:tc>
          <w:tcPr>
            <w:tcW w:w="471" w:type="pct"/>
            <w:tcBorders>
              <w:bottom w:val="single" w:sz="12" w:space="0" w:color="auto"/>
            </w:tcBorders>
          </w:tcPr>
          <w:p w:rsidR="005507CC" w:rsidRPr="008A1679" w:rsidRDefault="005507CC" w:rsidP="005507CC">
            <w:pPr>
              <w:spacing w:before="60" w:after="60"/>
              <w:jc w:val="center"/>
              <w:rPr>
                <w:rFonts w:cs="Arial"/>
                <w:sz w:val="20"/>
                <w:szCs w:val="20"/>
              </w:rPr>
            </w:pPr>
          </w:p>
        </w:tc>
      </w:tr>
      <w:tr w:rsidR="004454FE" w:rsidRPr="008A1679" w:rsidTr="004454FE">
        <w:trPr>
          <w:trHeight w:val="58"/>
        </w:trPr>
        <w:tc>
          <w:tcPr>
            <w:tcW w:w="5000" w:type="pct"/>
            <w:gridSpan w:val="6"/>
            <w:tcBorders>
              <w:top w:val="single" w:sz="12" w:space="0" w:color="auto"/>
            </w:tcBorders>
          </w:tcPr>
          <w:p w:rsidR="004454FE" w:rsidRPr="008A1679" w:rsidRDefault="004454FE" w:rsidP="004454FE">
            <w:pPr>
              <w:spacing w:before="60" w:after="60"/>
              <w:rPr>
                <w:rFonts w:cs="Arial"/>
                <w:sz w:val="20"/>
                <w:szCs w:val="20"/>
              </w:rPr>
            </w:pPr>
            <w:r w:rsidRPr="008A1679">
              <w:rPr>
                <w:rFonts w:cs="Arial"/>
                <w:vertAlign w:val="superscript"/>
              </w:rPr>
              <w:t>†</w:t>
            </w:r>
            <w:r w:rsidR="0077422A" w:rsidRPr="008A1679">
              <w:rPr>
                <w:rFonts w:cs="Arial"/>
                <w:vertAlign w:val="superscript"/>
              </w:rPr>
              <w:t xml:space="preserve"> </w:t>
            </w:r>
            <w:r w:rsidRPr="008A1679">
              <w:rPr>
                <w:rFonts w:cs="Arial"/>
                <w:sz w:val="20"/>
                <w:szCs w:val="20"/>
              </w:rPr>
              <w:t>Percentage total number of subjects or percentage of male or females respectively</w:t>
            </w:r>
          </w:p>
        </w:tc>
      </w:tr>
      <w:tr w:rsidR="004454FE" w:rsidRPr="008A1679" w:rsidTr="004454FE">
        <w:trPr>
          <w:trHeight w:val="58"/>
        </w:trPr>
        <w:tc>
          <w:tcPr>
            <w:tcW w:w="5000" w:type="pct"/>
            <w:gridSpan w:val="6"/>
          </w:tcPr>
          <w:p w:rsidR="004454FE" w:rsidRPr="008A1679" w:rsidRDefault="004454FE" w:rsidP="004454FE">
            <w:pPr>
              <w:spacing w:before="60" w:after="60"/>
              <w:rPr>
                <w:rFonts w:cs="Arial"/>
                <w:sz w:val="20"/>
                <w:szCs w:val="20"/>
              </w:rPr>
            </w:pPr>
            <w:r w:rsidRPr="008A1679">
              <w:rPr>
                <w:rFonts w:cs="Arial"/>
                <w:sz w:val="20"/>
                <w:szCs w:val="20"/>
              </w:rPr>
              <w:t>*</w:t>
            </w:r>
            <w:r w:rsidR="0077422A" w:rsidRPr="008A1679">
              <w:rPr>
                <w:rFonts w:cs="Arial"/>
                <w:sz w:val="20"/>
                <w:szCs w:val="20"/>
              </w:rPr>
              <w:t xml:space="preserve"> </w:t>
            </w:r>
            <w:r w:rsidRPr="008A1679">
              <w:rPr>
                <w:rFonts w:cs="Arial"/>
                <w:sz w:val="20"/>
                <w:szCs w:val="20"/>
              </w:rPr>
              <w:t>Gender not recorded for two persons</w:t>
            </w:r>
          </w:p>
        </w:tc>
      </w:tr>
      <w:tr w:rsidR="004454FE" w:rsidRPr="008A1679" w:rsidTr="004454FE">
        <w:trPr>
          <w:trHeight w:val="58"/>
        </w:trPr>
        <w:tc>
          <w:tcPr>
            <w:tcW w:w="5000" w:type="pct"/>
            <w:gridSpan w:val="6"/>
            <w:tcBorders>
              <w:bottom w:val="single" w:sz="12" w:space="0" w:color="auto"/>
            </w:tcBorders>
          </w:tcPr>
          <w:p w:rsidR="004454FE" w:rsidRPr="008A1679" w:rsidRDefault="004454FE" w:rsidP="004454FE">
            <w:pPr>
              <w:spacing w:before="60" w:after="60"/>
              <w:rPr>
                <w:rFonts w:cs="Arial"/>
                <w:sz w:val="20"/>
                <w:szCs w:val="20"/>
              </w:rPr>
            </w:pPr>
            <w:r w:rsidRPr="008A1679">
              <w:rPr>
                <w:rFonts w:cs="Arial"/>
                <w:sz w:val="20"/>
                <w:szCs w:val="20"/>
              </w:rPr>
              <w:t>** p&lt;0.001</w:t>
            </w:r>
          </w:p>
        </w:tc>
      </w:tr>
    </w:tbl>
    <w:p w:rsidR="00363DD7" w:rsidRPr="008A1679" w:rsidRDefault="00363DD7" w:rsidP="00363DD7"/>
    <w:p w:rsidR="00905AA3" w:rsidRPr="008A1679" w:rsidRDefault="00905AA3" w:rsidP="00905AA3">
      <w:pPr>
        <w:pStyle w:val="Caption"/>
        <w:keepNext/>
      </w:pPr>
      <w:bookmarkStart w:id="24" w:name="_Ref310434801"/>
      <w:bookmarkStart w:id="25" w:name="_Toc310506142"/>
      <w:r w:rsidRPr="008A1679">
        <w:t xml:space="preserve">Table </w:t>
      </w:r>
      <w:fldSimple w:instr=" SEQ Table \* ARABIC ">
        <w:r w:rsidR="005406BD" w:rsidRPr="008A1679">
          <w:rPr>
            <w:noProof/>
          </w:rPr>
          <w:t>3</w:t>
        </w:r>
      </w:fldSimple>
      <w:bookmarkEnd w:id="24"/>
      <w:r w:rsidRPr="008A1679">
        <w:t xml:space="preserve"> </w:t>
      </w:r>
      <w:r w:rsidRPr="008A1679">
        <w:rPr>
          <w:b w:val="0"/>
        </w:rPr>
        <w:t xml:space="preserve">Causes of </w:t>
      </w:r>
      <w:proofErr w:type="spellStart"/>
      <w:r w:rsidRPr="008A1679">
        <w:rPr>
          <w:b w:val="0"/>
        </w:rPr>
        <w:t>ICD</w:t>
      </w:r>
      <w:proofErr w:type="spellEnd"/>
      <w:r w:rsidRPr="008A1679">
        <w:rPr>
          <w:b w:val="0"/>
        </w:rPr>
        <w:t xml:space="preserve"> in patients with a primary diagnosis of </w:t>
      </w:r>
      <w:proofErr w:type="spellStart"/>
      <w:r w:rsidRPr="008A1679">
        <w:rPr>
          <w:b w:val="0"/>
        </w:rPr>
        <w:t>ICD</w:t>
      </w:r>
      <w:bookmarkEnd w:id="25"/>
      <w:proofErr w:type="spellEnd"/>
    </w:p>
    <w:tbl>
      <w:tblPr>
        <w:tblStyle w:val="TableGrid"/>
        <w:tblW w:w="0" w:type="auto"/>
        <w:tblBorders>
          <w:top w:val="single" w:sz="12" w:space="0" w:color="000000" w:themeColor="text1"/>
          <w:left w:val="none" w:sz="0" w:space="0" w:color="auto"/>
          <w:bottom w:val="single" w:sz="12" w:space="0" w:color="000000" w:themeColor="text1"/>
          <w:right w:val="none" w:sz="0" w:space="0" w:color="auto"/>
          <w:insideH w:val="none" w:sz="0" w:space="0" w:color="auto"/>
          <w:insideV w:val="none" w:sz="0" w:space="0" w:color="auto"/>
        </w:tblBorders>
        <w:tblLook w:val="04A0"/>
      </w:tblPr>
      <w:tblGrid>
        <w:gridCol w:w="2518"/>
        <w:gridCol w:w="1890"/>
        <w:gridCol w:w="1890"/>
        <w:gridCol w:w="1890"/>
        <w:gridCol w:w="1055"/>
      </w:tblGrid>
      <w:tr w:rsidR="00911E28" w:rsidRPr="008A1679" w:rsidTr="00971249">
        <w:tc>
          <w:tcPr>
            <w:tcW w:w="2518" w:type="dxa"/>
            <w:tcBorders>
              <w:top w:val="single" w:sz="12" w:space="0" w:color="000000" w:themeColor="text1"/>
              <w:bottom w:val="nil"/>
            </w:tcBorders>
          </w:tcPr>
          <w:p w:rsidR="00911E28" w:rsidRPr="008A1679" w:rsidRDefault="00911E28" w:rsidP="00363DD7">
            <w:pPr>
              <w:spacing w:before="40" w:after="40"/>
              <w:rPr>
                <w:rFonts w:cs="Arial"/>
                <w:sz w:val="20"/>
                <w:szCs w:val="20"/>
              </w:rPr>
            </w:pPr>
          </w:p>
        </w:tc>
        <w:tc>
          <w:tcPr>
            <w:tcW w:w="5670" w:type="dxa"/>
            <w:gridSpan w:val="3"/>
            <w:tcBorders>
              <w:top w:val="single" w:sz="12" w:space="0" w:color="000000" w:themeColor="text1"/>
              <w:bottom w:val="nil"/>
            </w:tcBorders>
            <w:shd w:val="clear" w:color="auto" w:fill="808080" w:themeFill="background1" w:themeFillShade="80"/>
          </w:tcPr>
          <w:p w:rsidR="00911E28" w:rsidRPr="008A1679" w:rsidRDefault="00911E28" w:rsidP="00911E28">
            <w:pPr>
              <w:spacing w:before="40" w:after="40"/>
              <w:jc w:val="center"/>
              <w:rPr>
                <w:rFonts w:cs="Arial"/>
                <w:b/>
                <w:color w:val="FFFFFF" w:themeColor="background1"/>
                <w:sz w:val="20"/>
                <w:szCs w:val="20"/>
              </w:rPr>
            </w:pPr>
            <w:r w:rsidRPr="008A1679">
              <w:rPr>
                <w:rFonts w:cs="Arial"/>
                <w:b/>
                <w:color w:val="FFFFFF" w:themeColor="background1"/>
                <w:sz w:val="20"/>
                <w:szCs w:val="20"/>
              </w:rPr>
              <w:t>Number and percentage of patients: N (%)</w:t>
            </w:r>
          </w:p>
        </w:tc>
        <w:tc>
          <w:tcPr>
            <w:tcW w:w="1055" w:type="dxa"/>
            <w:tcBorders>
              <w:top w:val="single" w:sz="12" w:space="0" w:color="000000" w:themeColor="text1"/>
              <w:bottom w:val="nil"/>
            </w:tcBorders>
          </w:tcPr>
          <w:p w:rsidR="00911E28" w:rsidRPr="008A1679" w:rsidRDefault="00911E28" w:rsidP="00363DD7">
            <w:pPr>
              <w:spacing w:before="40" w:after="40"/>
              <w:rPr>
                <w:rFonts w:cs="Arial"/>
                <w:sz w:val="20"/>
                <w:szCs w:val="20"/>
              </w:rPr>
            </w:pPr>
          </w:p>
        </w:tc>
      </w:tr>
      <w:tr w:rsidR="00363DD7" w:rsidRPr="008A1679" w:rsidTr="00971249">
        <w:tc>
          <w:tcPr>
            <w:tcW w:w="2518" w:type="dxa"/>
            <w:tcBorders>
              <w:top w:val="nil"/>
              <w:bottom w:val="single" w:sz="12" w:space="0" w:color="000000" w:themeColor="text1"/>
            </w:tcBorders>
          </w:tcPr>
          <w:p w:rsidR="00363DD7" w:rsidRPr="008A1679" w:rsidRDefault="00363DD7" w:rsidP="00363DD7">
            <w:pPr>
              <w:spacing w:before="40" w:after="40"/>
              <w:rPr>
                <w:rFonts w:cs="Arial"/>
                <w:b/>
                <w:sz w:val="20"/>
                <w:szCs w:val="20"/>
              </w:rPr>
            </w:pPr>
            <w:r w:rsidRPr="008A1679">
              <w:rPr>
                <w:rFonts w:cs="Arial"/>
                <w:b/>
                <w:sz w:val="20"/>
                <w:szCs w:val="20"/>
              </w:rPr>
              <w:t>Irritant</w:t>
            </w:r>
          </w:p>
        </w:tc>
        <w:tc>
          <w:tcPr>
            <w:tcW w:w="1890" w:type="dxa"/>
            <w:tcBorders>
              <w:top w:val="nil"/>
              <w:bottom w:val="single" w:sz="12" w:space="0" w:color="000000" w:themeColor="text1"/>
            </w:tcBorders>
          </w:tcPr>
          <w:p w:rsidR="00363DD7" w:rsidRPr="008A1679" w:rsidRDefault="00911E28" w:rsidP="00911E28">
            <w:pPr>
              <w:spacing w:before="40" w:after="40"/>
              <w:jc w:val="center"/>
              <w:rPr>
                <w:rFonts w:cs="Arial"/>
                <w:b/>
                <w:sz w:val="20"/>
                <w:szCs w:val="20"/>
              </w:rPr>
            </w:pPr>
            <w:r w:rsidRPr="008A1679">
              <w:rPr>
                <w:rFonts w:cs="Arial"/>
                <w:b/>
                <w:sz w:val="20"/>
                <w:szCs w:val="20"/>
              </w:rPr>
              <w:t>Total</w:t>
            </w:r>
          </w:p>
        </w:tc>
        <w:tc>
          <w:tcPr>
            <w:tcW w:w="1890" w:type="dxa"/>
            <w:tcBorders>
              <w:top w:val="nil"/>
              <w:bottom w:val="single" w:sz="12" w:space="0" w:color="000000" w:themeColor="text1"/>
            </w:tcBorders>
          </w:tcPr>
          <w:p w:rsidR="00363DD7" w:rsidRPr="008A1679" w:rsidRDefault="00911E28" w:rsidP="00911E28">
            <w:pPr>
              <w:spacing w:before="40" w:after="40"/>
              <w:jc w:val="center"/>
              <w:rPr>
                <w:rFonts w:cs="Arial"/>
                <w:b/>
                <w:sz w:val="20"/>
                <w:szCs w:val="20"/>
              </w:rPr>
            </w:pPr>
            <w:r w:rsidRPr="008A1679">
              <w:rPr>
                <w:rFonts w:cs="Arial"/>
                <w:b/>
                <w:sz w:val="20"/>
                <w:szCs w:val="20"/>
              </w:rPr>
              <w:t>Male</w:t>
            </w:r>
          </w:p>
        </w:tc>
        <w:tc>
          <w:tcPr>
            <w:tcW w:w="1890" w:type="dxa"/>
            <w:tcBorders>
              <w:top w:val="nil"/>
              <w:bottom w:val="single" w:sz="12" w:space="0" w:color="000000" w:themeColor="text1"/>
            </w:tcBorders>
          </w:tcPr>
          <w:p w:rsidR="00363DD7" w:rsidRPr="008A1679" w:rsidRDefault="00911E28" w:rsidP="00911E28">
            <w:pPr>
              <w:spacing w:before="40" w:after="40"/>
              <w:jc w:val="center"/>
              <w:rPr>
                <w:rFonts w:cs="Arial"/>
                <w:b/>
                <w:sz w:val="20"/>
                <w:szCs w:val="20"/>
              </w:rPr>
            </w:pPr>
            <w:r w:rsidRPr="008A1679">
              <w:rPr>
                <w:rFonts w:cs="Arial"/>
                <w:b/>
                <w:sz w:val="20"/>
                <w:szCs w:val="20"/>
              </w:rPr>
              <w:t>Female</w:t>
            </w:r>
          </w:p>
        </w:tc>
        <w:tc>
          <w:tcPr>
            <w:tcW w:w="1055" w:type="dxa"/>
            <w:tcBorders>
              <w:top w:val="nil"/>
              <w:bottom w:val="single" w:sz="12" w:space="0" w:color="000000" w:themeColor="text1"/>
            </w:tcBorders>
          </w:tcPr>
          <w:p w:rsidR="00363DD7" w:rsidRPr="008A1679" w:rsidRDefault="00911E28" w:rsidP="00911E28">
            <w:pPr>
              <w:spacing w:before="40" w:after="40"/>
              <w:jc w:val="center"/>
              <w:rPr>
                <w:rFonts w:cs="Arial"/>
                <w:b/>
                <w:sz w:val="20"/>
                <w:szCs w:val="20"/>
              </w:rPr>
            </w:pPr>
            <w:r w:rsidRPr="008A1679">
              <w:rPr>
                <w:rFonts w:cs="Arial"/>
                <w:b/>
                <w:sz w:val="20"/>
                <w:szCs w:val="20"/>
              </w:rPr>
              <w:t>P-value</w:t>
            </w:r>
          </w:p>
        </w:tc>
      </w:tr>
      <w:tr w:rsidR="00911E28" w:rsidRPr="008A1679" w:rsidTr="00971249">
        <w:tc>
          <w:tcPr>
            <w:tcW w:w="2518" w:type="dxa"/>
            <w:tcBorders>
              <w:top w:val="single" w:sz="12" w:space="0" w:color="000000" w:themeColor="text1"/>
            </w:tcBorders>
          </w:tcPr>
          <w:p w:rsidR="00911E28" w:rsidRPr="008A1679" w:rsidRDefault="00911E28" w:rsidP="00911E28">
            <w:pPr>
              <w:spacing w:before="40" w:after="40"/>
              <w:rPr>
                <w:rFonts w:cs="Arial"/>
                <w:sz w:val="20"/>
                <w:szCs w:val="20"/>
              </w:rPr>
            </w:pPr>
            <w:r w:rsidRPr="008A1679">
              <w:rPr>
                <w:rFonts w:cs="Arial"/>
                <w:sz w:val="20"/>
                <w:szCs w:val="20"/>
              </w:rPr>
              <w:t>Water and wet work</w:t>
            </w:r>
          </w:p>
        </w:tc>
        <w:tc>
          <w:tcPr>
            <w:tcW w:w="1890" w:type="dxa"/>
            <w:tcBorders>
              <w:top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368 (37.0)</w:t>
            </w:r>
          </w:p>
        </w:tc>
        <w:tc>
          <w:tcPr>
            <w:tcW w:w="1890" w:type="dxa"/>
            <w:tcBorders>
              <w:top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106 (18.9)</w:t>
            </w:r>
          </w:p>
        </w:tc>
        <w:tc>
          <w:tcPr>
            <w:tcW w:w="1890" w:type="dxa"/>
            <w:tcBorders>
              <w:top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262 (60.5)</w:t>
            </w:r>
          </w:p>
        </w:tc>
        <w:tc>
          <w:tcPr>
            <w:tcW w:w="1055" w:type="dxa"/>
            <w:tcBorders>
              <w:top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Soap and detergents</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312 (32.6)</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104 (18.6)</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208 (48.0)</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Heat and sweating</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154 (15.5)</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84 (15.0)</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70 (16.2)</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0.54</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Oils and coolants</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143 (14.4)</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137 (24.5)</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6 (1.4)</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Solvents</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139 (14.0)</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116 (20.7)</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23 (5.3)</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Dusts and fibres</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98 (9.6)</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66 (11.8)</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29 (6.7)</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Pr>
          <w:p w:rsidR="00911E28" w:rsidRPr="008A1679" w:rsidRDefault="00911E28" w:rsidP="00911E28">
            <w:pPr>
              <w:spacing w:before="40" w:after="40"/>
              <w:rPr>
                <w:rFonts w:cs="Arial"/>
                <w:sz w:val="20"/>
                <w:szCs w:val="20"/>
              </w:rPr>
            </w:pPr>
            <w:r w:rsidRPr="008A1679">
              <w:rPr>
                <w:rFonts w:cs="Arial"/>
                <w:sz w:val="20"/>
                <w:szCs w:val="20"/>
              </w:rPr>
              <w:t>Acids and alkalis</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41 (4.1)</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36 (6.4)</w:t>
            </w:r>
          </w:p>
        </w:tc>
        <w:tc>
          <w:tcPr>
            <w:tcW w:w="1890" w:type="dxa"/>
          </w:tcPr>
          <w:p w:rsidR="00911E28" w:rsidRPr="008A1679" w:rsidRDefault="00911E28" w:rsidP="00911E28">
            <w:pPr>
              <w:spacing w:before="40" w:after="40"/>
              <w:jc w:val="center"/>
              <w:rPr>
                <w:rFonts w:cs="Arial"/>
                <w:sz w:val="20"/>
                <w:szCs w:val="20"/>
              </w:rPr>
            </w:pPr>
            <w:r w:rsidRPr="008A1679">
              <w:rPr>
                <w:rFonts w:cs="Arial"/>
                <w:sz w:val="20"/>
                <w:szCs w:val="20"/>
              </w:rPr>
              <w:t>5 (1.2)</w:t>
            </w:r>
          </w:p>
        </w:tc>
        <w:tc>
          <w:tcPr>
            <w:tcW w:w="1055" w:type="dxa"/>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11E28" w:rsidRPr="008A1679" w:rsidTr="00971249">
        <w:tc>
          <w:tcPr>
            <w:tcW w:w="2518" w:type="dxa"/>
            <w:tcBorders>
              <w:bottom w:val="single" w:sz="12" w:space="0" w:color="000000" w:themeColor="text1"/>
            </w:tcBorders>
          </w:tcPr>
          <w:p w:rsidR="00911E28" w:rsidRPr="008A1679" w:rsidRDefault="00911E28" w:rsidP="00911E28">
            <w:pPr>
              <w:spacing w:before="40" w:after="40"/>
              <w:rPr>
                <w:rFonts w:cs="Arial"/>
                <w:sz w:val="20"/>
                <w:szCs w:val="20"/>
              </w:rPr>
            </w:pPr>
            <w:r w:rsidRPr="008A1679">
              <w:rPr>
                <w:rFonts w:cs="Arial"/>
                <w:sz w:val="20"/>
                <w:szCs w:val="20"/>
              </w:rPr>
              <w:t>Other</w:t>
            </w:r>
          </w:p>
        </w:tc>
        <w:tc>
          <w:tcPr>
            <w:tcW w:w="1890" w:type="dxa"/>
            <w:tcBorders>
              <w:bottom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213 (21.4)</w:t>
            </w:r>
          </w:p>
        </w:tc>
        <w:tc>
          <w:tcPr>
            <w:tcW w:w="1890" w:type="dxa"/>
            <w:tcBorders>
              <w:bottom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146 (26.1)</w:t>
            </w:r>
          </w:p>
        </w:tc>
        <w:tc>
          <w:tcPr>
            <w:tcW w:w="1890" w:type="dxa"/>
            <w:tcBorders>
              <w:bottom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66 (15.2)</w:t>
            </w:r>
          </w:p>
        </w:tc>
        <w:tc>
          <w:tcPr>
            <w:tcW w:w="1055" w:type="dxa"/>
            <w:tcBorders>
              <w:bottom w:val="single" w:sz="12" w:space="0" w:color="000000" w:themeColor="text1"/>
            </w:tcBorders>
          </w:tcPr>
          <w:p w:rsidR="00911E28" w:rsidRPr="008A1679" w:rsidRDefault="00911E28" w:rsidP="00911E28">
            <w:pPr>
              <w:spacing w:before="40" w:after="40"/>
              <w:jc w:val="center"/>
              <w:rPr>
                <w:rFonts w:cs="Arial"/>
                <w:sz w:val="20"/>
                <w:szCs w:val="20"/>
              </w:rPr>
            </w:pPr>
            <w:r w:rsidRPr="008A1679">
              <w:rPr>
                <w:rFonts w:cs="Arial"/>
                <w:sz w:val="20"/>
                <w:szCs w:val="20"/>
              </w:rPr>
              <w:t>&lt;0.001</w:t>
            </w:r>
          </w:p>
        </w:tc>
      </w:tr>
      <w:tr w:rsidR="00971249" w:rsidRPr="008A1679" w:rsidTr="00971249">
        <w:tc>
          <w:tcPr>
            <w:tcW w:w="2518" w:type="dxa"/>
            <w:tcBorders>
              <w:top w:val="single" w:sz="12" w:space="0" w:color="000000" w:themeColor="text1"/>
              <w:bottom w:val="single" w:sz="12" w:space="0" w:color="000000" w:themeColor="text1"/>
            </w:tcBorders>
          </w:tcPr>
          <w:p w:rsidR="00971249" w:rsidRPr="008A1679" w:rsidRDefault="00971249" w:rsidP="00911E28">
            <w:pPr>
              <w:spacing w:before="40" w:after="40"/>
              <w:rPr>
                <w:rFonts w:cs="Arial"/>
                <w:sz w:val="20"/>
                <w:szCs w:val="20"/>
              </w:rPr>
            </w:pPr>
            <w:r w:rsidRPr="008A1679">
              <w:rPr>
                <w:rFonts w:cs="Arial"/>
                <w:sz w:val="20"/>
                <w:szCs w:val="20"/>
              </w:rPr>
              <w:t>Totals</w:t>
            </w:r>
          </w:p>
        </w:tc>
        <w:tc>
          <w:tcPr>
            <w:tcW w:w="1890" w:type="dxa"/>
            <w:tcBorders>
              <w:top w:val="single" w:sz="12" w:space="0" w:color="000000" w:themeColor="text1"/>
              <w:bottom w:val="single" w:sz="12" w:space="0" w:color="000000" w:themeColor="text1"/>
            </w:tcBorders>
          </w:tcPr>
          <w:p w:rsidR="00971249" w:rsidRPr="008A1679" w:rsidRDefault="00971249" w:rsidP="00911E28">
            <w:pPr>
              <w:spacing w:before="40" w:after="40"/>
              <w:jc w:val="center"/>
              <w:rPr>
                <w:rFonts w:cs="Arial"/>
                <w:sz w:val="20"/>
                <w:szCs w:val="20"/>
              </w:rPr>
            </w:pPr>
            <w:r w:rsidRPr="008A1679">
              <w:rPr>
                <w:rFonts w:cs="Arial"/>
                <w:sz w:val="20"/>
                <w:szCs w:val="20"/>
              </w:rPr>
              <w:t>958</w:t>
            </w:r>
          </w:p>
        </w:tc>
        <w:tc>
          <w:tcPr>
            <w:tcW w:w="1890" w:type="dxa"/>
            <w:tcBorders>
              <w:top w:val="single" w:sz="12" w:space="0" w:color="000000" w:themeColor="text1"/>
              <w:bottom w:val="single" w:sz="12" w:space="0" w:color="000000" w:themeColor="text1"/>
            </w:tcBorders>
          </w:tcPr>
          <w:p w:rsidR="00971249" w:rsidRPr="008A1679" w:rsidRDefault="00971249" w:rsidP="00911E28">
            <w:pPr>
              <w:spacing w:before="40" w:after="40"/>
              <w:jc w:val="center"/>
              <w:rPr>
                <w:rFonts w:cs="Arial"/>
                <w:sz w:val="20"/>
                <w:szCs w:val="20"/>
              </w:rPr>
            </w:pPr>
            <w:r w:rsidRPr="008A1679">
              <w:rPr>
                <w:rFonts w:cs="Arial"/>
                <w:sz w:val="20"/>
                <w:szCs w:val="20"/>
              </w:rPr>
              <w:t>543</w:t>
            </w:r>
          </w:p>
        </w:tc>
        <w:tc>
          <w:tcPr>
            <w:tcW w:w="1890" w:type="dxa"/>
            <w:tcBorders>
              <w:top w:val="single" w:sz="12" w:space="0" w:color="000000" w:themeColor="text1"/>
              <w:bottom w:val="single" w:sz="12" w:space="0" w:color="000000" w:themeColor="text1"/>
            </w:tcBorders>
          </w:tcPr>
          <w:p w:rsidR="00971249" w:rsidRPr="008A1679" w:rsidRDefault="00971249" w:rsidP="00911E28">
            <w:pPr>
              <w:spacing w:before="40" w:after="40"/>
              <w:jc w:val="center"/>
              <w:rPr>
                <w:rFonts w:cs="Arial"/>
                <w:sz w:val="20"/>
                <w:szCs w:val="20"/>
              </w:rPr>
            </w:pPr>
            <w:r w:rsidRPr="008A1679">
              <w:rPr>
                <w:rFonts w:cs="Arial"/>
                <w:sz w:val="20"/>
                <w:szCs w:val="20"/>
              </w:rPr>
              <w:t>413</w:t>
            </w:r>
          </w:p>
        </w:tc>
        <w:tc>
          <w:tcPr>
            <w:tcW w:w="1055" w:type="dxa"/>
            <w:tcBorders>
              <w:top w:val="single" w:sz="12" w:space="0" w:color="000000" w:themeColor="text1"/>
              <w:bottom w:val="single" w:sz="12" w:space="0" w:color="000000" w:themeColor="text1"/>
            </w:tcBorders>
          </w:tcPr>
          <w:p w:rsidR="00971249" w:rsidRPr="008A1679" w:rsidRDefault="00971249" w:rsidP="00911E28">
            <w:pPr>
              <w:spacing w:before="40" w:after="40"/>
              <w:jc w:val="center"/>
              <w:rPr>
                <w:rFonts w:cs="Arial"/>
                <w:sz w:val="20"/>
                <w:szCs w:val="20"/>
              </w:rPr>
            </w:pPr>
          </w:p>
        </w:tc>
      </w:tr>
    </w:tbl>
    <w:p w:rsidR="00422E13" w:rsidRPr="008A1679" w:rsidRDefault="00422E13" w:rsidP="004454FE">
      <w:pPr>
        <w:pStyle w:val="Heading2"/>
        <w:spacing w:before="240"/>
      </w:pPr>
      <w:bookmarkStart w:id="26" w:name="_Toc310506131"/>
      <w:r w:rsidRPr="008A1679">
        <w:lastRenderedPageBreak/>
        <w:t>Allergic contact dermatitis</w:t>
      </w:r>
      <w:bookmarkEnd w:id="26"/>
      <w:r w:rsidRPr="008A1679">
        <w:t xml:space="preserve"> </w:t>
      </w:r>
    </w:p>
    <w:p w:rsidR="00422E13" w:rsidRPr="008A1679" w:rsidRDefault="00422E13" w:rsidP="00945AD4">
      <w:pPr>
        <w:rPr>
          <w:i/>
        </w:rPr>
      </w:pPr>
      <w:proofErr w:type="spellStart"/>
      <w:r w:rsidRPr="008A1679">
        <w:t>ACD</w:t>
      </w:r>
      <w:proofErr w:type="spellEnd"/>
      <w:r w:rsidRPr="008A1679">
        <w:t xml:space="preserve"> was dia</w:t>
      </w:r>
      <w:r w:rsidR="0027243A" w:rsidRPr="008A1679">
        <w:t>gnosed in 1135 (52.1%; 1135/2177</w:t>
      </w:r>
      <w:r w:rsidRPr="008A1679">
        <w:t xml:space="preserve">) patients with </w:t>
      </w:r>
      <w:proofErr w:type="spellStart"/>
      <w:r w:rsidRPr="008A1679">
        <w:t>OSD</w:t>
      </w:r>
      <w:proofErr w:type="spellEnd"/>
      <w:r w:rsidRPr="008A1679">
        <w:t xml:space="preserve">. </w:t>
      </w:r>
      <w:proofErr w:type="spellStart"/>
      <w:r w:rsidRPr="008A1679">
        <w:t>ACD</w:t>
      </w:r>
      <w:proofErr w:type="spellEnd"/>
      <w:r w:rsidRPr="008A1679">
        <w:t xml:space="preserve"> was the primary diagnosis in 712 (32.7%</w:t>
      </w:r>
      <w:r w:rsidR="003C2653" w:rsidRPr="008A1679">
        <w:t>)</w:t>
      </w:r>
      <w:r w:rsidRPr="008A1679">
        <w:t xml:space="preserve"> cases. </w:t>
      </w:r>
      <w:r w:rsidR="00594E5D" w:rsidRPr="008A1679">
        <w:t>In patients</w:t>
      </w:r>
      <w:r w:rsidRPr="008A1679">
        <w:t xml:space="preserve"> with a primary diagnosis of </w:t>
      </w:r>
      <w:proofErr w:type="spellStart"/>
      <w:r w:rsidRPr="008A1679">
        <w:t>ACD</w:t>
      </w:r>
      <w:proofErr w:type="spellEnd"/>
      <w:r w:rsidRPr="008A1679">
        <w:t>, it was regarded as substantially work</w:t>
      </w:r>
      <w:r w:rsidR="003C2653" w:rsidRPr="008A1679">
        <w:t xml:space="preserve"> </w:t>
      </w:r>
      <w:r w:rsidRPr="008A1679">
        <w:t>related in 676 (</w:t>
      </w:r>
      <w:r w:rsidR="0027243A" w:rsidRPr="008A1679">
        <w:t>94.9</w:t>
      </w:r>
      <w:r w:rsidRPr="008A1679">
        <w:t>%; 676/</w:t>
      </w:r>
      <w:r w:rsidR="0027243A" w:rsidRPr="008A1679">
        <w:t>712</w:t>
      </w:r>
      <w:r w:rsidRPr="008A1679">
        <w:t>) cases and partially work related in 37 (</w:t>
      </w:r>
      <w:r w:rsidR="0027243A" w:rsidRPr="008A1679">
        <w:t>5.2</w:t>
      </w:r>
      <w:r w:rsidRPr="008A1679">
        <w:t>%; 37/</w:t>
      </w:r>
      <w:r w:rsidR="0027243A" w:rsidRPr="008A1679">
        <w:t>712</w:t>
      </w:r>
      <w:r w:rsidRPr="008A1679">
        <w:t>) cases.</w:t>
      </w:r>
    </w:p>
    <w:p w:rsidR="00422E13" w:rsidRPr="008A1679" w:rsidRDefault="00422E13" w:rsidP="00945AD4">
      <w:r w:rsidRPr="008A1679">
        <w:t xml:space="preserve">The most common allergens with an occupationally relevant reaction in all patients and in those with </w:t>
      </w:r>
      <w:proofErr w:type="spellStart"/>
      <w:r w:rsidRPr="008A1679">
        <w:t>ACD</w:t>
      </w:r>
      <w:proofErr w:type="spellEnd"/>
      <w:r w:rsidRPr="008A1679">
        <w:t xml:space="preserve"> are shown in </w:t>
      </w:r>
      <w:r w:rsidR="00B967B9" w:rsidRPr="008A1679">
        <w:fldChar w:fldCharType="begin"/>
      </w:r>
      <w:r w:rsidR="002834C4" w:rsidRPr="008A1679">
        <w:instrText xml:space="preserve"> REF _Ref309646600 \h </w:instrText>
      </w:r>
      <w:r w:rsidR="00B967B9" w:rsidRPr="008A1679">
        <w:fldChar w:fldCharType="separate"/>
      </w:r>
      <w:r w:rsidR="005406BD" w:rsidRPr="008A1679">
        <w:t xml:space="preserve">Table </w:t>
      </w:r>
      <w:r w:rsidR="005406BD" w:rsidRPr="008A1679">
        <w:rPr>
          <w:noProof/>
        </w:rPr>
        <w:t>4</w:t>
      </w:r>
      <w:r w:rsidR="00B967B9" w:rsidRPr="008A1679">
        <w:fldChar w:fldCharType="end"/>
      </w:r>
      <w:r w:rsidR="002834C4" w:rsidRPr="008A1679">
        <w:t xml:space="preserve">. </w:t>
      </w:r>
      <w:proofErr w:type="spellStart"/>
      <w:r w:rsidRPr="008A1679">
        <w:t>Tetraethylthiuram</w:t>
      </w:r>
      <w:proofErr w:type="spellEnd"/>
      <w:r w:rsidRPr="008A1679">
        <w:t xml:space="preserve"> disulfide, a rubber </w:t>
      </w:r>
      <w:r w:rsidR="00B26AFC" w:rsidRPr="008A1679">
        <w:t xml:space="preserve">accelerator found in </w:t>
      </w:r>
      <w:r w:rsidRPr="008A1679">
        <w:t>gloves, produced an occupationally relevant reaction in 3.1% (n=90) of all subjects clinically assessed.</w:t>
      </w:r>
      <w:r w:rsidR="00EA1481" w:rsidRPr="008A1679">
        <w:t xml:space="preserve"> </w:t>
      </w:r>
      <w:r w:rsidR="00B967B9">
        <w:fldChar w:fldCharType="begin"/>
      </w:r>
      <w:r w:rsidR="00B967B9">
        <w:instrText xml:space="preserve"> REF _Ref310418684 \h </w:instrText>
      </w:r>
      <w:r w:rsidR="00B967B9">
        <w:fldChar w:fldCharType="separate"/>
      </w:r>
      <w:r w:rsidR="005406BD" w:rsidRPr="008A1679">
        <w:t xml:space="preserve">Figure </w:t>
      </w:r>
      <w:r w:rsidR="005406BD" w:rsidRPr="008A1679">
        <w:rPr>
          <w:noProof/>
        </w:rPr>
        <w:t>2</w:t>
      </w:r>
      <w:r w:rsidR="00B967B9">
        <w:fldChar w:fldCharType="end"/>
      </w:r>
      <w:r w:rsidR="00EA1481" w:rsidRPr="008A1679">
        <w:t xml:space="preserve"> shows the total number of patients with positive patch test responses for individual allergens and the number of these that were deemed occupationally relevant. It is clear from this figure that for some allergens, the majority of positive patch test responses can be deemed occupationally relevant while for others, such as Nickel </w:t>
      </w:r>
      <w:proofErr w:type="spellStart"/>
      <w:r w:rsidR="00EA1481" w:rsidRPr="008A1679">
        <w:t>sulfate</w:t>
      </w:r>
      <w:proofErr w:type="spellEnd"/>
      <w:r w:rsidR="00EA1481" w:rsidRPr="008A1679">
        <w:t xml:space="preserve"> or Fragrance mix, in only a small p</w:t>
      </w:r>
      <w:r w:rsidR="00E96042" w:rsidRPr="008A1679">
        <w:t>roportion</w:t>
      </w:r>
      <w:r w:rsidR="00EA1481" w:rsidRPr="008A1679">
        <w:t xml:space="preserve"> of cases are they occupationally relevant. </w:t>
      </w:r>
    </w:p>
    <w:p w:rsidR="00E57901" w:rsidRPr="008A1679" w:rsidRDefault="00E57901" w:rsidP="00945AD4"/>
    <w:p w:rsidR="00BA41D6" w:rsidRPr="008A1679" w:rsidRDefault="00BA41D6" w:rsidP="00BA41D6">
      <w:pPr>
        <w:pStyle w:val="Caption"/>
        <w:keepNext/>
      </w:pPr>
      <w:bookmarkStart w:id="27" w:name="_Ref309646600"/>
      <w:bookmarkStart w:id="28" w:name="_Toc310506143"/>
      <w:r w:rsidRPr="008A1679">
        <w:t xml:space="preserve">Table </w:t>
      </w:r>
      <w:fldSimple w:instr=" SEQ Table \* ARABIC ">
        <w:r w:rsidR="005406BD" w:rsidRPr="008A1679">
          <w:rPr>
            <w:noProof/>
          </w:rPr>
          <w:t>4</w:t>
        </w:r>
      </w:fldSimple>
      <w:bookmarkEnd w:id="27"/>
      <w:r w:rsidR="002834C4" w:rsidRPr="008A1679">
        <w:t xml:space="preserve"> </w:t>
      </w:r>
      <w:r w:rsidR="002834C4" w:rsidRPr="008A1679">
        <w:rPr>
          <w:b w:val="0"/>
        </w:rPr>
        <w:t>Common allergens and sources of exposure</w:t>
      </w:r>
      <w:bookmarkEnd w:id="28"/>
    </w:p>
    <w:tbl>
      <w:tblPr>
        <w:tblStyle w:val="TableGrid"/>
        <w:tblW w:w="5000" w:type="pct"/>
        <w:tblLook w:val="04A0"/>
      </w:tblPr>
      <w:tblGrid>
        <w:gridCol w:w="3227"/>
        <w:gridCol w:w="2936"/>
        <w:gridCol w:w="3080"/>
      </w:tblGrid>
      <w:tr w:rsidR="00BA41D6" w:rsidRPr="008A1679" w:rsidTr="00E96042">
        <w:tc>
          <w:tcPr>
            <w:tcW w:w="1746" w:type="pct"/>
            <w:tcBorders>
              <w:top w:val="single" w:sz="12" w:space="0" w:color="000000" w:themeColor="text1"/>
              <w:left w:val="nil"/>
              <w:bottom w:val="single" w:sz="12" w:space="0" w:color="000000" w:themeColor="text1"/>
              <w:right w:val="nil"/>
            </w:tcBorders>
          </w:tcPr>
          <w:p w:rsidR="00BA41D6" w:rsidRPr="008A1679" w:rsidRDefault="00BA41D6" w:rsidP="002834C4">
            <w:pPr>
              <w:spacing w:before="60" w:after="60"/>
              <w:rPr>
                <w:b/>
                <w:sz w:val="20"/>
                <w:szCs w:val="20"/>
              </w:rPr>
            </w:pPr>
            <w:r w:rsidRPr="008A1679">
              <w:rPr>
                <w:b/>
                <w:sz w:val="20"/>
                <w:szCs w:val="20"/>
              </w:rPr>
              <w:t>Allergens</w:t>
            </w:r>
          </w:p>
        </w:tc>
        <w:tc>
          <w:tcPr>
            <w:tcW w:w="1588" w:type="pct"/>
            <w:tcBorders>
              <w:top w:val="single" w:sz="12" w:space="0" w:color="000000" w:themeColor="text1"/>
              <w:left w:val="nil"/>
              <w:bottom w:val="single" w:sz="12" w:space="0" w:color="000000" w:themeColor="text1"/>
              <w:right w:val="nil"/>
            </w:tcBorders>
          </w:tcPr>
          <w:p w:rsidR="00BA41D6" w:rsidRPr="008A1679" w:rsidRDefault="00BA41D6" w:rsidP="002834C4">
            <w:pPr>
              <w:spacing w:before="60" w:after="60"/>
              <w:rPr>
                <w:b/>
                <w:sz w:val="20"/>
                <w:szCs w:val="20"/>
              </w:rPr>
            </w:pPr>
            <w:r w:rsidRPr="008A1679">
              <w:rPr>
                <w:b/>
                <w:sz w:val="20"/>
                <w:szCs w:val="20"/>
              </w:rPr>
              <w:t>Description</w:t>
            </w:r>
          </w:p>
        </w:tc>
        <w:tc>
          <w:tcPr>
            <w:tcW w:w="1666" w:type="pct"/>
            <w:tcBorders>
              <w:top w:val="single" w:sz="12" w:space="0" w:color="000000" w:themeColor="text1"/>
              <w:left w:val="nil"/>
              <w:bottom w:val="single" w:sz="12" w:space="0" w:color="000000" w:themeColor="text1"/>
              <w:right w:val="nil"/>
            </w:tcBorders>
          </w:tcPr>
          <w:p w:rsidR="00BA41D6" w:rsidRPr="008A1679" w:rsidRDefault="00BA41D6" w:rsidP="002834C4">
            <w:pPr>
              <w:spacing w:before="60" w:after="60"/>
              <w:rPr>
                <w:b/>
                <w:sz w:val="20"/>
                <w:szCs w:val="20"/>
              </w:rPr>
            </w:pPr>
            <w:r w:rsidRPr="008A1679">
              <w:rPr>
                <w:b/>
                <w:sz w:val="20"/>
                <w:szCs w:val="20"/>
              </w:rPr>
              <w:t>Sources of exposure</w:t>
            </w:r>
          </w:p>
        </w:tc>
      </w:tr>
      <w:tr w:rsidR="00BA41D6" w:rsidRPr="008A1679" w:rsidTr="00E96042">
        <w:tc>
          <w:tcPr>
            <w:tcW w:w="1746" w:type="pct"/>
            <w:tcBorders>
              <w:top w:val="single" w:sz="12" w:space="0" w:color="000000" w:themeColor="text1"/>
              <w:left w:val="nil"/>
              <w:bottom w:val="single" w:sz="8" w:space="0" w:color="808080" w:themeColor="background1" w:themeShade="80"/>
              <w:right w:val="nil"/>
            </w:tcBorders>
          </w:tcPr>
          <w:p w:rsidR="00BA41D6" w:rsidRPr="008A1679" w:rsidRDefault="00BA41D6" w:rsidP="00E96042">
            <w:pPr>
              <w:spacing w:before="60" w:after="60"/>
              <w:rPr>
                <w:sz w:val="20"/>
                <w:szCs w:val="20"/>
              </w:rPr>
            </w:pPr>
            <w:proofErr w:type="spellStart"/>
            <w:r w:rsidRPr="008A1679">
              <w:rPr>
                <w:sz w:val="20"/>
                <w:szCs w:val="20"/>
              </w:rPr>
              <w:t>Tetraethylthiuram</w:t>
            </w:r>
            <w:proofErr w:type="spellEnd"/>
            <w:r w:rsidRPr="008A1679">
              <w:rPr>
                <w:sz w:val="20"/>
                <w:szCs w:val="20"/>
              </w:rPr>
              <w:t xml:space="preserve"> disulfide </w:t>
            </w:r>
            <w:proofErr w:type="spellStart"/>
            <w:r w:rsidR="00E96042" w:rsidRPr="008A1679">
              <w:rPr>
                <w:sz w:val="20"/>
                <w:szCs w:val="20"/>
              </w:rPr>
              <w:t>T</w:t>
            </w:r>
            <w:r w:rsidRPr="008A1679">
              <w:rPr>
                <w:sz w:val="20"/>
                <w:szCs w:val="20"/>
              </w:rPr>
              <w:t>hiuram</w:t>
            </w:r>
            <w:proofErr w:type="spellEnd"/>
            <w:r w:rsidRPr="008A1679">
              <w:rPr>
                <w:sz w:val="20"/>
                <w:szCs w:val="20"/>
              </w:rPr>
              <w:t xml:space="preserve"> mix </w:t>
            </w:r>
            <w:r w:rsidR="00E96042" w:rsidRPr="008A1679">
              <w:rPr>
                <w:sz w:val="20"/>
                <w:szCs w:val="20"/>
              </w:rPr>
              <w:br/>
            </w:r>
            <w:proofErr w:type="spellStart"/>
            <w:r w:rsidR="00E96042" w:rsidRPr="008A1679">
              <w:rPr>
                <w:sz w:val="20"/>
                <w:szCs w:val="20"/>
              </w:rPr>
              <w:t>T</w:t>
            </w:r>
            <w:r w:rsidRPr="008A1679">
              <w:rPr>
                <w:sz w:val="20"/>
                <w:szCs w:val="20"/>
              </w:rPr>
              <w:t>etramethylthiuram</w:t>
            </w:r>
            <w:proofErr w:type="spellEnd"/>
            <w:r w:rsidRPr="008A1679">
              <w:rPr>
                <w:sz w:val="20"/>
                <w:szCs w:val="20"/>
              </w:rPr>
              <w:t xml:space="preserve"> </w:t>
            </w:r>
            <w:proofErr w:type="spellStart"/>
            <w:r w:rsidRPr="008A1679">
              <w:rPr>
                <w:sz w:val="20"/>
                <w:szCs w:val="20"/>
              </w:rPr>
              <w:t>monosulfide</w:t>
            </w:r>
            <w:proofErr w:type="spellEnd"/>
            <w:r w:rsidRPr="008A1679">
              <w:rPr>
                <w:sz w:val="20"/>
                <w:szCs w:val="20"/>
              </w:rPr>
              <w:t xml:space="preserve"> </w:t>
            </w:r>
            <w:proofErr w:type="spellStart"/>
            <w:r w:rsidR="00E96042" w:rsidRPr="008A1679">
              <w:rPr>
                <w:sz w:val="20"/>
                <w:szCs w:val="20"/>
              </w:rPr>
              <w:t>T</w:t>
            </w:r>
            <w:r w:rsidRPr="008A1679">
              <w:rPr>
                <w:sz w:val="20"/>
                <w:szCs w:val="20"/>
              </w:rPr>
              <w:t>etramethylthiuram</w:t>
            </w:r>
            <w:proofErr w:type="spellEnd"/>
            <w:r w:rsidRPr="008A1679">
              <w:rPr>
                <w:sz w:val="20"/>
                <w:szCs w:val="20"/>
              </w:rPr>
              <w:t xml:space="preserve"> disulfide</w:t>
            </w:r>
          </w:p>
        </w:tc>
        <w:tc>
          <w:tcPr>
            <w:tcW w:w="1588" w:type="pct"/>
            <w:tcBorders>
              <w:top w:val="single" w:sz="12" w:space="0" w:color="000000" w:themeColor="text1"/>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Rubber accelerator- chemical added during rubber processing to influence properties of finished product</w:t>
            </w:r>
          </w:p>
        </w:tc>
        <w:tc>
          <w:tcPr>
            <w:tcW w:w="1666" w:type="pct"/>
            <w:tcBorders>
              <w:top w:val="single" w:sz="12" w:space="0" w:color="000000" w:themeColor="text1"/>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Gloves, handles, grips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Ammonium persulphate</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 bleach</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Potassium dichromate</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Metallic salt</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Used to tan leather and found in cement</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4-</w:t>
            </w:r>
            <w:proofErr w:type="spellStart"/>
            <w:r w:rsidRPr="008A1679">
              <w:rPr>
                <w:sz w:val="20"/>
                <w:szCs w:val="20"/>
              </w:rPr>
              <w:t>Phenylenediamine</w:t>
            </w:r>
            <w:proofErr w:type="spellEnd"/>
            <w:r w:rsidRPr="008A1679">
              <w:rPr>
                <w:sz w:val="20"/>
                <w:szCs w:val="20"/>
              </w:rPr>
              <w:t xml:space="preserve"> base</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 dye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 temporary tattoos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Epoxy resin</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Epoxy resins and hardeners react to form epoxy compounds with specialised properties</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 xml:space="preserve">Floor </w:t>
            </w:r>
            <w:proofErr w:type="spellStart"/>
            <w:r w:rsidRPr="008A1679">
              <w:rPr>
                <w:sz w:val="20"/>
                <w:szCs w:val="20"/>
              </w:rPr>
              <w:t>finishings</w:t>
            </w:r>
            <w:proofErr w:type="spellEnd"/>
            <w:r w:rsidRPr="008A1679">
              <w:rPr>
                <w:sz w:val="20"/>
                <w:szCs w:val="20"/>
              </w:rPr>
              <w:t>, glues, marine paints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Formaldehyde</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Preservative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Water-based products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2,5–</w:t>
            </w:r>
            <w:proofErr w:type="spellStart"/>
            <w:r w:rsidRPr="008A1679">
              <w:rPr>
                <w:sz w:val="20"/>
                <w:szCs w:val="20"/>
              </w:rPr>
              <w:t>Diaminotoluene</w:t>
            </w:r>
            <w:proofErr w:type="spellEnd"/>
            <w:r w:rsidRPr="008A1679">
              <w:rPr>
                <w:sz w:val="20"/>
                <w:szCs w:val="20"/>
              </w:rPr>
              <w:t xml:space="preserve"> </w:t>
            </w:r>
            <w:proofErr w:type="spellStart"/>
            <w:r w:rsidRPr="008A1679">
              <w:rPr>
                <w:sz w:val="20"/>
                <w:szCs w:val="20"/>
              </w:rPr>
              <w:t>sulfate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 dye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Fragrance mix</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Mixture of fragrances used for screening</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Perfumes, perfumed products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proofErr w:type="spellStart"/>
            <w:r w:rsidRPr="008A1679">
              <w:rPr>
                <w:sz w:val="20"/>
                <w:szCs w:val="20"/>
              </w:rPr>
              <w:t>Glyceryl</w:t>
            </w:r>
            <w:proofErr w:type="spellEnd"/>
            <w:r w:rsidRPr="008A1679">
              <w:rPr>
                <w:sz w:val="20"/>
                <w:szCs w:val="20"/>
              </w:rPr>
              <w:t xml:space="preserve"> </w:t>
            </w:r>
            <w:proofErr w:type="spellStart"/>
            <w:r w:rsidRPr="008A1679">
              <w:rPr>
                <w:sz w:val="20"/>
                <w:szCs w:val="20"/>
              </w:rPr>
              <w:t>monothioglycolate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Perming solution</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 xml:space="preserve">Coconut </w:t>
            </w:r>
            <w:proofErr w:type="spellStart"/>
            <w:r w:rsidRPr="008A1679">
              <w:rPr>
                <w:sz w:val="20"/>
                <w:szCs w:val="20"/>
              </w:rPr>
              <w:t>diethanolamide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Emulsifying agent</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Cleansers, shampoos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 xml:space="preserve">Nickel </w:t>
            </w:r>
            <w:proofErr w:type="spellStart"/>
            <w:r w:rsidRPr="008A1679">
              <w:rPr>
                <w:sz w:val="20"/>
                <w:szCs w:val="20"/>
              </w:rPr>
              <w:t>sulfate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Metal salt</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 xml:space="preserve">Costume </w:t>
            </w:r>
            <w:r w:rsidR="002834C4" w:rsidRPr="008A1679">
              <w:rPr>
                <w:sz w:val="20"/>
                <w:szCs w:val="20"/>
              </w:rPr>
              <w:t>jewellery</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2-Nitro-4-</w:t>
            </w:r>
            <w:proofErr w:type="spellStart"/>
            <w:r w:rsidRPr="008A1679">
              <w:rPr>
                <w:sz w:val="20"/>
                <w:szCs w:val="20"/>
              </w:rPr>
              <w:t>phenylenediamine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 dye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Hairdressing</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Basic red 46</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Acrylic dye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Cheap nylon/acrylic socks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proofErr w:type="spellStart"/>
            <w:r w:rsidRPr="008A1679">
              <w:rPr>
                <w:sz w:val="20"/>
                <w:szCs w:val="20"/>
              </w:rPr>
              <w:t>Kathon</w:t>
            </w:r>
            <w:proofErr w:type="spellEnd"/>
            <w:r w:rsidRPr="008A1679">
              <w:rPr>
                <w:sz w:val="20"/>
                <w:szCs w:val="20"/>
              </w:rPr>
              <w:t xml:space="preserve"> CG</w:t>
            </w:r>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Preservative</w:t>
            </w:r>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Water-based rinse-off products e</w:t>
            </w:r>
            <w:r w:rsidR="002834C4" w:rsidRPr="008A1679">
              <w:rPr>
                <w:sz w:val="20"/>
                <w:szCs w:val="20"/>
              </w:rPr>
              <w:t>.</w:t>
            </w:r>
            <w:r w:rsidRPr="008A1679">
              <w:rPr>
                <w:sz w:val="20"/>
                <w:szCs w:val="20"/>
              </w:rPr>
              <w:t>g</w:t>
            </w:r>
            <w:r w:rsidR="002834C4" w:rsidRPr="008A1679">
              <w:rPr>
                <w:sz w:val="20"/>
                <w:szCs w:val="20"/>
              </w:rPr>
              <w:t>.</w:t>
            </w:r>
            <w:r w:rsidRPr="008A1679">
              <w:rPr>
                <w:sz w:val="20"/>
                <w:szCs w:val="20"/>
              </w:rPr>
              <w:t xml:space="preserve"> shampoos</w:t>
            </w:r>
          </w:p>
        </w:tc>
      </w:tr>
      <w:tr w:rsidR="00BA41D6" w:rsidRPr="008A1679" w:rsidTr="00E96042">
        <w:tc>
          <w:tcPr>
            <w:tcW w:w="174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2-</w:t>
            </w:r>
            <w:proofErr w:type="spellStart"/>
            <w:r w:rsidRPr="008A1679">
              <w:rPr>
                <w:sz w:val="20"/>
                <w:szCs w:val="20"/>
              </w:rPr>
              <w:t>Hydroxyethyl</w:t>
            </w:r>
            <w:proofErr w:type="spellEnd"/>
            <w:r w:rsidRPr="008A1679">
              <w:rPr>
                <w:sz w:val="20"/>
                <w:szCs w:val="20"/>
              </w:rPr>
              <w:t xml:space="preserve"> </w:t>
            </w:r>
            <w:proofErr w:type="spellStart"/>
            <w:r w:rsidRPr="008A1679">
              <w:rPr>
                <w:sz w:val="20"/>
                <w:szCs w:val="20"/>
              </w:rPr>
              <w:t>methacrylate</w:t>
            </w:r>
            <w:proofErr w:type="spellEnd"/>
            <w:r w:rsidRPr="008A1679">
              <w:rPr>
                <w:sz w:val="20"/>
                <w:szCs w:val="20"/>
              </w:rPr>
              <w:t xml:space="preserve">, </w:t>
            </w:r>
            <w:proofErr w:type="spellStart"/>
            <w:r w:rsidRPr="008A1679">
              <w:rPr>
                <w:sz w:val="20"/>
                <w:szCs w:val="20"/>
              </w:rPr>
              <w:t>ethyleneglycol</w:t>
            </w:r>
            <w:proofErr w:type="spellEnd"/>
            <w:r w:rsidRPr="008A1679">
              <w:rPr>
                <w:sz w:val="20"/>
                <w:szCs w:val="20"/>
              </w:rPr>
              <w:t xml:space="preserve"> </w:t>
            </w:r>
            <w:proofErr w:type="spellStart"/>
            <w:r w:rsidRPr="008A1679">
              <w:rPr>
                <w:sz w:val="20"/>
                <w:szCs w:val="20"/>
              </w:rPr>
              <w:t>dimethacrylate</w:t>
            </w:r>
            <w:proofErr w:type="spellEnd"/>
          </w:p>
        </w:tc>
        <w:tc>
          <w:tcPr>
            <w:tcW w:w="1588"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proofErr w:type="spellStart"/>
            <w:r w:rsidRPr="008A1679">
              <w:rPr>
                <w:sz w:val="20"/>
                <w:szCs w:val="20"/>
              </w:rPr>
              <w:t>Acrylates</w:t>
            </w:r>
            <w:proofErr w:type="spellEnd"/>
          </w:p>
        </w:tc>
        <w:tc>
          <w:tcPr>
            <w:tcW w:w="1666" w:type="pct"/>
            <w:tcBorders>
              <w:top w:val="single" w:sz="8" w:space="0" w:color="808080" w:themeColor="background1" w:themeShade="80"/>
              <w:left w:val="nil"/>
              <w:bottom w:val="single" w:sz="8" w:space="0" w:color="808080" w:themeColor="background1" w:themeShade="80"/>
              <w:right w:val="nil"/>
            </w:tcBorders>
          </w:tcPr>
          <w:p w:rsidR="00BA41D6" w:rsidRPr="008A1679" w:rsidRDefault="00BA41D6" w:rsidP="002834C4">
            <w:pPr>
              <w:spacing w:before="60" w:after="60"/>
              <w:rPr>
                <w:sz w:val="20"/>
                <w:szCs w:val="20"/>
              </w:rPr>
            </w:pPr>
            <w:r w:rsidRPr="008A1679">
              <w:rPr>
                <w:sz w:val="20"/>
                <w:szCs w:val="20"/>
              </w:rPr>
              <w:t>Dentistry, artificial nails</w:t>
            </w:r>
          </w:p>
        </w:tc>
      </w:tr>
      <w:tr w:rsidR="00BA41D6" w:rsidRPr="008A1679" w:rsidTr="00E96042">
        <w:tc>
          <w:tcPr>
            <w:tcW w:w="1746" w:type="pct"/>
            <w:tcBorders>
              <w:top w:val="single" w:sz="8" w:space="0" w:color="808080" w:themeColor="background1" w:themeShade="80"/>
              <w:left w:val="nil"/>
              <w:bottom w:val="single" w:sz="12" w:space="0" w:color="000000" w:themeColor="text1"/>
              <w:right w:val="nil"/>
            </w:tcBorders>
          </w:tcPr>
          <w:p w:rsidR="00BA41D6" w:rsidRPr="008A1679" w:rsidRDefault="00BA41D6" w:rsidP="002834C4">
            <w:pPr>
              <w:spacing w:before="60" w:after="60"/>
              <w:rPr>
                <w:sz w:val="20"/>
                <w:szCs w:val="20"/>
              </w:rPr>
            </w:pPr>
            <w:r w:rsidRPr="008A1679">
              <w:rPr>
                <w:sz w:val="20"/>
                <w:szCs w:val="20"/>
              </w:rPr>
              <w:t>Colophony</w:t>
            </w:r>
          </w:p>
        </w:tc>
        <w:tc>
          <w:tcPr>
            <w:tcW w:w="1588" w:type="pct"/>
            <w:tcBorders>
              <w:top w:val="single" w:sz="8" w:space="0" w:color="808080" w:themeColor="background1" w:themeShade="80"/>
              <w:left w:val="nil"/>
              <w:bottom w:val="single" w:sz="12" w:space="0" w:color="000000" w:themeColor="text1"/>
              <w:right w:val="nil"/>
            </w:tcBorders>
          </w:tcPr>
          <w:p w:rsidR="00BA41D6" w:rsidRPr="008A1679" w:rsidRDefault="00BA41D6" w:rsidP="002834C4">
            <w:pPr>
              <w:spacing w:before="60" w:after="60"/>
              <w:rPr>
                <w:sz w:val="20"/>
                <w:szCs w:val="20"/>
              </w:rPr>
            </w:pPr>
            <w:r w:rsidRPr="008A1679">
              <w:rPr>
                <w:sz w:val="20"/>
                <w:szCs w:val="20"/>
              </w:rPr>
              <w:t>Rosin</w:t>
            </w:r>
          </w:p>
        </w:tc>
        <w:tc>
          <w:tcPr>
            <w:tcW w:w="1666" w:type="pct"/>
            <w:tcBorders>
              <w:top w:val="single" w:sz="8" w:space="0" w:color="808080" w:themeColor="background1" w:themeShade="80"/>
              <w:left w:val="nil"/>
              <w:bottom w:val="single" w:sz="12" w:space="0" w:color="000000" w:themeColor="text1"/>
              <w:right w:val="nil"/>
            </w:tcBorders>
          </w:tcPr>
          <w:p w:rsidR="00BA41D6" w:rsidRPr="008A1679" w:rsidRDefault="00BA41D6" w:rsidP="002834C4">
            <w:pPr>
              <w:spacing w:before="60" w:after="60"/>
              <w:rPr>
                <w:sz w:val="20"/>
                <w:szCs w:val="20"/>
              </w:rPr>
            </w:pPr>
            <w:r w:rsidRPr="008A1679">
              <w:rPr>
                <w:sz w:val="20"/>
                <w:szCs w:val="20"/>
              </w:rPr>
              <w:t>Adhesives, pine</w:t>
            </w:r>
          </w:p>
        </w:tc>
      </w:tr>
    </w:tbl>
    <w:p w:rsidR="00F13CF5" w:rsidRPr="008A1679" w:rsidRDefault="00F13CF5" w:rsidP="00F13CF5"/>
    <w:p w:rsidR="00F13CF5" w:rsidRPr="008A1679" w:rsidRDefault="00F13CF5" w:rsidP="00F13CF5">
      <w:pPr>
        <w:keepNext/>
      </w:pPr>
      <w:r w:rsidRPr="008A1679">
        <w:rPr>
          <w:noProof/>
        </w:rPr>
        <w:lastRenderedPageBreak/>
        <w:drawing>
          <wp:inline distT="0" distB="0" distL="0" distR="0">
            <wp:extent cx="5732145" cy="4928052"/>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13CF5" w:rsidRPr="008A1679" w:rsidRDefault="00F13CF5" w:rsidP="00F13CF5">
      <w:pPr>
        <w:pStyle w:val="Caption"/>
      </w:pPr>
      <w:bookmarkStart w:id="29" w:name="_Ref310418684"/>
      <w:bookmarkStart w:id="30" w:name="_Toc310506139"/>
      <w:r w:rsidRPr="008A1679">
        <w:t xml:space="preserve">Figure </w:t>
      </w:r>
      <w:fldSimple w:instr=" SEQ Figure \* ARABIC ">
        <w:r w:rsidR="005406BD" w:rsidRPr="008A1679">
          <w:rPr>
            <w:noProof/>
          </w:rPr>
          <w:t>2</w:t>
        </w:r>
      </w:fldSimple>
      <w:bookmarkEnd w:id="29"/>
      <w:r w:rsidRPr="008A1679">
        <w:t xml:space="preserve"> </w:t>
      </w:r>
      <w:r w:rsidRPr="008A1679">
        <w:rPr>
          <w:b w:val="0"/>
        </w:rPr>
        <w:t>The total number of</w:t>
      </w:r>
      <w:r w:rsidR="00862051" w:rsidRPr="008A1679">
        <w:rPr>
          <w:b w:val="0"/>
        </w:rPr>
        <w:t xml:space="preserve"> positive</w:t>
      </w:r>
      <w:r w:rsidRPr="008A1679">
        <w:rPr>
          <w:b w:val="0"/>
        </w:rPr>
        <w:t xml:space="preserve"> responses and the number of</w:t>
      </w:r>
      <w:r w:rsidR="00862051" w:rsidRPr="008A1679">
        <w:rPr>
          <w:b w:val="0"/>
        </w:rPr>
        <w:t xml:space="preserve"> positive,</w:t>
      </w:r>
      <w:r w:rsidRPr="008A1679">
        <w:rPr>
          <w:b w:val="0"/>
        </w:rPr>
        <w:t xml:space="preserve"> occupationally relevant responses to the most common allergens as determined by patch testing</w:t>
      </w:r>
      <w:bookmarkEnd w:id="30"/>
    </w:p>
    <w:p w:rsidR="00422E13" w:rsidRPr="008A1679" w:rsidRDefault="00422E13" w:rsidP="0077422A">
      <w:pPr>
        <w:pStyle w:val="Heading2"/>
        <w:spacing w:before="240"/>
      </w:pPr>
      <w:bookmarkStart w:id="31" w:name="_Toc310506132"/>
      <w:r w:rsidRPr="008A1679">
        <w:t>Occupational significance</w:t>
      </w:r>
      <w:bookmarkEnd w:id="31"/>
    </w:p>
    <w:p w:rsidR="00422E13" w:rsidRPr="008A1679" w:rsidRDefault="00422E13" w:rsidP="00945AD4">
      <w:r w:rsidRPr="008A1679">
        <w:t>Work was considered to be a substantial contributing factor to t</w:t>
      </w:r>
      <w:r w:rsidR="0077422A" w:rsidRPr="008A1679">
        <w:t>he skin problems of 174</w:t>
      </w:r>
      <w:r w:rsidR="0027243A" w:rsidRPr="008A1679">
        <w:t>1</w:t>
      </w:r>
      <w:r w:rsidR="0077422A" w:rsidRPr="008A1679">
        <w:t xml:space="preserve"> (60.0%)</w:t>
      </w:r>
      <w:r w:rsidRPr="008A1679">
        <w:t xml:space="preserve"> patients </w:t>
      </w:r>
      <w:r w:rsidR="002212C2" w:rsidRPr="008A1679">
        <w:t>assessed</w:t>
      </w:r>
      <w:r w:rsidRPr="008A1679">
        <w:t xml:space="preserve"> at the clinic and was considered to be partially contributing to the skin problems of an additional 437 (15.1%) patients. No work contribution could be found in 706 (24.3%) </w:t>
      </w:r>
      <w:r w:rsidR="0077422A" w:rsidRPr="008A1679">
        <w:t>patients</w:t>
      </w:r>
      <w:r w:rsidRPr="008A1679">
        <w:t xml:space="preserve"> and it was unknown in a further 16 (0.6%</w:t>
      </w:r>
      <w:r w:rsidR="0077422A" w:rsidRPr="008A1679">
        <w:t>)</w:t>
      </w:r>
      <w:r w:rsidRPr="008A1679">
        <w:t xml:space="preserve"> </w:t>
      </w:r>
      <w:r w:rsidR="0077422A" w:rsidRPr="008A1679">
        <w:t>patients</w:t>
      </w:r>
      <w:r w:rsidRPr="008A1679">
        <w:t>.</w:t>
      </w:r>
    </w:p>
    <w:p w:rsidR="00422E13" w:rsidRPr="008A1679" w:rsidRDefault="00B967B9" w:rsidP="00945AD4">
      <w:r>
        <w:fldChar w:fldCharType="begin"/>
      </w:r>
      <w:r>
        <w:instrText xml:space="preserve"> REF _Ref309650031 \h </w:instrText>
      </w:r>
      <w:r>
        <w:fldChar w:fldCharType="separate"/>
      </w:r>
      <w:r w:rsidR="005406BD" w:rsidRPr="008A1679">
        <w:t xml:space="preserve">Table </w:t>
      </w:r>
      <w:r w:rsidR="005406BD" w:rsidRPr="008A1679">
        <w:rPr>
          <w:noProof/>
        </w:rPr>
        <w:t>5</w:t>
      </w:r>
      <w:r>
        <w:fldChar w:fldCharType="end"/>
      </w:r>
      <w:r w:rsidR="00422E13" w:rsidRPr="008A1679">
        <w:t xml:space="preserve"> reports the occupational group for all patients with an occupationally related diagnosis stratified by primary diagnosis. More than a quarter of patients assessed in the clinic were tradespersons or related workers, followed by healthcare workers and food handlers. For those with a primary diagnosis of </w:t>
      </w:r>
      <w:proofErr w:type="spellStart"/>
      <w:r w:rsidR="00422E13" w:rsidRPr="008A1679">
        <w:t>ICD</w:t>
      </w:r>
      <w:proofErr w:type="spellEnd"/>
      <w:r w:rsidR="00422E13" w:rsidRPr="008A1679">
        <w:t xml:space="preserve">, 23.6% were tradespersons and 24.4% were healthcare workers. Food handlers were the third most common occupational group with a primary diagnosis of </w:t>
      </w:r>
      <w:proofErr w:type="spellStart"/>
      <w:r w:rsidR="00422E13" w:rsidRPr="008A1679">
        <w:t>ICD</w:t>
      </w:r>
      <w:proofErr w:type="spellEnd"/>
      <w:r w:rsidR="00422E13" w:rsidRPr="008A1679">
        <w:t xml:space="preserve">. For </w:t>
      </w:r>
      <w:proofErr w:type="spellStart"/>
      <w:r w:rsidR="00422E13" w:rsidRPr="008A1679">
        <w:t>ACD</w:t>
      </w:r>
      <w:proofErr w:type="spellEnd"/>
      <w:r w:rsidR="00422E13" w:rsidRPr="008A1679">
        <w:t xml:space="preserve">, the most common occupational groups were tradespersons, hair and beauty therapists, and healthcare workers. </w:t>
      </w:r>
    </w:p>
    <w:p w:rsidR="0077422A" w:rsidRPr="008A1679" w:rsidRDefault="0077422A"/>
    <w:p w:rsidR="0077422A" w:rsidRPr="008A1679" w:rsidRDefault="0077422A">
      <w:pPr>
        <w:sectPr w:rsidR="0077422A" w:rsidRPr="008A1679" w:rsidSect="00ED0AFE">
          <w:pgSz w:w="11907" w:h="16840" w:code="9"/>
          <w:pgMar w:top="1440" w:right="1440" w:bottom="1440" w:left="1440" w:header="709" w:footer="709" w:gutter="0"/>
          <w:pgNumType w:start="1"/>
          <w:cols w:space="708"/>
          <w:docGrid w:linePitch="360"/>
        </w:sectPr>
      </w:pPr>
    </w:p>
    <w:p w:rsidR="00AC0A57" w:rsidRPr="008A1679" w:rsidRDefault="00AC0A57" w:rsidP="00AC0A57">
      <w:pPr>
        <w:pStyle w:val="Caption"/>
        <w:keepNext/>
      </w:pPr>
      <w:bookmarkStart w:id="32" w:name="_Ref309650031"/>
      <w:bookmarkStart w:id="33" w:name="_Toc310506144"/>
      <w:r w:rsidRPr="008A1679">
        <w:lastRenderedPageBreak/>
        <w:t xml:space="preserve">Table </w:t>
      </w:r>
      <w:fldSimple w:instr=" SEQ Table \* ARABIC ">
        <w:r w:rsidR="005406BD" w:rsidRPr="008A1679">
          <w:rPr>
            <w:noProof/>
          </w:rPr>
          <w:t>5</w:t>
        </w:r>
      </w:fldSimple>
      <w:bookmarkEnd w:id="32"/>
      <w:r w:rsidRPr="008A1679">
        <w:t xml:space="preserve"> </w:t>
      </w:r>
      <w:r w:rsidRPr="008A1679">
        <w:rPr>
          <w:rFonts w:cs="Arial"/>
          <w:b w:val="0"/>
        </w:rPr>
        <w:t xml:space="preserve">The occupation of patients with </w:t>
      </w:r>
      <w:proofErr w:type="spellStart"/>
      <w:r w:rsidRPr="008A1679">
        <w:rPr>
          <w:rFonts w:cs="Arial"/>
          <w:b w:val="0"/>
        </w:rPr>
        <w:t>OSD</w:t>
      </w:r>
      <w:proofErr w:type="spellEnd"/>
      <w:r w:rsidRPr="008A1679">
        <w:rPr>
          <w:rFonts w:cs="Arial"/>
          <w:b w:val="0"/>
        </w:rPr>
        <w:t xml:space="preserve"> by primary diagnosis: percentage of patients within primary diagnosis</w:t>
      </w:r>
      <w:bookmarkEnd w:id="33"/>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tblPr>
      <w:tblGrid>
        <w:gridCol w:w="3025"/>
        <w:gridCol w:w="1239"/>
        <w:gridCol w:w="1239"/>
        <w:gridCol w:w="1239"/>
        <w:gridCol w:w="1239"/>
        <w:gridCol w:w="1239"/>
        <w:gridCol w:w="1239"/>
        <w:gridCol w:w="1239"/>
        <w:gridCol w:w="1239"/>
        <w:gridCol w:w="1239"/>
      </w:tblGrid>
      <w:tr w:rsidR="0077422A" w:rsidRPr="008A1679" w:rsidTr="005002CD">
        <w:tc>
          <w:tcPr>
            <w:tcW w:w="1067" w:type="pct"/>
            <w:tcBorders>
              <w:top w:val="single" w:sz="12" w:space="0" w:color="auto"/>
              <w:bottom w:val="single" w:sz="12" w:space="0" w:color="auto"/>
            </w:tcBorders>
          </w:tcPr>
          <w:p w:rsidR="0077422A" w:rsidRPr="008A1679" w:rsidRDefault="005002CD" w:rsidP="00AC0A57">
            <w:pPr>
              <w:spacing w:before="40" w:after="40"/>
              <w:rPr>
                <w:rFonts w:cs="Arial"/>
                <w:b/>
                <w:sz w:val="20"/>
                <w:szCs w:val="20"/>
              </w:rPr>
            </w:pPr>
            <w:r w:rsidRPr="008A1679">
              <w:rPr>
                <w:rFonts w:cs="Arial"/>
                <w:b/>
                <w:sz w:val="20"/>
                <w:szCs w:val="20"/>
              </w:rPr>
              <w:t>Occupation</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r w:rsidRPr="008A1679">
              <w:rPr>
                <w:rFonts w:cs="Arial"/>
                <w:b/>
                <w:sz w:val="20"/>
                <w:szCs w:val="20"/>
              </w:rPr>
              <w:t>Total</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proofErr w:type="spellStart"/>
            <w:r w:rsidRPr="008A1679">
              <w:rPr>
                <w:rFonts w:cs="Arial"/>
                <w:b/>
                <w:sz w:val="20"/>
                <w:szCs w:val="20"/>
              </w:rPr>
              <w:t>ICD</w:t>
            </w:r>
            <w:proofErr w:type="spellEnd"/>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proofErr w:type="spellStart"/>
            <w:r w:rsidRPr="008A1679">
              <w:rPr>
                <w:rFonts w:cs="Arial"/>
                <w:b/>
                <w:sz w:val="20"/>
                <w:szCs w:val="20"/>
              </w:rPr>
              <w:t>ACD</w:t>
            </w:r>
            <w:proofErr w:type="spellEnd"/>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proofErr w:type="spellStart"/>
            <w:r w:rsidRPr="008A1679">
              <w:rPr>
                <w:rFonts w:cs="Arial"/>
                <w:b/>
                <w:sz w:val="20"/>
                <w:szCs w:val="20"/>
              </w:rPr>
              <w:t>Endog</w:t>
            </w:r>
            <w:proofErr w:type="spellEnd"/>
            <w:r w:rsidRPr="008A1679">
              <w:rPr>
                <w:rFonts w:cs="Arial"/>
                <w:b/>
                <w:sz w:val="20"/>
                <w:szCs w:val="20"/>
              </w:rPr>
              <w:t>*</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proofErr w:type="spellStart"/>
            <w:r w:rsidRPr="008A1679">
              <w:rPr>
                <w:rFonts w:cs="Arial"/>
                <w:b/>
                <w:sz w:val="20"/>
                <w:szCs w:val="20"/>
              </w:rPr>
              <w:t>Psor</w:t>
            </w:r>
            <w:proofErr w:type="spellEnd"/>
            <w:r w:rsidRPr="008A1679">
              <w:rPr>
                <w:rFonts w:cs="Arial"/>
                <w:b/>
                <w:sz w:val="20"/>
                <w:szCs w:val="20"/>
              </w:rPr>
              <w:t>*</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r w:rsidRPr="008A1679">
              <w:rPr>
                <w:rFonts w:cs="Arial"/>
                <w:b/>
                <w:sz w:val="20"/>
                <w:szCs w:val="20"/>
              </w:rPr>
              <w:t>Latex</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r w:rsidRPr="008A1679">
              <w:rPr>
                <w:rFonts w:cs="Arial"/>
                <w:b/>
                <w:sz w:val="20"/>
                <w:szCs w:val="20"/>
              </w:rPr>
              <w:t>CU*</w:t>
            </w:r>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proofErr w:type="spellStart"/>
            <w:r w:rsidRPr="008A1679">
              <w:rPr>
                <w:rFonts w:cs="Arial"/>
                <w:b/>
                <w:sz w:val="20"/>
                <w:szCs w:val="20"/>
              </w:rPr>
              <w:t>PPOD</w:t>
            </w:r>
            <w:proofErr w:type="spellEnd"/>
          </w:p>
        </w:tc>
        <w:tc>
          <w:tcPr>
            <w:tcW w:w="437" w:type="pct"/>
            <w:tcBorders>
              <w:top w:val="single" w:sz="12" w:space="0" w:color="auto"/>
              <w:bottom w:val="single" w:sz="12" w:space="0" w:color="auto"/>
            </w:tcBorders>
          </w:tcPr>
          <w:p w:rsidR="0077422A" w:rsidRPr="008A1679" w:rsidRDefault="0077422A" w:rsidP="00AC0A57">
            <w:pPr>
              <w:spacing w:before="40" w:after="40"/>
              <w:jc w:val="center"/>
              <w:rPr>
                <w:rFonts w:cs="Arial"/>
                <w:b/>
                <w:sz w:val="20"/>
                <w:szCs w:val="20"/>
              </w:rPr>
            </w:pPr>
            <w:r w:rsidRPr="008A1679">
              <w:rPr>
                <w:rFonts w:cs="Arial"/>
                <w:b/>
                <w:sz w:val="20"/>
                <w:szCs w:val="20"/>
              </w:rPr>
              <w:t>Other</w:t>
            </w:r>
          </w:p>
        </w:tc>
      </w:tr>
      <w:tr w:rsidR="002873FF" w:rsidRPr="008A1679" w:rsidTr="005002CD">
        <w:tc>
          <w:tcPr>
            <w:tcW w:w="1067" w:type="pct"/>
            <w:tcBorders>
              <w:top w:val="single" w:sz="12" w:space="0" w:color="auto"/>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Trades persons &amp; labourers</w:t>
            </w:r>
          </w:p>
        </w:tc>
        <w:tc>
          <w:tcPr>
            <w:tcW w:w="437" w:type="pct"/>
            <w:tcBorders>
              <w:top w:val="single" w:sz="12" w:space="0" w:color="auto"/>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25.7</w:t>
            </w:r>
          </w:p>
        </w:tc>
        <w:tc>
          <w:tcPr>
            <w:tcW w:w="437" w:type="pct"/>
            <w:tcBorders>
              <w:top w:val="single" w:sz="12" w:space="0" w:color="auto"/>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23.6</w:t>
            </w:r>
          </w:p>
        </w:tc>
        <w:tc>
          <w:tcPr>
            <w:tcW w:w="437" w:type="pct"/>
            <w:tcBorders>
              <w:top w:val="single" w:sz="12" w:space="0" w:color="auto"/>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30.5</w:t>
            </w:r>
          </w:p>
        </w:tc>
        <w:tc>
          <w:tcPr>
            <w:tcW w:w="437" w:type="pct"/>
            <w:tcBorders>
              <w:top w:val="single" w:sz="12" w:space="0" w:color="auto"/>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31.9</w:t>
            </w:r>
          </w:p>
        </w:tc>
        <w:tc>
          <w:tcPr>
            <w:tcW w:w="437" w:type="pct"/>
            <w:tcBorders>
              <w:top w:val="single" w:sz="12" w:space="0" w:color="auto"/>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37.3</w:t>
            </w:r>
          </w:p>
        </w:tc>
        <w:tc>
          <w:tcPr>
            <w:tcW w:w="437" w:type="pct"/>
            <w:tcBorders>
              <w:top w:val="single" w:sz="12" w:space="0" w:color="auto"/>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1.6</w:t>
            </w:r>
          </w:p>
        </w:tc>
        <w:tc>
          <w:tcPr>
            <w:tcW w:w="437" w:type="pct"/>
            <w:tcBorders>
              <w:top w:val="single" w:sz="12" w:space="0" w:color="auto"/>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7.3</w:t>
            </w:r>
          </w:p>
        </w:tc>
        <w:tc>
          <w:tcPr>
            <w:tcW w:w="437" w:type="pct"/>
            <w:tcBorders>
              <w:top w:val="single" w:sz="12" w:space="0" w:color="auto"/>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13.3</w:t>
            </w:r>
          </w:p>
        </w:tc>
        <w:tc>
          <w:tcPr>
            <w:tcW w:w="437" w:type="pct"/>
            <w:tcBorders>
              <w:top w:val="single" w:sz="12" w:space="0" w:color="auto"/>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23.0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Healthcare workers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21.1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24.4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14.8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20.1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5.9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68.9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5.5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13.5</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Food handlers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10.1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12.0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4.8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9.2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13.1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54.6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9.5</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Hair &amp; beauty</w:t>
            </w:r>
            <w:r w:rsidR="00D15F3A" w:rsidRPr="008A1679">
              <w:rPr>
                <w:rFonts w:cs="Arial"/>
                <w:sz w:val="20"/>
                <w:szCs w:val="20"/>
              </w:rPr>
              <w:t xml:space="preserve"> therapists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8.8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5.1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16.7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4.4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9.8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6.</w:t>
            </w:r>
            <w:r w:rsidR="00712E26" w:rsidRPr="008A1679">
              <w:rPr>
                <w:rFonts w:cs="Arial"/>
                <w:sz w:val="20"/>
                <w:szCs w:val="20"/>
              </w:rPr>
              <w:t>8</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Machine &amp; plant operators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7.4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6.6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8.4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7.0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17.7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9.5</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Process workers &amp; packers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4.5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4.9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7.8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13.3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10.8</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970DD2">
            <w:pPr>
              <w:spacing w:before="40" w:after="40"/>
              <w:rPr>
                <w:rFonts w:cs="Arial"/>
                <w:sz w:val="20"/>
                <w:szCs w:val="20"/>
              </w:rPr>
            </w:pPr>
            <w:r w:rsidRPr="008A1679">
              <w:rPr>
                <w:rFonts w:cs="Arial"/>
                <w:sz w:val="20"/>
                <w:szCs w:val="20"/>
              </w:rPr>
              <w:t>Automotive</w:t>
            </w:r>
            <w:r w:rsidR="0027243A" w:rsidRPr="008A1679">
              <w:rPr>
                <w:rFonts w:cs="Arial"/>
                <w:sz w:val="20"/>
                <w:szCs w:val="20"/>
              </w:rPr>
              <w:t xml:space="preserve"> workers</w:t>
            </w:r>
            <w:r w:rsidR="00970DD2" w:rsidRPr="008A1679">
              <w:rPr>
                <w:rFonts w:cs="Arial"/>
                <w:sz w:val="20"/>
                <w:szCs w:val="20"/>
                <w:vertAlign w:val="superscript"/>
              </w:rPr>
              <w:t>#</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4.2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6.8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7.8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6.7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1.4</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Engineering</w:t>
            </w:r>
            <w:r w:rsidR="0027243A" w:rsidRPr="008A1679">
              <w:rPr>
                <w:rFonts w:cs="Arial"/>
                <w:sz w:val="20"/>
                <w:szCs w:val="20"/>
              </w:rPr>
              <w:t xml:space="preserve"> workers</w:t>
            </w:r>
            <w:r w:rsidR="00970DD2" w:rsidRPr="008A1679">
              <w:rPr>
                <w:rFonts w:cs="Arial"/>
                <w:sz w:val="20"/>
                <w:szCs w:val="20"/>
                <w:vertAlign w:val="superscript"/>
              </w:rPr>
              <w:t>#</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4.2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6.7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5.4</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Farmers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3.5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5.5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4.1</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Cleaners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6.7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Science</w:t>
            </w:r>
            <w:r w:rsidR="0027243A" w:rsidRPr="008A1679">
              <w:rPr>
                <w:rFonts w:cs="Arial"/>
                <w:sz w:val="20"/>
                <w:szCs w:val="20"/>
              </w:rPr>
              <w:t xml:space="preserve"> workers</w:t>
            </w:r>
            <w:r w:rsidR="00970DD2" w:rsidRPr="008A1679">
              <w:rPr>
                <w:rFonts w:cs="Arial"/>
                <w:sz w:val="20"/>
                <w:szCs w:val="20"/>
                <w:vertAlign w:val="superscript"/>
              </w:rPr>
              <w:t>#</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Cash handlers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7.3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6.7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1.4</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Clerical &amp; managerial</w:t>
            </w:r>
            <w:r w:rsidR="00970DD2" w:rsidRPr="008A1679">
              <w:rPr>
                <w:rFonts w:cs="Arial"/>
                <w:sz w:val="20"/>
                <w:szCs w:val="20"/>
              </w:rPr>
              <w:t xml:space="preserve"> workers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1.4</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 xml:space="preserve">Production managers </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2.0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2.7</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Transport workers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0.7</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5.9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Teachers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0.5</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0.9</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2.7</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Photographic workers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3.6</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Veterinary</w:t>
            </w:r>
            <w:r w:rsidR="0027243A" w:rsidRPr="008A1679">
              <w:rPr>
                <w:rFonts w:cs="Arial"/>
                <w:sz w:val="20"/>
                <w:szCs w:val="20"/>
              </w:rPr>
              <w:t xml:space="preserve"> workers</w:t>
            </w:r>
            <w:r w:rsidR="00970DD2" w:rsidRPr="008A1679">
              <w:rPr>
                <w:rFonts w:cs="Arial"/>
                <w:sz w:val="20"/>
                <w:szCs w:val="20"/>
                <w:vertAlign w:val="superscript"/>
              </w:rPr>
              <w:t>#</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Childcare</w:t>
            </w:r>
            <w:r w:rsidR="0027243A" w:rsidRPr="008A1679">
              <w:rPr>
                <w:rFonts w:cs="Arial"/>
                <w:sz w:val="20"/>
                <w:szCs w:val="20"/>
              </w:rPr>
              <w:t xml:space="preserve"> workers</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0.3</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0.4</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2873FF"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2873FF" w:rsidRPr="008A1679" w:rsidRDefault="002873FF" w:rsidP="00AC0A57">
            <w:pPr>
              <w:spacing w:before="40" w:after="40"/>
              <w:rPr>
                <w:rFonts w:cs="Arial"/>
                <w:sz w:val="20"/>
                <w:szCs w:val="20"/>
              </w:rPr>
            </w:pPr>
            <w:r w:rsidRPr="008A1679">
              <w:rPr>
                <w:rFonts w:cs="Arial"/>
                <w:sz w:val="20"/>
                <w:szCs w:val="20"/>
              </w:rPr>
              <w:t>Emergency workers-Other</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0.2</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2873FF" w:rsidP="00AC0A57">
            <w:pPr>
              <w:spacing w:before="40" w:after="40"/>
              <w:jc w:val="center"/>
              <w:rPr>
                <w:rFonts w:cs="Arial"/>
                <w:sz w:val="20"/>
                <w:szCs w:val="20"/>
              </w:rPr>
            </w:pPr>
            <w:r w:rsidRPr="008A1679">
              <w:rPr>
                <w:rFonts w:cs="Arial"/>
                <w:sz w:val="20"/>
                <w:szCs w:val="20"/>
              </w:rPr>
              <w:t>0.1</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4" w:space="0" w:color="808080" w:themeColor="background1" w:themeShade="80"/>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r>
      <w:tr w:rsidR="00A42FDA" w:rsidRPr="008A1679" w:rsidTr="005002CD">
        <w:tc>
          <w:tcPr>
            <w:tcW w:w="1067" w:type="pct"/>
            <w:tcBorders>
              <w:top w:val="single" w:sz="4" w:space="0" w:color="808080" w:themeColor="background1" w:themeShade="80"/>
              <w:bottom w:val="single" w:sz="4" w:space="0" w:color="808080" w:themeColor="background1" w:themeShade="80"/>
            </w:tcBorders>
            <w:vAlign w:val="bottom"/>
          </w:tcPr>
          <w:p w:rsidR="00A42FDA" w:rsidRPr="008A1679" w:rsidRDefault="00A42FDA" w:rsidP="00AC0A57">
            <w:pPr>
              <w:spacing w:before="40" w:after="40"/>
              <w:rPr>
                <w:rFonts w:cs="Arial"/>
                <w:sz w:val="20"/>
                <w:szCs w:val="20"/>
              </w:rPr>
            </w:pPr>
            <w:r w:rsidRPr="008A1679">
              <w:rPr>
                <w:rFonts w:cs="Arial"/>
                <w:sz w:val="20"/>
                <w:szCs w:val="20"/>
              </w:rPr>
              <w:t>Miscellaneous / Others</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1.7</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1.6</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1.9</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2.2</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2.0</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0</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0</w:t>
            </w:r>
          </w:p>
        </w:tc>
        <w:tc>
          <w:tcPr>
            <w:tcW w:w="437" w:type="pct"/>
            <w:tcBorders>
              <w:top w:val="single" w:sz="4" w:space="0" w:color="808080" w:themeColor="background1" w:themeShade="80"/>
              <w:bottom w:val="single" w:sz="4" w:space="0" w:color="808080" w:themeColor="background1" w:themeShade="80"/>
            </w:tcBorders>
          </w:tcPr>
          <w:p w:rsidR="00A42FDA" w:rsidRPr="008A1679" w:rsidRDefault="00A42FDA" w:rsidP="00AC0A57">
            <w:pPr>
              <w:spacing w:before="40" w:after="40"/>
              <w:jc w:val="center"/>
              <w:rPr>
                <w:rFonts w:cs="Arial"/>
                <w:sz w:val="20"/>
                <w:szCs w:val="20"/>
              </w:rPr>
            </w:pPr>
            <w:r w:rsidRPr="008A1679">
              <w:rPr>
                <w:rFonts w:cs="Arial"/>
                <w:sz w:val="20"/>
                <w:szCs w:val="20"/>
              </w:rPr>
              <w:t>1.4</w:t>
            </w:r>
          </w:p>
        </w:tc>
      </w:tr>
      <w:tr w:rsidR="002873FF" w:rsidRPr="008A1679" w:rsidTr="005002CD">
        <w:tc>
          <w:tcPr>
            <w:tcW w:w="1067" w:type="pct"/>
            <w:tcBorders>
              <w:top w:val="single" w:sz="4" w:space="0" w:color="808080" w:themeColor="background1" w:themeShade="80"/>
              <w:bottom w:val="single" w:sz="12" w:space="0" w:color="auto"/>
            </w:tcBorders>
            <w:vAlign w:val="bottom"/>
          </w:tcPr>
          <w:p w:rsidR="002873FF" w:rsidRPr="008A1679" w:rsidRDefault="002873FF" w:rsidP="00AC0A57">
            <w:pPr>
              <w:spacing w:before="40" w:after="40"/>
              <w:rPr>
                <w:rFonts w:cs="Arial"/>
                <w:sz w:val="20"/>
                <w:szCs w:val="20"/>
              </w:rPr>
            </w:pPr>
            <w:r w:rsidRPr="008A1679">
              <w:rPr>
                <w:rFonts w:cs="Arial"/>
                <w:sz w:val="20"/>
                <w:szCs w:val="20"/>
              </w:rPr>
              <w:t>Missing</w:t>
            </w:r>
          </w:p>
        </w:tc>
        <w:tc>
          <w:tcPr>
            <w:tcW w:w="437" w:type="pct"/>
            <w:tcBorders>
              <w:top w:val="single" w:sz="4" w:space="0" w:color="808080" w:themeColor="background1" w:themeShade="80"/>
              <w:bottom w:val="single" w:sz="12" w:space="0" w:color="auto"/>
            </w:tcBorders>
          </w:tcPr>
          <w:p w:rsidR="002873FF" w:rsidRPr="008A1679" w:rsidRDefault="002873FF" w:rsidP="00AC0A57">
            <w:pPr>
              <w:spacing w:before="40" w:after="40"/>
              <w:jc w:val="center"/>
              <w:rPr>
                <w:rFonts w:cs="Arial"/>
                <w:sz w:val="20"/>
                <w:szCs w:val="20"/>
              </w:rPr>
            </w:pPr>
            <w:r w:rsidRPr="008A1679">
              <w:rPr>
                <w:rFonts w:cs="Arial"/>
                <w:sz w:val="20"/>
                <w:szCs w:val="20"/>
              </w:rPr>
              <w:t>1.4</w:t>
            </w:r>
          </w:p>
        </w:tc>
        <w:tc>
          <w:tcPr>
            <w:tcW w:w="437" w:type="pct"/>
            <w:tcBorders>
              <w:top w:val="single" w:sz="4" w:space="0" w:color="808080" w:themeColor="background1" w:themeShade="80"/>
              <w:bottom w:val="single" w:sz="12" w:space="0" w:color="auto"/>
            </w:tcBorders>
          </w:tcPr>
          <w:p w:rsidR="002873FF" w:rsidRPr="008A1679" w:rsidRDefault="002873FF" w:rsidP="00AC0A57">
            <w:pPr>
              <w:spacing w:before="40" w:after="40"/>
              <w:jc w:val="center"/>
              <w:rPr>
                <w:rFonts w:cs="Arial"/>
                <w:sz w:val="20"/>
                <w:szCs w:val="20"/>
              </w:rPr>
            </w:pPr>
            <w:r w:rsidRPr="008A1679">
              <w:rPr>
                <w:rFonts w:cs="Arial"/>
                <w:sz w:val="20"/>
                <w:szCs w:val="20"/>
              </w:rPr>
              <w:t>1.2</w:t>
            </w:r>
          </w:p>
        </w:tc>
        <w:tc>
          <w:tcPr>
            <w:tcW w:w="437" w:type="pct"/>
            <w:tcBorders>
              <w:top w:val="single" w:sz="4" w:space="0" w:color="808080" w:themeColor="background1" w:themeShade="80"/>
              <w:bottom w:val="single" w:sz="12" w:space="0" w:color="auto"/>
            </w:tcBorders>
          </w:tcPr>
          <w:p w:rsidR="002873FF" w:rsidRPr="008A1679" w:rsidRDefault="002873FF" w:rsidP="00AC0A57">
            <w:pPr>
              <w:spacing w:before="40" w:after="40"/>
              <w:jc w:val="center"/>
              <w:rPr>
                <w:rFonts w:cs="Arial"/>
                <w:sz w:val="20"/>
                <w:szCs w:val="20"/>
              </w:rPr>
            </w:pPr>
            <w:r w:rsidRPr="008A1679">
              <w:rPr>
                <w:rFonts w:cs="Arial"/>
                <w:sz w:val="20"/>
                <w:szCs w:val="20"/>
              </w:rPr>
              <w:t>1.1</w:t>
            </w:r>
          </w:p>
        </w:tc>
        <w:tc>
          <w:tcPr>
            <w:tcW w:w="437" w:type="pct"/>
            <w:tcBorders>
              <w:top w:val="single" w:sz="4" w:space="0" w:color="808080" w:themeColor="background1" w:themeShade="80"/>
              <w:bottom w:val="single" w:sz="12" w:space="0" w:color="auto"/>
            </w:tcBorders>
          </w:tcPr>
          <w:p w:rsidR="002873FF" w:rsidRPr="008A1679" w:rsidRDefault="00712E26" w:rsidP="00AC0A57">
            <w:pPr>
              <w:spacing w:before="40" w:after="40"/>
              <w:jc w:val="center"/>
              <w:rPr>
                <w:rFonts w:cs="Arial"/>
                <w:sz w:val="20"/>
                <w:szCs w:val="20"/>
              </w:rPr>
            </w:pPr>
            <w:r w:rsidRPr="008A1679">
              <w:rPr>
                <w:rFonts w:cs="Arial"/>
                <w:sz w:val="20"/>
                <w:szCs w:val="20"/>
              </w:rPr>
              <w:t>1.8</w:t>
            </w:r>
          </w:p>
        </w:tc>
        <w:tc>
          <w:tcPr>
            <w:tcW w:w="437" w:type="pct"/>
            <w:tcBorders>
              <w:top w:val="single" w:sz="4" w:space="0" w:color="808080" w:themeColor="background1" w:themeShade="80"/>
              <w:bottom w:val="single" w:sz="12" w:space="0" w:color="auto"/>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12" w:space="0" w:color="auto"/>
            </w:tcBorders>
          </w:tcPr>
          <w:p w:rsidR="002873FF" w:rsidRPr="008A1679" w:rsidRDefault="00712E26" w:rsidP="00AC0A57">
            <w:pPr>
              <w:spacing w:before="40" w:after="40"/>
              <w:jc w:val="center"/>
              <w:rPr>
                <w:rFonts w:cs="Arial"/>
                <w:sz w:val="20"/>
                <w:szCs w:val="20"/>
              </w:rPr>
            </w:pPr>
            <w:r w:rsidRPr="008A1679">
              <w:rPr>
                <w:rFonts w:cs="Arial"/>
                <w:sz w:val="20"/>
                <w:szCs w:val="20"/>
              </w:rPr>
              <w:t>1.6</w:t>
            </w:r>
          </w:p>
        </w:tc>
        <w:tc>
          <w:tcPr>
            <w:tcW w:w="437" w:type="pct"/>
            <w:tcBorders>
              <w:top w:val="single" w:sz="4" w:space="0" w:color="808080" w:themeColor="background1" w:themeShade="80"/>
              <w:bottom w:val="single" w:sz="12" w:space="0" w:color="auto"/>
            </w:tcBorders>
          </w:tcPr>
          <w:p w:rsidR="002873FF" w:rsidRPr="008A1679" w:rsidRDefault="00712E26" w:rsidP="00AC0A57">
            <w:pPr>
              <w:spacing w:before="40" w:after="40"/>
              <w:jc w:val="center"/>
              <w:rPr>
                <w:rFonts w:cs="Arial"/>
                <w:sz w:val="20"/>
                <w:szCs w:val="20"/>
              </w:rPr>
            </w:pPr>
            <w:r w:rsidRPr="008A1679">
              <w:rPr>
                <w:rFonts w:cs="Arial"/>
                <w:sz w:val="20"/>
                <w:szCs w:val="20"/>
              </w:rPr>
              <w:t>0.0</w:t>
            </w:r>
          </w:p>
        </w:tc>
        <w:tc>
          <w:tcPr>
            <w:tcW w:w="437" w:type="pct"/>
            <w:tcBorders>
              <w:top w:val="single" w:sz="4" w:space="0" w:color="808080" w:themeColor="background1" w:themeShade="80"/>
              <w:bottom w:val="single" w:sz="12" w:space="0" w:color="auto"/>
            </w:tcBorders>
          </w:tcPr>
          <w:p w:rsidR="002873FF" w:rsidRPr="008A1679" w:rsidRDefault="002873FF" w:rsidP="00AC0A57">
            <w:pPr>
              <w:spacing w:before="40" w:after="40"/>
              <w:jc w:val="center"/>
              <w:rPr>
                <w:rFonts w:cs="Arial"/>
                <w:sz w:val="20"/>
                <w:szCs w:val="20"/>
              </w:rPr>
            </w:pPr>
            <w:r w:rsidRPr="008A1679">
              <w:rPr>
                <w:rFonts w:cs="Arial"/>
                <w:sz w:val="20"/>
                <w:szCs w:val="20"/>
              </w:rPr>
              <w:t>6.7</w:t>
            </w:r>
          </w:p>
        </w:tc>
        <w:tc>
          <w:tcPr>
            <w:tcW w:w="437" w:type="pct"/>
            <w:tcBorders>
              <w:top w:val="single" w:sz="4" w:space="0" w:color="808080" w:themeColor="background1" w:themeShade="80"/>
              <w:bottom w:val="single" w:sz="12" w:space="0" w:color="auto"/>
            </w:tcBorders>
          </w:tcPr>
          <w:p w:rsidR="002873FF" w:rsidRPr="008A1679" w:rsidRDefault="00712E26" w:rsidP="00AC0A57">
            <w:pPr>
              <w:spacing w:before="40" w:after="40"/>
              <w:jc w:val="center"/>
              <w:rPr>
                <w:rFonts w:cs="Arial"/>
                <w:sz w:val="20"/>
                <w:szCs w:val="20"/>
              </w:rPr>
            </w:pPr>
            <w:r w:rsidRPr="008A1679">
              <w:rPr>
                <w:rFonts w:cs="Arial"/>
                <w:sz w:val="20"/>
                <w:szCs w:val="20"/>
              </w:rPr>
              <w:t>6.8</w:t>
            </w:r>
          </w:p>
        </w:tc>
      </w:tr>
      <w:tr w:rsidR="002873FF" w:rsidRPr="008A1679" w:rsidTr="005002CD">
        <w:tc>
          <w:tcPr>
            <w:tcW w:w="1067" w:type="pct"/>
            <w:tcBorders>
              <w:top w:val="single" w:sz="12" w:space="0" w:color="auto"/>
              <w:bottom w:val="single" w:sz="12" w:space="0" w:color="auto"/>
            </w:tcBorders>
            <w:vAlign w:val="bottom"/>
          </w:tcPr>
          <w:p w:rsidR="002873FF" w:rsidRPr="008A1679" w:rsidRDefault="005002CD" w:rsidP="00AC0A57">
            <w:pPr>
              <w:spacing w:before="40" w:after="40"/>
              <w:rPr>
                <w:rFonts w:cs="Arial"/>
                <w:sz w:val="20"/>
                <w:szCs w:val="20"/>
              </w:rPr>
            </w:pPr>
            <w:r w:rsidRPr="008A1679">
              <w:rPr>
                <w:rFonts w:cs="Arial"/>
                <w:sz w:val="20"/>
                <w:szCs w:val="20"/>
              </w:rPr>
              <w:t>Number of patients</w:t>
            </w:r>
          </w:p>
        </w:tc>
        <w:tc>
          <w:tcPr>
            <w:tcW w:w="437" w:type="pct"/>
            <w:tcBorders>
              <w:top w:val="single" w:sz="12" w:space="0" w:color="auto"/>
              <w:bottom w:val="single" w:sz="12" w:space="0" w:color="auto"/>
            </w:tcBorders>
          </w:tcPr>
          <w:p w:rsidR="002873FF" w:rsidRPr="008A1679" w:rsidRDefault="005002CD" w:rsidP="0027243A">
            <w:pPr>
              <w:spacing w:before="40" w:after="40"/>
              <w:jc w:val="center"/>
              <w:rPr>
                <w:rFonts w:cs="Arial"/>
                <w:sz w:val="20"/>
                <w:szCs w:val="20"/>
              </w:rPr>
            </w:pPr>
            <w:r w:rsidRPr="008A1679">
              <w:rPr>
                <w:rFonts w:cs="Arial"/>
                <w:sz w:val="20"/>
                <w:szCs w:val="20"/>
              </w:rPr>
              <w:t>217</w:t>
            </w:r>
            <w:r w:rsidR="0027243A" w:rsidRPr="008A1679">
              <w:rPr>
                <w:rFonts w:cs="Arial"/>
                <w:sz w:val="20"/>
                <w:szCs w:val="20"/>
              </w:rPr>
              <w:t>7</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958</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712</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229</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51</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61</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55</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15</w:t>
            </w:r>
          </w:p>
        </w:tc>
        <w:tc>
          <w:tcPr>
            <w:tcW w:w="437" w:type="pct"/>
            <w:tcBorders>
              <w:top w:val="single" w:sz="12" w:space="0" w:color="auto"/>
              <w:bottom w:val="single" w:sz="12" w:space="0" w:color="auto"/>
            </w:tcBorders>
          </w:tcPr>
          <w:p w:rsidR="002873FF" w:rsidRPr="008A1679" w:rsidRDefault="005002CD" w:rsidP="00AC0A57">
            <w:pPr>
              <w:spacing w:before="40" w:after="40"/>
              <w:jc w:val="center"/>
              <w:rPr>
                <w:rFonts w:cs="Arial"/>
                <w:sz w:val="20"/>
                <w:szCs w:val="20"/>
              </w:rPr>
            </w:pPr>
            <w:r w:rsidRPr="008A1679">
              <w:rPr>
                <w:rFonts w:cs="Arial"/>
                <w:sz w:val="20"/>
                <w:szCs w:val="20"/>
              </w:rPr>
              <w:t>74</w:t>
            </w:r>
          </w:p>
        </w:tc>
      </w:tr>
      <w:tr w:rsidR="005002CD" w:rsidRPr="008A1679" w:rsidTr="00970DD2">
        <w:tc>
          <w:tcPr>
            <w:tcW w:w="5000" w:type="pct"/>
            <w:gridSpan w:val="10"/>
            <w:tcBorders>
              <w:top w:val="single" w:sz="12" w:space="0" w:color="auto"/>
              <w:bottom w:val="single" w:sz="12" w:space="0" w:color="auto"/>
            </w:tcBorders>
            <w:vAlign w:val="bottom"/>
          </w:tcPr>
          <w:p w:rsidR="005002CD" w:rsidRPr="008A1679" w:rsidRDefault="00AC0A57" w:rsidP="00AC0A57">
            <w:pPr>
              <w:spacing w:before="40" w:after="40"/>
              <w:rPr>
                <w:rFonts w:cs="Arial"/>
                <w:sz w:val="18"/>
                <w:szCs w:val="18"/>
              </w:rPr>
            </w:pPr>
            <w:r w:rsidRPr="008A1679">
              <w:rPr>
                <w:rFonts w:cs="Arial"/>
                <w:sz w:val="18"/>
                <w:szCs w:val="18"/>
              </w:rPr>
              <w:t xml:space="preserve">* </w:t>
            </w:r>
            <w:proofErr w:type="spellStart"/>
            <w:r w:rsidR="005002CD" w:rsidRPr="008A1679">
              <w:rPr>
                <w:rFonts w:cs="Arial"/>
                <w:sz w:val="18"/>
                <w:szCs w:val="18"/>
              </w:rPr>
              <w:t>Endog</w:t>
            </w:r>
            <w:proofErr w:type="spellEnd"/>
            <w:r w:rsidRPr="008A1679">
              <w:rPr>
                <w:rFonts w:cs="Arial"/>
                <w:sz w:val="18"/>
                <w:szCs w:val="18"/>
              </w:rPr>
              <w:t xml:space="preserve"> </w:t>
            </w:r>
            <w:r w:rsidR="005002CD" w:rsidRPr="008A1679">
              <w:rPr>
                <w:rFonts w:cs="Arial"/>
                <w:sz w:val="18"/>
                <w:szCs w:val="18"/>
              </w:rPr>
              <w:t xml:space="preserve">= Endogenous eczema, </w:t>
            </w:r>
            <w:proofErr w:type="spellStart"/>
            <w:r w:rsidR="005002CD" w:rsidRPr="008A1679">
              <w:rPr>
                <w:rFonts w:cs="Arial"/>
                <w:sz w:val="18"/>
                <w:szCs w:val="18"/>
              </w:rPr>
              <w:t>Psor</w:t>
            </w:r>
            <w:proofErr w:type="spellEnd"/>
            <w:r w:rsidR="005002CD" w:rsidRPr="008A1679">
              <w:rPr>
                <w:rFonts w:cs="Arial"/>
                <w:sz w:val="18"/>
                <w:szCs w:val="18"/>
              </w:rPr>
              <w:t xml:space="preserve"> = Psoriasis, CU</w:t>
            </w:r>
            <w:r w:rsidRPr="008A1679">
              <w:rPr>
                <w:rFonts w:cs="Arial"/>
                <w:sz w:val="18"/>
                <w:szCs w:val="18"/>
              </w:rPr>
              <w:t xml:space="preserve"> </w:t>
            </w:r>
            <w:r w:rsidR="005002CD" w:rsidRPr="008A1679">
              <w:rPr>
                <w:rFonts w:cs="Arial"/>
                <w:sz w:val="18"/>
                <w:szCs w:val="18"/>
              </w:rPr>
              <w:t>=</w:t>
            </w:r>
            <w:r w:rsidRPr="008A1679">
              <w:rPr>
                <w:rFonts w:cs="Arial"/>
                <w:sz w:val="18"/>
                <w:szCs w:val="18"/>
              </w:rPr>
              <w:t xml:space="preserve"> </w:t>
            </w:r>
            <w:r w:rsidR="005002CD" w:rsidRPr="008A1679">
              <w:rPr>
                <w:rFonts w:cs="Arial"/>
                <w:sz w:val="18"/>
                <w:szCs w:val="18"/>
              </w:rPr>
              <w:t xml:space="preserve">Contact </w:t>
            </w:r>
            <w:proofErr w:type="spellStart"/>
            <w:r w:rsidR="005002CD" w:rsidRPr="008A1679">
              <w:rPr>
                <w:rFonts w:cs="Arial"/>
                <w:sz w:val="18"/>
                <w:szCs w:val="18"/>
              </w:rPr>
              <w:t>urticaria</w:t>
            </w:r>
            <w:proofErr w:type="spellEnd"/>
          </w:p>
        </w:tc>
      </w:tr>
      <w:tr w:rsidR="00970DD2" w:rsidRPr="008A1679" w:rsidTr="005002CD">
        <w:tc>
          <w:tcPr>
            <w:tcW w:w="5000" w:type="pct"/>
            <w:gridSpan w:val="10"/>
            <w:tcBorders>
              <w:top w:val="single" w:sz="12" w:space="0" w:color="auto"/>
            </w:tcBorders>
            <w:vAlign w:val="bottom"/>
          </w:tcPr>
          <w:p w:rsidR="00970DD2" w:rsidRPr="008A1679" w:rsidRDefault="00970DD2" w:rsidP="00AC0A57">
            <w:pPr>
              <w:spacing w:before="40" w:after="40"/>
              <w:rPr>
                <w:rFonts w:cs="Arial"/>
                <w:sz w:val="18"/>
                <w:szCs w:val="18"/>
              </w:rPr>
            </w:pPr>
            <w:r w:rsidRPr="008A1679">
              <w:rPr>
                <w:rFonts w:cs="Arial"/>
                <w:sz w:val="18"/>
                <w:szCs w:val="18"/>
              </w:rPr>
              <w:lastRenderedPageBreak/>
              <w:t># Automotive workers – predominantly motor mechanics, Engineering workers – predominantly metal workers &amp; fabricators, Science workers – laboratory workers of various disciplines, Veterinary workers – veterinarians and vet nurses</w:t>
            </w:r>
          </w:p>
        </w:tc>
      </w:tr>
    </w:tbl>
    <w:p w:rsidR="0077422A" w:rsidRPr="008A1679" w:rsidRDefault="0077422A">
      <w:pPr>
        <w:sectPr w:rsidR="0077422A" w:rsidRPr="008A1679" w:rsidSect="0077422A">
          <w:footerReference w:type="default" r:id="rId13"/>
          <w:pgSz w:w="16840" w:h="11907" w:orient="landscape" w:code="9"/>
          <w:pgMar w:top="1440" w:right="1440" w:bottom="1440" w:left="1440" w:header="709" w:footer="709" w:gutter="0"/>
          <w:cols w:space="708"/>
          <w:docGrid w:linePitch="360"/>
        </w:sectPr>
      </w:pPr>
    </w:p>
    <w:p w:rsidR="00594FD0" w:rsidRPr="008A1679" w:rsidRDefault="00A96878" w:rsidP="00945AD4">
      <w:pPr>
        <w:pStyle w:val="Heading2"/>
      </w:pPr>
      <w:bookmarkStart w:id="34" w:name="_Toc310506133"/>
      <w:r w:rsidRPr="008A1679">
        <w:lastRenderedPageBreak/>
        <w:t>Multiple contributing factors</w:t>
      </w:r>
      <w:bookmarkEnd w:id="34"/>
    </w:p>
    <w:p w:rsidR="00594FD0" w:rsidRPr="008A1679" w:rsidRDefault="00594FD0" w:rsidP="00945AD4">
      <w:r w:rsidRPr="008A1679">
        <w:t xml:space="preserve">The complexity of occupational contact dermatitis is highlighted by the </w:t>
      </w:r>
      <w:r w:rsidR="00A96878" w:rsidRPr="008A1679">
        <w:t xml:space="preserve">fact that there are </w:t>
      </w:r>
      <w:r w:rsidR="005C3556" w:rsidRPr="008A1679">
        <w:t xml:space="preserve">often </w:t>
      </w:r>
      <w:r w:rsidR="00A96878" w:rsidRPr="008A1679">
        <w:t xml:space="preserve">multiple contributing factors to occupational dermatitis. </w:t>
      </w:r>
      <w:r w:rsidR="00B967B9">
        <w:fldChar w:fldCharType="begin"/>
      </w:r>
      <w:r w:rsidR="00B967B9">
        <w:instrText xml:space="preserve"> REF _Ref309655047 \h </w:instrText>
      </w:r>
      <w:r w:rsidR="00B967B9">
        <w:fldChar w:fldCharType="separate"/>
      </w:r>
      <w:r w:rsidR="005406BD" w:rsidRPr="008A1679">
        <w:t xml:space="preserve">Table </w:t>
      </w:r>
      <w:r w:rsidR="005406BD" w:rsidRPr="008A1679">
        <w:rPr>
          <w:noProof/>
        </w:rPr>
        <w:t>6</w:t>
      </w:r>
      <w:r w:rsidR="00B967B9">
        <w:fldChar w:fldCharType="end"/>
      </w:r>
      <w:r w:rsidRPr="008A1679">
        <w:t xml:space="preserve"> reports the frequencies of </w:t>
      </w:r>
      <w:r w:rsidR="00435E3B" w:rsidRPr="008A1679">
        <w:t>‘</w:t>
      </w:r>
      <w:r w:rsidRPr="008A1679">
        <w:t>multiple diagnoses</w:t>
      </w:r>
      <w:r w:rsidR="00435E3B" w:rsidRPr="008A1679">
        <w:t>’</w:t>
      </w:r>
      <w:r w:rsidR="00326505" w:rsidRPr="008A1679">
        <w:t xml:space="preserve"> in patients with </w:t>
      </w:r>
      <w:r w:rsidRPr="008A1679">
        <w:t xml:space="preserve">significantly or </w:t>
      </w:r>
      <w:r w:rsidR="00435E3B" w:rsidRPr="008A1679">
        <w:t>partially work related dermatitis</w:t>
      </w:r>
      <w:r w:rsidR="00960ACF" w:rsidRPr="008A1679">
        <w:t xml:space="preserve"> In the example of the cleaner given </w:t>
      </w:r>
      <w:r w:rsidR="004254EF" w:rsidRPr="008A1679">
        <w:t>previously</w:t>
      </w:r>
      <w:r w:rsidR="00960ACF" w:rsidRPr="008A1679">
        <w:t xml:space="preserve">, three diagnoses were recorded: </w:t>
      </w:r>
      <w:proofErr w:type="spellStart"/>
      <w:r w:rsidR="00960ACF" w:rsidRPr="008A1679">
        <w:t>ICD</w:t>
      </w:r>
      <w:proofErr w:type="spellEnd"/>
      <w:r w:rsidR="00960ACF" w:rsidRPr="008A1679">
        <w:t>, allergy to nickel and atopic eczema.</w:t>
      </w:r>
      <w:r w:rsidRPr="008A1679">
        <w:t xml:space="preserve"> </w:t>
      </w:r>
      <w:r w:rsidR="00960ACF" w:rsidRPr="008A1679">
        <w:t>It is important to identify all factors contributing to dermatitis in order to optimise clinical outcomes.</w:t>
      </w:r>
    </w:p>
    <w:p w:rsidR="00E57901" w:rsidRPr="008A1679" w:rsidRDefault="00E57901" w:rsidP="00E57901"/>
    <w:p w:rsidR="00B51703" w:rsidRPr="008A1679" w:rsidRDefault="00B51703" w:rsidP="00B51703">
      <w:pPr>
        <w:pStyle w:val="Caption"/>
        <w:keepNext/>
      </w:pPr>
      <w:bookmarkStart w:id="35" w:name="_Ref309655047"/>
      <w:bookmarkStart w:id="36" w:name="_Toc310506145"/>
      <w:r w:rsidRPr="008A1679">
        <w:t xml:space="preserve">Table </w:t>
      </w:r>
      <w:fldSimple w:instr=" SEQ Table \* ARABIC ">
        <w:r w:rsidR="005406BD" w:rsidRPr="008A1679">
          <w:rPr>
            <w:noProof/>
          </w:rPr>
          <w:t>6</w:t>
        </w:r>
      </w:fldSimple>
      <w:bookmarkEnd w:id="35"/>
      <w:r w:rsidRPr="008A1679">
        <w:t xml:space="preserve"> </w:t>
      </w:r>
      <w:r w:rsidRPr="008A1679">
        <w:rPr>
          <w:b w:val="0"/>
        </w:rPr>
        <w:t>Multiple diagnoses in patients with a substantially or partially work related condition</w:t>
      </w:r>
      <w:r w:rsidR="00522819" w:rsidRPr="008A1679">
        <w:rPr>
          <w:b w:val="0"/>
        </w:rPr>
        <w:t>: number and percentage of patients</w:t>
      </w:r>
      <w:r w:rsidR="00AA36E1" w:rsidRPr="008A1679">
        <w:rPr>
          <w:b w:val="0"/>
        </w:rPr>
        <w:t xml:space="preserve"> within diagnosed condition</w:t>
      </w:r>
      <w:bookmarkEnd w:id="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8"/>
        <w:gridCol w:w="1473"/>
        <w:gridCol w:w="1566"/>
        <w:gridCol w:w="1527"/>
        <w:gridCol w:w="1619"/>
      </w:tblGrid>
      <w:tr w:rsidR="004254EF" w:rsidRPr="008A1679" w:rsidTr="00226B97">
        <w:tc>
          <w:tcPr>
            <w:tcW w:w="1654" w:type="pct"/>
            <w:tcBorders>
              <w:top w:val="single" w:sz="12" w:space="0" w:color="auto"/>
              <w:left w:val="nil"/>
              <w:bottom w:val="single" w:sz="12" w:space="0" w:color="auto"/>
              <w:right w:val="nil"/>
            </w:tcBorders>
          </w:tcPr>
          <w:p w:rsidR="004254EF" w:rsidRPr="008A1679" w:rsidRDefault="004254EF" w:rsidP="00E57901">
            <w:pPr>
              <w:spacing w:before="40" w:after="40"/>
              <w:rPr>
                <w:rFonts w:cs="Arial"/>
                <w:b/>
                <w:sz w:val="20"/>
                <w:szCs w:val="20"/>
              </w:rPr>
            </w:pPr>
            <w:r w:rsidRPr="008A1679">
              <w:rPr>
                <w:rFonts w:cs="Arial"/>
                <w:b/>
                <w:sz w:val="20"/>
                <w:szCs w:val="20"/>
              </w:rPr>
              <w:t>Condition</w:t>
            </w:r>
          </w:p>
        </w:tc>
        <w:tc>
          <w:tcPr>
            <w:tcW w:w="797" w:type="pct"/>
            <w:tcBorders>
              <w:top w:val="single" w:sz="12" w:space="0" w:color="auto"/>
              <w:left w:val="nil"/>
              <w:bottom w:val="single" w:sz="12" w:space="0" w:color="auto"/>
              <w:right w:val="nil"/>
            </w:tcBorders>
          </w:tcPr>
          <w:p w:rsidR="004254EF" w:rsidRPr="008A1679" w:rsidRDefault="004254EF" w:rsidP="00E57901">
            <w:pPr>
              <w:spacing w:before="40" w:after="40"/>
              <w:jc w:val="center"/>
              <w:rPr>
                <w:rFonts w:cs="Arial"/>
                <w:b/>
                <w:sz w:val="20"/>
                <w:szCs w:val="20"/>
              </w:rPr>
            </w:pPr>
            <w:r w:rsidRPr="008A1679">
              <w:rPr>
                <w:rFonts w:cs="Arial"/>
                <w:b/>
                <w:sz w:val="20"/>
                <w:szCs w:val="20"/>
              </w:rPr>
              <w:t>Primary diagnosis</w:t>
            </w:r>
          </w:p>
          <w:p w:rsidR="004254EF" w:rsidRPr="008A1679" w:rsidRDefault="004254EF" w:rsidP="00E57901">
            <w:pPr>
              <w:spacing w:before="40" w:after="40"/>
              <w:jc w:val="center"/>
              <w:rPr>
                <w:rFonts w:cs="Arial"/>
                <w:b/>
                <w:sz w:val="20"/>
                <w:szCs w:val="20"/>
              </w:rPr>
            </w:pPr>
            <w:r w:rsidRPr="008A1679">
              <w:rPr>
                <w:rFonts w:cs="Arial"/>
                <w:b/>
                <w:sz w:val="20"/>
                <w:szCs w:val="20"/>
              </w:rPr>
              <w:t>N (%)</w:t>
            </w:r>
          </w:p>
        </w:tc>
        <w:tc>
          <w:tcPr>
            <w:tcW w:w="847" w:type="pct"/>
            <w:tcBorders>
              <w:top w:val="single" w:sz="12" w:space="0" w:color="auto"/>
              <w:left w:val="nil"/>
              <w:bottom w:val="single" w:sz="12" w:space="0" w:color="auto"/>
              <w:right w:val="nil"/>
            </w:tcBorders>
          </w:tcPr>
          <w:p w:rsidR="004254EF" w:rsidRPr="008A1679" w:rsidRDefault="004254EF" w:rsidP="00E57901">
            <w:pPr>
              <w:spacing w:before="40" w:after="40"/>
              <w:jc w:val="center"/>
              <w:rPr>
                <w:rFonts w:cs="Arial"/>
                <w:b/>
                <w:sz w:val="20"/>
                <w:szCs w:val="20"/>
              </w:rPr>
            </w:pPr>
            <w:r w:rsidRPr="008A1679">
              <w:rPr>
                <w:rFonts w:cs="Arial"/>
                <w:b/>
                <w:sz w:val="20"/>
                <w:szCs w:val="20"/>
              </w:rPr>
              <w:t>Secondary diagnosis</w:t>
            </w:r>
          </w:p>
          <w:p w:rsidR="004254EF" w:rsidRPr="008A1679" w:rsidRDefault="004254EF" w:rsidP="00E57901">
            <w:pPr>
              <w:spacing w:before="40" w:after="40"/>
              <w:jc w:val="center"/>
              <w:rPr>
                <w:rFonts w:cs="Arial"/>
                <w:b/>
                <w:sz w:val="20"/>
                <w:szCs w:val="20"/>
              </w:rPr>
            </w:pPr>
            <w:r w:rsidRPr="008A1679">
              <w:rPr>
                <w:rFonts w:cs="Arial"/>
                <w:b/>
                <w:sz w:val="20"/>
                <w:szCs w:val="20"/>
              </w:rPr>
              <w:t>N (%)</w:t>
            </w:r>
          </w:p>
        </w:tc>
        <w:tc>
          <w:tcPr>
            <w:tcW w:w="826" w:type="pct"/>
            <w:tcBorders>
              <w:top w:val="single" w:sz="12" w:space="0" w:color="auto"/>
              <w:left w:val="nil"/>
              <w:bottom w:val="single" w:sz="12" w:space="0" w:color="auto"/>
              <w:right w:val="nil"/>
            </w:tcBorders>
          </w:tcPr>
          <w:p w:rsidR="004254EF" w:rsidRPr="008A1679" w:rsidRDefault="004254EF" w:rsidP="00E57901">
            <w:pPr>
              <w:spacing w:before="40" w:after="40"/>
              <w:jc w:val="center"/>
              <w:rPr>
                <w:rFonts w:cs="Arial"/>
                <w:b/>
                <w:sz w:val="20"/>
                <w:szCs w:val="20"/>
              </w:rPr>
            </w:pPr>
            <w:r w:rsidRPr="008A1679">
              <w:rPr>
                <w:rFonts w:cs="Arial"/>
                <w:b/>
                <w:sz w:val="20"/>
                <w:szCs w:val="20"/>
              </w:rPr>
              <w:t>Tertiary diagnosis</w:t>
            </w:r>
          </w:p>
          <w:p w:rsidR="004254EF" w:rsidRPr="008A1679" w:rsidRDefault="004254EF" w:rsidP="00E57901">
            <w:pPr>
              <w:spacing w:before="40" w:after="40"/>
              <w:jc w:val="center"/>
              <w:rPr>
                <w:rFonts w:cs="Arial"/>
                <w:b/>
                <w:sz w:val="20"/>
                <w:szCs w:val="20"/>
              </w:rPr>
            </w:pPr>
            <w:r w:rsidRPr="008A1679">
              <w:rPr>
                <w:rFonts w:cs="Arial"/>
                <w:b/>
                <w:sz w:val="20"/>
                <w:szCs w:val="20"/>
              </w:rPr>
              <w:t>N (%)</w:t>
            </w:r>
          </w:p>
        </w:tc>
        <w:tc>
          <w:tcPr>
            <w:tcW w:w="876" w:type="pct"/>
            <w:tcBorders>
              <w:top w:val="single" w:sz="12" w:space="0" w:color="auto"/>
              <w:left w:val="nil"/>
              <w:bottom w:val="single" w:sz="12" w:space="0" w:color="auto"/>
              <w:right w:val="nil"/>
            </w:tcBorders>
          </w:tcPr>
          <w:p w:rsidR="004254EF" w:rsidRPr="008A1679" w:rsidRDefault="004254EF" w:rsidP="00E57901">
            <w:pPr>
              <w:spacing w:before="40" w:after="40"/>
              <w:jc w:val="center"/>
              <w:rPr>
                <w:rFonts w:cs="Arial"/>
                <w:b/>
                <w:sz w:val="20"/>
                <w:szCs w:val="20"/>
              </w:rPr>
            </w:pPr>
            <w:r w:rsidRPr="008A1679">
              <w:rPr>
                <w:rFonts w:cs="Arial"/>
                <w:b/>
                <w:iCs/>
                <w:sz w:val="20"/>
                <w:szCs w:val="20"/>
              </w:rPr>
              <w:t>Quaternary</w:t>
            </w:r>
            <w:r w:rsidRPr="008A1679">
              <w:rPr>
                <w:rFonts w:cs="Arial"/>
                <w:b/>
                <w:sz w:val="20"/>
                <w:szCs w:val="20"/>
              </w:rPr>
              <w:t xml:space="preserve"> diagnosis</w:t>
            </w:r>
          </w:p>
          <w:p w:rsidR="004254EF" w:rsidRPr="008A1679" w:rsidRDefault="004254EF" w:rsidP="00E57901">
            <w:pPr>
              <w:spacing w:before="40" w:after="40"/>
              <w:jc w:val="center"/>
              <w:rPr>
                <w:rFonts w:cs="Arial"/>
                <w:b/>
                <w:sz w:val="20"/>
                <w:szCs w:val="20"/>
              </w:rPr>
            </w:pPr>
            <w:r w:rsidRPr="008A1679">
              <w:rPr>
                <w:rFonts w:cs="Arial"/>
                <w:b/>
                <w:sz w:val="20"/>
                <w:szCs w:val="20"/>
              </w:rPr>
              <w:t>N (%)</w:t>
            </w:r>
          </w:p>
        </w:tc>
      </w:tr>
      <w:tr w:rsidR="004254EF" w:rsidRPr="008A1679" w:rsidTr="00226B97">
        <w:tc>
          <w:tcPr>
            <w:tcW w:w="1654" w:type="pct"/>
            <w:tcBorders>
              <w:top w:val="single" w:sz="12" w:space="0" w:color="auto"/>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proofErr w:type="spellStart"/>
            <w:r w:rsidRPr="008A1679">
              <w:rPr>
                <w:rFonts w:cs="Arial"/>
                <w:sz w:val="20"/>
                <w:szCs w:val="20"/>
              </w:rPr>
              <w:t>ICD</w:t>
            </w:r>
            <w:proofErr w:type="spellEnd"/>
            <w:r w:rsidRPr="008A1679">
              <w:rPr>
                <w:rFonts w:cs="Arial"/>
                <w:sz w:val="20"/>
                <w:szCs w:val="20"/>
              </w:rPr>
              <w:t xml:space="preserve"> (n=1,549)</w:t>
            </w:r>
          </w:p>
        </w:tc>
        <w:tc>
          <w:tcPr>
            <w:tcW w:w="797" w:type="pct"/>
            <w:tcBorders>
              <w:top w:val="single" w:sz="12" w:space="0" w:color="auto"/>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958 (61.9)</w:t>
            </w:r>
          </w:p>
        </w:tc>
        <w:tc>
          <w:tcPr>
            <w:tcW w:w="847" w:type="pct"/>
            <w:tcBorders>
              <w:top w:val="single" w:sz="12" w:space="0" w:color="auto"/>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498 (32.2)</w:t>
            </w:r>
          </w:p>
        </w:tc>
        <w:tc>
          <w:tcPr>
            <w:tcW w:w="826" w:type="pct"/>
            <w:tcBorders>
              <w:top w:val="single" w:sz="12" w:space="0" w:color="auto"/>
              <w:left w:val="nil"/>
              <w:bottom w:val="single" w:sz="4" w:space="0" w:color="808080" w:themeColor="background1" w:themeShade="80"/>
              <w:right w:val="nil"/>
            </w:tcBorders>
          </w:tcPr>
          <w:p w:rsidR="004254EF" w:rsidRPr="008A1679" w:rsidRDefault="00522819" w:rsidP="00E57901">
            <w:pPr>
              <w:spacing w:before="40" w:after="40"/>
              <w:jc w:val="center"/>
              <w:rPr>
                <w:rFonts w:cs="Arial"/>
                <w:sz w:val="20"/>
                <w:szCs w:val="20"/>
              </w:rPr>
            </w:pPr>
            <w:r w:rsidRPr="008A1679">
              <w:rPr>
                <w:rFonts w:cs="Arial"/>
                <w:sz w:val="20"/>
                <w:szCs w:val="20"/>
              </w:rPr>
              <w:t>87</w:t>
            </w:r>
            <w:r w:rsidR="004254EF" w:rsidRPr="008A1679">
              <w:rPr>
                <w:rFonts w:cs="Arial"/>
                <w:sz w:val="20"/>
                <w:szCs w:val="20"/>
              </w:rPr>
              <w:t xml:space="preserve"> (5.6)</w:t>
            </w:r>
          </w:p>
        </w:tc>
        <w:tc>
          <w:tcPr>
            <w:tcW w:w="876" w:type="pct"/>
            <w:tcBorders>
              <w:top w:val="single" w:sz="12" w:space="0" w:color="auto"/>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6 (0.4)</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proofErr w:type="spellStart"/>
            <w:r w:rsidRPr="008A1679">
              <w:rPr>
                <w:rFonts w:cs="Arial"/>
                <w:sz w:val="20"/>
                <w:szCs w:val="20"/>
              </w:rPr>
              <w:t>ACD</w:t>
            </w:r>
            <w:proofErr w:type="spellEnd"/>
            <w:r w:rsidRPr="008A1679">
              <w:rPr>
                <w:rFonts w:cs="Arial"/>
                <w:sz w:val="20"/>
                <w:szCs w:val="20"/>
              </w:rPr>
              <w:t xml:space="preserve"> (n=1,135)</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712 (62.7)</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290 (25.6)</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522819" w:rsidP="00E57901">
            <w:pPr>
              <w:spacing w:before="40" w:after="40"/>
              <w:jc w:val="center"/>
              <w:rPr>
                <w:rFonts w:cs="Arial"/>
                <w:sz w:val="20"/>
                <w:szCs w:val="20"/>
              </w:rPr>
            </w:pPr>
            <w:r w:rsidRPr="008A1679">
              <w:rPr>
                <w:rFonts w:cs="Arial"/>
                <w:sz w:val="20"/>
                <w:szCs w:val="20"/>
              </w:rPr>
              <w:t xml:space="preserve">111 </w:t>
            </w:r>
            <w:r w:rsidR="004254EF" w:rsidRPr="008A1679">
              <w:rPr>
                <w:rFonts w:cs="Arial"/>
                <w:sz w:val="20"/>
                <w:szCs w:val="20"/>
              </w:rPr>
              <w:t>(9.8)</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20 (1.8)</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r w:rsidRPr="008A1679">
              <w:rPr>
                <w:rFonts w:cs="Arial"/>
                <w:sz w:val="20"/>
                <w:szCs w:val="20"/>
              </w:rPr>
              <w:t xml:space="preserve">Contact </w:t>
            </w:r>
            <w:proofErr w:type="spellStart"/>
            <w:r w:rsidRPr="008A1679">
              <w:rPr>
                <w:rFonts w:cs="Arial"/>
                <w:sz w:val="20"/>
                <w:szCs w:val="20"/>
              </w:rPr>
              <w:t>urticaria</w:t>
            </w:r>
            <w:proofErr w:type="spellEnd"/>
            <w:r w:rsidRPr="008A1679">
              <w:rPr>
                <w:rFonts w:cs="Arial"/>
                <w:sz w:val="20"/>
                <w:szCs w:val="20"/>
              </w:rPr>
              <w:t xml:space="preserve"> (n=133)</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55 (41.4)</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41 (30.8)</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22 (16.5)</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14 (10.5)</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r w:rsidRPr="008A1679">
              <w:rPr>
                <w:rFonts w:cs="Arial"/>
                <w:sz w:val="20"/>
                <w:szCs w:val="20"/>
              </w:rPr>
              <w:t>Latex (n=133)</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61 (45.9)</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52 (39.1)</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18 (13.5)</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 (1.5)</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r w:rsidRPr="008A1679">
              <w:rPr>
                <w:rFonts w:cs="Arial"/>
                <w:sz w:val="20"/>
                <w:szCs w:val="20"/>
              </w:rPr>
              <w:t>Psoriasis (n=105)</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51 (48.6)</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36 (34.3)</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12 (11.4)</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5 (4.8)</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B51703" w:rsidP="00E57901">
            <w:pPr>
              <w:spacing w:before="40" w:after="40"/>
              <w:rPr>
                <w:rFonts w:cs="Arial"/>
                <w:sz w:val="20"/>
                <w:szCs w:val="20"/>
              </w:rPr>
            </w:pPr>
            <w:proofErr w:type="spellStart"/>
            <w:r w:rsidRPr="008A1679">
              <w:rPr>
                <w:rFonts w:cs="Arial"/>
                <w:sz w:val="20"/>
                <w:szCs w:val="20"/>
              </w:rPr>
              <w:t>PPOD</w:t>
            </w:r>
            <w:proofErr w:type="spellEnd"/>
            <w:r w:rsidRPr="008A1679">
              <w:rPr>
                <w:rFonts w:cs="Arial"/>
                <w:sz w:val="20"/>
                <w:szCs w:val="20"/>
              </w:rPr>
              <w:t xml:space="preserve"> </w:t>
            </w:r>
            <w:r w:rsidR="004254EF" w:rsidRPr="008A1679">
              <w:rPr>
                <w:rFonts w:cs="Arial"/>
                <w:sz w:val="20"/>
                <w:szCs w:val="20"/>
              </w:rPr>
              <w:t>(n=54)</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15 (27.8)</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28 (51.9)</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8 (14.8)</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3 (5.6)</w:t>
            </w:r>
          </w:p>
        </w:tc>
      </w:tr>
      <w:tr w:rsidR="004254EF" w:rsidRPr="008A1679" w:rsidTr="00226B97">
        <w:tc>
          <w:tcPr>
            <w:tcW w:w="1654"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rPr>
                <w:rFonts w:cs="Arial"/>
                <w:sz w:val="20"/>
                <w:szCs w:val="20"/>
              </w:rPr>
            </w:pPr>
            <w:r w:rsidRPr="008A1679">
              <w:rPr>
                <w:rFonts w:cs="Arial"/>
                <w:sz w:val="20"/>
                <w:szCs w:val="20"/>
              </w:rPr>
              <w:t>Endogenous eczema (n=641)</w:t>
            </w:r>
          </w:p>
        </w:tc>
        <w:tc>
          <w:tcPr>
            <w:tcW w:w="79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229 (35.7)</w:t>
            </w:r>
          </w:p>
        </w:tc>
        <w:tc>
          <w:tcPr>
            <w:tcW w:w="847"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249 (38.9)</w:t>
            </w:r>
          </w:p>
        </w:tc>
        <w:tc>
          <w:tcPr>
            <w:tcW w:w="82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133 (20.8)</w:t>
            </w:r>
          </w:p>
        </w:tc>
        <w:tc>
          <w:tcPr>
            <w:tcW w:w="876" w:type="pct"/>
            <w:tcBorders>
              <w:top w:val="single" w:sz="4" w:space="0" w:color="808080" w:themeColor="background1" w:themeShade="80"/>
              <w:left w:val="nil"/>
              <w:bottom w:val="single" w:sz="4" w:space="0" w:color="808080" w:themeColor="background1" w:themeShade="80"/>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27 (4.2)</w:t>
            </w:r>
          </w:p>
        </w:tc>
      </w:tr>
      <w:tr w:rsidR="004254EF" w:rsidRPr="008A1679" w:rsidTr="00226B97">
        <w:tc>
          <w:tcPr>
            <w:tcW w:w="1654" w:type="pct"/>
            <w:tcBorders>
              <w:top w:val="single" w:sz="4" w:space="0" w:color="808080" w:themeColor="background1" w:themeShade="80"/>
              <w:left w:val="nil"/>
              <w:bottom w:val="single" w:sz="12" w:space="0" w:color="auto"/>
              <w:right w:val="nil"/>
            </w:tcBorders>
          </w:tcPr>
          <w:p w:rsidR="004254EF" w:rsidRPr="008A1679" w:rsidRDefault="004254EF" w:rsidP="00E57901">
            <w:pPr>
              <w:spacing w:before="40" w:after="40"/>
              <w:rPr>
                <w:rFonts w:cs="Arial"/>
                <w:sz w:val="20"/>
                <w:szCs w:val="20"/>
              </w:rPr>
            </w:pPr>
            <w:r w:rsidRPr="008A1679">
              <w:rPr>
                <w:rFonts w:cs="Arial"/>
                <w:sz w:val="20"/>
                <w:szCs w:val="20"/>
              </w:rPr>
              <w:t>Other (n=177)</w:t>
            </w:r>
          </w:p>
        </w:tc>
        <w:tc>
          <w:tcPr>
            <w:tcW w:w="797" w:type="pct"/>
            <w:tcBorders>
              <w:top w:val="single" w:sz="4" w:space="0" w:color="808080" w:themeColor="background1" w:themeShade="80"/>
              <w:left w:val="nil"/>
              <w:bottom w:val="single" w:sz="12" w:space="0" w:color="auto"/>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74 (41.8)</w:t>
            </w:r>
          </w:p>
        </w:tc>
        <w:tc>
          <w:tcPr>
            <w:tcW w:w="847" w:type="pct"/>
            <w:tcBorders>
              <w:top w:val="single" w:sz="4" w:space="0" w:color="808080" w:themeColor="background1" w:themeShade="80"/>
              <w:left w:val="nil"/>
              <w:bottom w:val="single" w:sz="12" w:space="0" w:color="auto"/>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68 (38.2)</w:t>
            </w:r>
          </w:p>
        </w:tc>
        <w:tc>
          <w:tcPr>
            <w:tcW w:w="826" w:type="pct"/>
            <w:tcBorders>
              <w:top w:val="single" w:sz="4" w:space="0" w:color="808080" w:themeColor="background1" w:themeShade="80"/>
              <w:left w:val="nil"/>
              <w:bottom w:val="single" w:sz="12" w:space="0" w:color="auto"/>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29 (16.4)</w:t>
            </w:r>
          </w:p>
        </w:tc>
        <w:tc>
          <w:tcPr>
            <w:tcW w:w="876" w:type="pct"/>
            <w:tcBorders>
              <w:top w:val="single" w:sz="4" w:space="0" w:color="808080" w:themeColor="background1" w:themeShade="80"/>
              <w:left w:val="nil"/>
              <w:bottom w:val="single" w:sz="12" w:space="0" w:color="auto"/>
              <w:right w:val="nil"/>
            </w:tcBorders>
          </w:tcPr>
          <w:p w:rsidR="004254EF" w:rsidRPr="008A1679" w:rsidRDefault="004254EF" w:rsidP="00E57901">
            <w:pPr>
              <w:spacing w:before="40" w:after="40"/>
              <w:jc w:val="center"/>
              <w:rPr>
                <w:rFonts w:cs="Arial"/>
                <w:sz w:val="20"/>
                <w:szCs w:val="20"/>
              </w:rPr>
            </w:pPr>
            <w:r w:rsidRPr="008A1679">
              <w:rPr>
                <w:rFonts w:cs="Arial"/>
                <w:sz w:val="20"/>
                <w:szCs w:val="20"/>
              </w:rPr>
              <w:t>4 (2.3)</w:t>
            </w:r>
          </w:p>
        </w:tc>
      </w:tr>
      <w:tr w:rsidR="00B51703" w:rsidRPr="008A1679" w:rsidTr="00226B97">
        <w:tc>
          <w:tcPr>
            <w:tcW w:w="1654" w:type="pct"/>
            <w:tcBorders>
              <w:top w:val="single" w:sz="12" w:space="0" w:color="auto"/>
              <w:left w:val="nil"/>
              <w:bottom w:val="single" w:sz="12" w:space="0" w:color="auto"/>
              <w:right w:val="nil"/>
            </w:tcBorders>
          </w:tcPr>
          <w:p w:rsidR="00B51703" w:rsidRPr="008A1679" w:rsidRDefault="00B51703" w:rsidP="00E57901">
            <w:pPr>
              <w:spacing w:before="40" w:after="40"/>
              <w:rPr>
                <w:rFonts w:cs="Arial"/>
                <w:sz w:val="20"/>
                <w:szCs w:val="20"/>
              </w:rPr>
            </w:pPr>
            <w:r w:rsidRPr="008A1679">
              <w:rPr>
                <w:rFonts w:cs="Arial"/>
                <w:sz w:val="20"/>
                <w:szCs w:val="20"/>
              </w:rPr>
              <w:t>T</w:t>
            </w:r>
            <w:r w:rsidR="000334DC" w:rsidRPr="008A1679">
              <w:rPr>
                <w:rFonts w:cs="Arial"/>
                <w:sz w:val="20"/>
                <w:szCs w:val="20"/>
              </w:rPr>
              <w:t>otal</w:t>
            </w:r>
            <w:r w:rsidR="00862051" w:rsidRPr="008A1679">
              <w:rPr>
                <w:rFonts w:cs="Arial"/>
                <w:sz w:val="20"/>
                <w:szCs w:val="20"/>
              </w:rPr>
              <w:t>*</w:t>
            </w:r>
          </w:p>
        </w:tc>
        <w:tc>
          <w:tcPr>
            <w:tcW w:w="797" w:type="pct"/>
            <w:tcBorders>
              <w:top w:val="single" w:sz="12" w:space="0" w:color="auto"/>
              <w:left w:val="nil"/>
              <w:bottom w:val="single" w:sz="12" w:space="0" w:color="auto"/>
              <w:right w:val="nil"/>
            </w:tcBorders>
          </w:tcPr>
          <w:p w:rsidR="00B51703" w:rsidRPr="008A1679" w:rsidRDefault="00B51703" w:rsidP="00E57901">
            <w:pPr>
              <w:spacing w:before="40" w:after="40"/>
              <w:jc w:val="center"/>
              <w:rPr>
                <w:rFonts w:cs="Arial"/>
                <w:sz w:val="20"/>
                <w:szCs w:val="20"/>
              </w:rPr>
            </w:pPr>
            <w:r w:rsidRPr="008A1679">
              <w:rPr>
                <w:rFonts w:cs="Arial"/>
                <w:sz w:val="20"/>
                <w:szCs w:val="20"/>
              </w:rPr>
              <w:t>2155</w:t>
            </w:r>
          </w:p>
        </w:tc>
        <w:tc>
          <w:tcPr>
            <w:tcW w:w="847" w:type="pct"/>
            <w:tcBorders>
              <w:top w:val="single" w:sz="12" w:space="0" w:color="auto"/>
              <w:left w:val="nil"/>
              <w:bottom w:val="single" w:sz="12" w:space="0" w:color="auto"/>
              <w:right w:val="nil"/>
            </w:tcBorders>
          </w:tcPr>
          <w:p w:rsidR="00B51703" w:rsidRPr="008A1679" w:rsidRDefault="00B51703" w:rsidP="00E57901">
            <w:pPr>
              <w:spacing w:before="40" w:after="40"/>
              <w:jc w:val="center"/>
              <w:rPr>
                <w:rFonts w:cs="Arial"/>
                <w:sz w:val="20"/>
                <w:szCs w:val="20"/>
              </w:rPr>
            </w:pPr>
            <w:r w:rsidRPr="008A1679">
              <w:rPr>
                <w:rFonts w:cs="Arial"/>
                <w:sz w:val="20"/>
                <w:szCs w:val="20"/>
              </w:rPr>
              <w:t>1262</w:t>
            </w:r>
          </w:p>
        </w:tc>
        <w:tc>
          <w:tcPr>
            <w:tcW w:w="826" w:type="pct"/>
            <w:tcBorders>
              <w:top w:val="single" w:sz="12" w:space="0" w:color="auto"/>
              <w:left w:val="nil"/>
              <w:bottom w:val="single" w:sz="12" w:space="0" w:color="auto"/>
              <w:right w:val="nil"/>
            </w:tcBorders>
          </w:tcPr>
          <w:p w:rsidR="00B51703" w:rsidRPr="008A1679" w:rsidRDefault="00B51703" w:rsidP="00E57901">
            <w:pPr>
              <w:spacing w:before="40" w:after="40"/>
              <w:jc w:val="center"/>
              <w:rPr>
                <w:rFonts w:cs="Arial"/>
                <w:sz w:val="20"/>
                <w:szCs w:val="20"/>
              </w:rPr>
            </w:pPr>
            <w:r w:rsidRPr="008A1679">
              <w:rPr>
                <w:rFonts w:cs="Arial"/>
                <w:sz w:val="20"/>
                <w:szCs w:val="20"/>
              </w:rPr>
              <w:t>420</w:t>
            </w:r>
          </w:p>
        </w:tc>
        <w:tc>
          <w:tcPr>
            <w:tcW w:w="876" w:type="pct"/>
            <w:tcBorders>
              <w:top w:val="single" w:sz="12" w:space="0" w:color="auto"/>
              <w:left w:val="nil"/>
              <w:bottom w:val="single" w:sz="12" w:space="0" w:color="auto"/>
              <w:right w:val="nil"/>
            </w:tcBorders>
          </w:tcPr>
          <w:p w:rsidR="00B51703" w:rsidRPr="008A1679" w:rsidRDefault="00B51703" w:rsidP="00E57901">
            <w:pPr>
              <w:spacing w:before="40" w:after="40"/>
              <w:jc w:val="center"/>
              <w:rPr>
                <w:rFonts w:cs="Arial"/>
                <w:sz w:val="20"/>
                <w:szCs w:val="20"/>
              </w:rPr>
            </w:pPr>
            <w:r w:rsidRPr="008A1679">
              <w:rPr>
                <w:rFonts w:cs="Arial"/>
                <w:sz w:val="20"/>
                <w:szCs w:val="20"/>
              </w:rPr>
              <w:t>81</w:t>
            </w:r>
          </w:p>
        </w:tc>
      </w:tr>
      <w:tr w:rsidR="00862051" w:rsidRPr="008A1679" w:rsidTr="00862051">
        <w:tc>
          <w:tcPr>
            <w:tcW w:w="5000" w:type="pct"/>
            <w:gridSpan w:val="5"/>
            <w:tcBorders>
              <w:top w:val="single" w:sz="12" w:space="0" w:color="auto"/>
              <w:left w:val="nil"/>
              <w:bottom w:val="single" w:sz="12" w:space="0" w:color="auto"/>
              <w:right w:val="nil"/>
            </w:tcBorders>
          </w:tcPr>
          <w:p w:rsidR="00862051" w:rsidRPr="008A1679" w:rsidRDefault="00862051" w:rsidP="00E57901">
            <w:pPr>
              <w:spacing w:before="40" w:after="40"/>
              <w:rPr>
                <w:rFonts w:cs="Arial"/>
                <w:sz w:val="18"/>
                <w:szCs w:val="18"/>
              </w:rPr>
            </w:pPr>
            <w:r w:rsidRPr="008A1679">
              <w:rPr>
                <w:rFonts w:cs="Arial"/>
                <w:sz w:val="18"/>
                <w:szCs w:val="18"/>
              </w:rPr>
              <w:t>* Diagnosis was unclassified for a further 22 patients</w:t>
            </w:r>
          </w:p>
        </w:tc>
      </w:tr>
    </w:tbl>
    <w:p w:rsidR="00594FD0" w:rsidRPr="008A1679" w:rsidRDefault="00594FD0" w:rsidP="00945AD4">
      <w:pPr>
        <w:pStyle w:val="Heading2"/>
      </w:pPr>
      <w:bookmarkStart w:id="37" w:name="_Toc310506134"/>
      <w:r w:rsidRPr="008A1679">
        <w:t>Site of diagnosis</w:t>
      </w:r>
      <w:bookmarkEnd w:id="37"/>
    </w:p>
    <w:p w:rsidR="00594FD0" w:rsidRPr="008A1679" w:rsidRDefault="00B967B9" w:rsidP="00945AD4">
      <w:r>
        <w:fldChar w:fldCharType="begin"/>
      </w:r>
      <w:r>
        <w:instrText xml:space="preserve"> REF _Ref309655461 \h </w:instrText>
      </w:r>
      <w:r>
        <w:fldChar w:fldCharType="separate"/>
      </w:r>
      <w:r w:rsidR="005406BD" w:rsidRPr="008A1679">
        <w:t xml:space="preserve">Table </w:t>
      </w:r>
      <w:r w:rsidR="005406BD" w:rsidRPr="008A1679">
        <w:rPr>
          <w:noProof/>
        </w:rPr>
        <w:t>7</w:t>
      </w:r>
      <w:r>
        <w:fldChar w:fldCharType="end"/>
      </w:r>
      <w:r w:rsidR="00594FD0" w:rsidRPr="008A1679">
        <w:t xml:space="preserve"> </w:t>
      </w:r>
      <w:r w:rsidR="00435E3B" w:rsidRPr="008A1679">
        <w:t xml:space="preserve">lists </w:t>
      </w:r>
      <w:r w:rsidR="00594FD0" w:rsidRPr="008A1679">
        <w:t xml:space="preserve">the site of dermatitis for all patients seen in the clinic. The hands were the most common place for </w:t>
      </w:r>
      <w:proofErr w:type="spellStart"/>
      <w:r w:rsidR="00203869">
        <w:t>OCD</w:t>
      </w:r>
      <w:proofErr w:type="spellEnd"/>
      <w:r w:rsidR="00435E3B" w:rsidRPr="008A1679">
        <w:t>.</w:t>
      </w:r>
      <w:r w:rsidR="00594FD0" w:rsidRPr="008A1679">
        <w:t xml:space="preserve"> Other commonly affected areas were the arms and face. This did not change with diagnosis.</w:t>
      </w:r>
    </w:p>
    <w:p w:rsidR="00E57901" w:rsidRPr="008A1679" w:rsidRDefault="00E57901" w:rsidP="00E57901"/>
    <w:p w:rsidR="00226B97" w:rsidRPr="008A1679" w:rsidRDefault="00226B97" w:rsidP="00226B97">
      <w:pPr>
        <w:pStyle w:val="Caption"/>
        <w:keepNext/>
      </w:pPr>
      <w:bookmarkStart w:id="38" w:name="_Ref309655461"/>
      <w:bookmarkStart w:id="39" w:name="_Toc310506146"/>
      <w:r w:rsidRPr="008A1679">
        <w:t xml:space="preserve">Table </w:t>
      </w:r>
      <w:fldSimple w:instr=" SEQ Table \* ARABIC ">
        <w:r w:rsidR="005406BD" w:rsidRPr="008A1679">
          <w:rPr>
            <w:noProof/>
          </w:rPr>
          <w:t>7</w:t>
        </w:r>
      </w:fldSimple>
      <w:bookmarkEnd w:id="38"/>
      <w:r w:rsidRPr="008A1679">
        <w:t xml:space="preserve"> </w:t>
      </w:r>
      <w:r w:rsidRPr="008A1679">
        <w:rPr>
          <w:rFonts w:cs="Arial"/>
          <w:b w:val="0"/>
          <w:bCs w:val="0"/>
        </w:rPr>
        <w:t>Site of dermatitis for the three most common diagnoses: number and percentage within each diagnosis</w:t>
      </w:r>
      <w:bookmarkEnd w:id="39"/>
    </w:p>
    <w:tbl>
      <w:tblPr>
        <w:tblW w:w="5000" w:type="pct"/>
        <w:tblBorders>
          <w:top w:val="single" w:sz="4" w:space="0" w:color="auto"/>
          <w:bottom w:val="single" w:sz="4" w:space="0" w:color="auto"/>
        </w:tblBorders>
        <w:tblLook w:val="01E0"/>
      </w:tblPr>
      <w:tblGrid>
        <w:gridCol w:w="1741"/>
        <w:gridCol w:w="1839"/>
        <w:gridCol w:w="2045"/>
        <w:gridCol w:w="1573"/>
        <w:gridCol w:w="2045"/>
      </w:tblGrid>
      <w:tr w:rsidR="00022FAA" w:rsidRPr="008A1679" w:rsidTr="002C6244">
        <w:tc>
          <w:tcPr>
            <w:tcW w:w="942" w:type="pct"/>
            <w:tcBorders>
              <w:top w:val="single" w:sz="12" w:space="0" w:color="auto"/>
              <w:bottom w:val="single" w:sz="12" w:space="0" w:color="auto"/>
            </w:tcBorders>
          </w:tcPr>
          <w:p w:rsidR="00022FAA" w:rsidRPr="008A1679" w:rsidRDefault="00022FAA" w:rsidP="00E57901">
            <w:pPr>
              <w:spacing w:before="40" w:after="40"/>
              <w:rPr>
                <w:rFonts w:cs="Arial"/>
                <w:b/>
                <w:sz w:val="20"/>
                <w:szCs w:val="20"/>
              </w:rPr>
            </w:pPr>
            <w:r w:rsidRPr="008A1679">
              <w:rPr>
                <w:rFonts w:cs="Arial"/>
                <w:b/>
                <w:sz w:val="20"/>
                <w:szCs w:val="20"/>
              </w:rPr>
              <w:t xml:space="preserve">Site of </w:t>
            </w:r>
            <w:r w:rsidR="002C6244" w:rsidRPr="008A1679">
              <w:rPr>
                <w:rFonts w:cs="Arial"/>
                <w:b/>
                <w:sz w:val="20"/>
                <w:szCs w:val="20"/>
              </w:rPr>
              <w:t>d</w:t>
            </w:r>
            <w:r w:rsidRPr="008A1679">
              <w:rPr>
                <w:rFonts w:cs="Arial"/>
                <w:b/>
                <w:sz w:val="20"/>
                <w:szCs w:val="20"/>
              </w:rPr>
              <w:t>ermatitis</w:t>
            </w:r>
          </w:p>
        </w:tc>
        <w:tc>
          <w:tcPr>
            <w:tcW w:w="995" w:type="pct"/>
            <w:tcBorders>
              <w:top w:val="single" w:sz="12" w:space="0" w:color="auto"/>
              <w:bottom w:val="single" w:sz="12" w:space="0" w:color="auto"/>
            </w:tcBorders>
          </w:tcPr>
          <w:p w:rsidR="00022FAA" w:rsidRPr="008A1679" w:rsidRDefault="00022FAA" w:rsidP="00E57901">
            <w:pPr>
              <w:spacing w:before="40" w:after="40"/>
              <w:jc w:val="center"/>
              <w:rPr>
                <w:rFonts w:cs="Arial"/>
                <w:b/>
                <w:sz w:val="20"/>
                <w:szCs w:val="20"/>
              </w:rPr>
            </w:pPr>
            <w:r w:rsidRPr="008A1679">
              <w:rPr>
                <w:rFonts w:cs="Arial"/>
                <w:b/>
                <w:sz w:val="20"/>
                <w:szCs w:val="20"/>
              </w:rPr>
              <w:t>Total N (%)</w:t>
            </w:r>
          </w:p>
        </w:tc>
        <w:tc>
          <w:tcPr>
            <w:tcW w:w="1106" w:type="pct"/>
            <w:tcBorders>
              <w:top w:val="single" w:sz="12" w:space="0" w:color="auto"/>
              <w:bottom w:val="single" w:sz="12" w:space="0" w:color="auto"/>
            </w:tcBorders>
          </w:tcPr>
          <w:p w:rsidR="00022FAA" w:rsidRPr="008A1679" w:rsidRDefault="00022FAA" w:rsidP="00E57901">
            <w:pPr>
              <w:spacing w:before="40" w:after="40"/>
              <w:jc w:val="center"/>
              <w:rPr>
                <w:rFonts w:cs="Arial"/>
                <w:b/>
                <w:sz w:val="20"/>
                <w:szCs w:val="20"/>
              </w:rPr>
            </w:pPr>
            <w:proofErr w:type="spellStart"/>
            <w:r w:rsidRPr="008A1679">
              <w:rPr>
                <w:rFonts w:cs="Arial"/>
                <w:b/>
                <w:sz w:val="20"/>
                <w:szCs w:val="20"/>
              </w:rPr>
              <w:t>ICD</w:t>
            </w:r>
            <w:proofErr w:type="spellEnd"/>
            <w:r w:rsidR="002C6244" w:rsidRPr="008A1679">
              <w:rPr>
                <w:rFonts w:cs="Arial"/>
                <w:b/>
                <w:sz w:val="20"/>
                <w:szCs w:val="20"/>
              </w:rPr>
              <w:t xml:space="preserve"> N </w:t>
            </w:r>
            <w:r w:rsidRPr="008A1679">
              <w:rPr>
                <w:rFonts w:cs="Arial"/>
                <w:b/>
                <w:sz w:val="20"/>
                <w:szCs w:val="20"/>
              </w:rPr>
              <w:t>(%)</w:t>
            </w:r>
          </w:p>
        </w:tc>
        <w:tc>
          <w:tcPr>
            <w:tcW w:w="851" w:type="pct"/>
            <w:tcBorders>
              <w:top w:val="single" w:sz="12" w:space="0" w:color="auto"/>
              <w:bottom w:val="single" w:sz="12" w:space="0" w:color="auto"/>
            </w:tcBorders>
          </w:tcPr>
          <w:p w:rsidR="00022FAA" w:rsidRPr="008A1679" w:rsidRDefault="00022FAA" w:rsidP="00E57901">
            <w:pPr>
              <w:spacing w:before="40" w:after="40"/>
              <w:jc w:val="center"/>
              <w:rPr>
                <w:rFonts w:cs="Arial"/>
                <w:b/>
                <w:sz w:val="20"/>
                <w:szCs w:val="20"/>
              </w:rPr>
            </w:pPr>
            <w:proofErr w:type="spellStart"/>
            <w:r w:rsidRPr="008A1679">
              <w:rPr>
                <w:rFonts w:cs="Arial"/>
                <w:b/>
                <w:sz w:val="20"/>
                <w:szCs w:val="20"/>
              </w:rPr>
              <w:t>ACD</w:t>
            </w:r>
            <w:proofErr w:type="spellEnd"/>
            <w:r w:rsidRPr="008A1679">
              <w:rPr>
                <w:rFonts w:cs="Arial"/>
                <w:b/>
                <w:sz w:val="20"/>
                <w:szCs w:val="20"/>
              </w:rPr>
              <w:t xml:space="preserve"> N (%)</w:t>
            </w:r>
          </w:p>
        </w:tc>
        <w:tc>
          <w:tcPr>
            <w:tcW w:w="1106" w:type="pct"/>
            <w:tcBorders>
              <w:top w:val="single" w:sz="12" w:space="0" w:color="auto"/>
              <w:bottom w:val="single" w:sz="12" w:space="0" w:color="auto"/>
            </w:tcBorders>
          </w:tcPr>
          <w:p w:rsidR="00022FAA" w:rsidRPr="008A1679" w:rsidRDefault="00022FAA" w:rsidP="00E57901">
            <w:pPr>
              <w:spacing w:before="40" w:after="40"/>
              <w:jc w:val="center"/>
              <w:rPr>
                <w:rFonts w:cs="Arial"/>
                <w:b/>
                <w:sz w:val="20"/>
                <w:szCs w:val="20"/>
              </w:rPr>
            </w:pPr>
            <w:r w:rsidRPr="008A1679">
              <w:rPr>
                <w:rFonts w:cs="Arial"/>
                <w:b/>
                <w:sz w:val="20"/>
                <w:szCs w:val="20"/>
              </w:rPr>
              <w:t xml:space="preserve">Endogenous </w:t>
            </w:r>
            <w:r w:rsidR="002C6244" w:rsidRPr="008A1679">
              <w:rPr>
                <w:rFonts w:cs="Arial"/>
                <w:b/>
                <w:sz w:val="20"/>
                <w:szCs w:val="20"/>
              </w:rPr>
              <w:t xml:space="preserve">eczema </w:t>
            </w:r>
            <w:r w:rsidRPr="008A1679">
              <w:rPr>
                <w:rFonts w:cs="Arial"/>
                <w:b/>
                <w:sz w:val="20"/>
                <w:szCs w:val="20"/>
              </w:rPr>
              <w:t>N (%)</w:t>
            </w:r>
          </w:p>
        </w:tc>
      </w:tr>
      <w:tr w:rsidR="00022FAA" w:rsidRPr="008A1679" w:rsidTr="002C6244">
        <w:tc>
          <w:tcPr>
            <w:tcW w:w="942" w:type="pct"/>
            <w:tcBorders>
              <w:top w:val="single" w:sz="12" w:space="0" w:color="auto"/>
            </w:tcBorders>
          </w:tcPr>
          <w:p w:rsidR="00022FAA" w:rsidRPr="008A1679" w:rsidRDefault="00022FAA" w:rsidP="00E57901">
            <w:pPr>
              <w:spacing w:before="40" w:after="40"/>
              <w:rPr>
                <w:rFonts w:cs="Arial"/>
                <w:sz w:val="20"/>
                <w:szCs w:val="20"/>
              </w:rPr>
            </w:pPr>
            <w:r w:rsidRPr="008A1679">
              <w:rPr>
                <w:rFonts w:cs="Arial"/>
                <w:sz w:val="20"/>
                <w:szCs w:val="20"/>
              </w:rPr>
              <w:t>Hands</w:t>
            </w:r>
          </w:p>
        </w:tc>
        <w:tc>
          <w:tcPr>
            <w:tcW w:w="995" w:type="pct"/>
            <w:tcBorders>
              <w:top w:val="single" w:sz="12" w:space="0" w:color="auto"/>
            </w:tcBorders>
          </w:tcPr>
          <w:p w:rsidR="00022FAA" w:rsidRPr="008A1679" w:rsidRDefault="00022FAA" w:rsidP="00E57901">
            <w:pPr>
              <w:spacing w:before="40" w:after="40"/>
              <w:jc w:val="center"/>
              <w:rPr>
                <w:rFonts w:cs="Arial"/>
                <w:sz w:val="20"/>
                <w:szCs w:val="20"/>
                <w:highlight w:val="yellow"/>
              </w:rPr>
            </w:pPr>
            <w:r w:rsidRPr="008A1679">
              <w:rPr>
                <w:rFonts w:cs="Arial"/>
                <w:sz w:val="20"/>
                <w:szCs w:val="20"/>
              </w:rPr>
              <w:t>1897 (65.4)</w:t>
            </w:r>
          </w:p>
        </w:tc>
        <w:tc>
          <w:tcPr>
            <w:tcW w:w="1106" w:type="pct"/>
            <w:tcBorders>
              <w:top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771 (78.0)</w:t>
            </w:r>
          </w:p>
        </w:tc>
        <w:tc>
          <w:tcPr>
            <w:tcW w:w="851" w:type="pct"/>
            <w:tcBorders>
              <w:top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566 (70.2)</w:t>
            </w:r>
          </w:p>
        </w:tc>
        <w:tc>
          <w:tcPr>
            <w:tcW w:w="1106" w:type="pct"/>
            <w:tcBorders>
              <w:top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276 (64.2)</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Arms</w:t>
            </w:r>
          </w:p>
        </w:tc>
        <w:tc>
          <w:tcPr>
            <w:tcW w:w="995" w:type="pct"/>
          </w:tcPr>
          <w:p w:rsidR="00022FAA" w:rsidRPr="008A1679" w:rsidRDefault="00022FAA" w:rsidP="00E57901">
            <w:pPr>
              <w:spacing w:before="40" w:after="40"/>
              <w:jc w:val="center"/>
              <w:rPr>
                <w:rFonts w:cs="Arial"/>
                <w:sz w:val="20"/>
                <w:szCs w:val="20"/>
                <w:highlight w:val="yellow"/>
              </w:rPr>
            </w:pPr>
            <w:r w:rsidRPr="008A1679">
              <w:rPr>
                <w:rFonts w:cs="Arial"/>
                <w:sz w:val="20"/>
                <w:szCs w:val="20"/>
              </w:rPr>
              <w:t>521 (18.0)</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199 (20.0)</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163 (20.2)</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60 (14.0)</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Face</w:t>
            </w:r>
          </w:p>
        </w:tc>
        <w:tc>
          <w:tcPr>
            <w:tcW w:w="995" w:type="pct"/>
          </w:tcPr>
          <w:p w:rsidR="00022FAA" w:rsidRPr="008A1679" w:rsidRDefault="00022FAA" w:rsidP="00E57901">
            <w:pPr>
              <w:spacing w:before="40" w:after="40"/>
              <w:jc w:val="center"/>
              <w:rPr>
                <w:rFonts w:cs="Arial"/>
                <w:sz w:val="20"/>
                <w:szCs w:val="20"/>
                <w:highlight w:val="yellow"/>
              </w:rPr>
            </w:pPr>
            <w:r w:rsidRPr="008A1679">
              <w:rPr>
                <w:rFonts w:cs="Arial"/>
                <w:sz w:val="20"/>
                <w:szCs w:val="20"/>
              </w:rPr>
              <w:t>453 (15.6)</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112 (11.3)</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158 (19.6)</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78 (18.1)</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Legs</w:t>
            </w:r>
          </w:p>
        </w:tc>
        <w:tc>
          <w:tcPr>
            <w:tcW w:w="995" w:type="pct"/>
          </w:tcPr>
          <w:p w:rsidR="00022FAA" w:rsidRPr="008A1679" w:rsidRDefault="00022FAA" w:rsidP="00E57901">
            <w:pPr>
              <w:spacing w:before="40" w:after="40"/>
              <w:jc w:val="center"/>
              <w:rPr>
                <w:rFonts w:cs="Arial"/>
                <w:sz w:val="20"/>
                <w:szCs w:val="20"/>
                <w:highlight w:val="yellow"/>
              </w:rPr>
            </w:pPr>
            <w:r w:rsidRPr="008A1679">
              <w:rPr>
                <w:rFonts w:cs="Arial"/>
                <w:sz w:val="20"/>
                <w:szCs w:val="20"/>
              </w:rPr>
              <w:t>203 (7.0)</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51 (5.1)</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54 (6.7)</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48 (11.2)</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Feet</w:t>
            </w:r>
          </w:p>
        </w:tc>
        <w:tc>
          <w:tcPr>
            <w:tcW w:w="995" w:type="pct"/>
          </w:tcPr>
          <w:p w:rsidR="00022FAA" w:rsidRPr="008A1679" w:rsidRDefault="00022FAA" w:rsidP="00E57901">
            <w:pPr>
              <w:spacing w:before="40" w:after="40"/>
              <w:jc w:val="center"/>
              <w:rPr>
                <w:rFonts w:cs="Arial"/>
                <w:sz w:val="20"/>
                <w:szCs w:val="20"/>
                <w:highlight w:val="yellow"/>
              </w:rPr>
            </w:pPr>
            <w:r w:rsidRPr="008A1679">
              <w:rPr>
                <w:rFonts w:cs="Arial"/>
                <w:sz w:val="20"/>
                <w:szCs w:val="20"/>
              </w:rPr>
              <w:t>185 (6.4)</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35 (3.5)</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63 (7.8)</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50 (11.6)</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Eye lids</w:t>
            </w:r>
          </w:p>
        </w:tc>
        <w:tc>
          <w:tcPr>
            <w:tcW w:w="995" w:type="pct"/>
          </w:tcPr>
          <w:p w:rsidR="00022FAA" w:rsidRPr="008A1679" w:rsidRDefault="002C6244" w:rsidP="00E57901">
            <w:pPr>
              <w:spacing w:before="40" w:after="40"/>
              <w:jc w:val="center"/>
              <w:rPr>
                <w:rFonts w:cs="Arial"/>
                <w:sz w:val="20"/>
                <w:szCs w:val="20"/>
                <w:highlight w:val="yellow"/>
              </w:rPr>
            </w:pPr>
            <w:r w:rsidRPr="008A1679">
              <w:rPr>
                <w:rFonts w:cs="Arial"/>
                <w:sz w:val="20"/>
                <w:szCs w:val="20"/>
              </w:rPr>
              <w:t xml:space="preserve">152 </w:t>
            </w:r>
            <w:r w:rsidR="00022FAA" w:rsidRPr="008A1679">
              <w:rPr>
                <w:rFonts w:cs="Arial"/>
                <w:sz w:val="20"/>
                <w:szCs w:val="20"/>
              </w:rPr>
              <w:t>(5.2)</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22</w:t>
            </w:r>
            <w:r w:rsidR="00022FAA" w:rsidRPr="008A1679">
              <w:rPr>
                <w:rFonts w:cs="Arial"/>
                <w:sz w:val="20"/>
                <w:szCs w:val="20"/>
              </w:rPr>
              <w:t xml:space="preserve"> (2.2)</w:t>
            </w:r>
          </w:p>
        </w:tc>
        <w:tc>
          <w:tcPr>
            <w:tcW w:w="851" w:type="pct"/>
          </w:tcPr>
          <w:p w:rsidR="00022FAA" w:rsidRPr="008A1679" w:rsidRDefault="002C6244" w:rsidP="00E57901">
            <w:pPr>
              <w:spacing w:before="40" w:after="40"/>
              <w:jc w:val="center"/>
              <w:rPr>
                <w:rFonts w:cs="Arial"/>
                <w:sz w:val="20"/>
                <w:szCs w:val="20"/>
              </w:rPr>
            </w:pPr>
            <w:r w:rsidRPr="008A1679">
              <w:rPr>
                <w:rFonts w:cs="Arial"/>
                <w:sz w:val="20"/>
                <w:szCs w:val="20"/>
              </w:rPr>
              <w:t>68</w:t>
            </w:r>
            <w:r w:rsidR="00022FAA" w:rsidRPr="008A1679">
              <w:rPr>
                <w:rFonts w:cs="Arial"/>
                <w:sz w:val="20"/>
                <w:szCs w:val="20"/>
              </w:rPr>
              <w:t xml:space="preserve"> (8.4)</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33 (7.7)</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Abdomen</w:t>
            </w:r>
          </w:p>
        </w:tc>
        <w:tc>
          <w:tcPr>
            <w:tcW w:w="995" w:type="pct"/>
          </w:tcPr>
          <w:p w:rsidR="00022FAA" w:rsidRPr="008A1679" w:rsidRDefault="002C6244" w:rsidP="00E57901">
            <w:pPr>
              <w:spacing w:before="40" w:after="40"/>
              <w:jc w:val="center"/>
              <w:rPr>
                <w:rFonts w:cs="Arial"/>
                <w:sz w:val="20"/>
                <w:szCs w:val="20"/>
                <w:highlight w:val="yellow"/>
              </w:rPr>
            </w:pPr>
            <w:r w:rsidRPr="008A1679">
              <w:rPr>
                <w:rFonts w:cs="Arial"/>
                <w:sz w:val="20"/>
                <w:szCs w:val="20"/>
              </w:rPr>
              <w:t xml:space="preserve">56 </w:t>
            </w:r>
            <w:r w:rsidR="00022FAA" w:rsidRPr="008A1679">
              <w:rPr>
                <w:rFonts w:cs="Arial"/>
                <w:sz w:val="20"/>
                <w:szCs w:val="20"/>
              </w:rPr>
              <w:t>(1.9)</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18 (1.8)</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11 (1.4)</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14 (3.3)</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Back</w:t>
            </w:r>
          </w:p>
        </w:tc>
        <w:tc>
          <w:tcPr>
            <w:tcW w:w="995" w:type="pct"/>
          </w:tcPr>
          <w:p w:rsidR="00022FAA" w:rsidRPr="008A1679" w:rsidRDefault="002C6244" w:rsidP="00E57901">
            <w:pPr>
              <w:spacing w:before="40" w:after="40"/>
              <w:jc w:val="center"/>
              <w:rPr>
                <w:rFonts w:cs="Arial"/>
                <w:sz w:val="20"/>
                <w:szCs w:val="20"/>
                <w:highlight w:val="yellow"/>
              </w:rPr>
            </w:pPr>
            <w:r w:rsidRPr="008A1679">
              <w:rPr>
                <w:rFonts w:cs="Arial"/>
                <w:sz w:val="20"/>
                <w:szCs w:val="20"/>
              </w:rPr>
              <w:t>62</w:t>
            </w:r>
            <w:r w:rsidR="00022FAA" w:rsidRPr="008A1679">
              <w:rPr>
                <w:rFonts w:cs="Arial"/>
                <w:sz w:val="20"/>
                <w:szCs w:val="20"/>
              </w:rPr>
              <w:t xml:space="preserve"> (2.1)</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14</w:t>
            </w:r>
            <w:r w:rsidR="00022FAA" w:rsidRPr="008A1679">
              <w:rPr>
                <w:rFonts w:cs="Arial"/>
                <w:sz w:val="20"/>
                <w:szCs w:val="20"/>
              </w:rPr>
              <w:t xml:space="preserve"> (1.4)</w:t>
            </w:r>
          </w:p>
        </w:tc>
        <w:tc>
          <w:tcPr>
            <w:tcW w:w="851" w:type="pct"/>
          </w:tcPr>
          <w:p w:rsidR="00022FAA" w:rsidRPr="008A1679" w:rsidRDefault="002C6244" w:rsidP="00E57901">
            <w:pPr>
              <w:spacing w:before="40" w:after="40"/>
              <w:jc w:val="center"/>
              <w:rPr>
                <w:rFonts w:cs="Arial"/>
                <w:sz w:val="20"/>
                <w:szCs w:val="20"/>
              </w:rPr>
            </w:pPr>
            <w:r w:rsidRPr="008A1679">
              <w:rPr>
                <w:rFonts w:cs="Arial"/>
                <w:sz w:val="20"/>
                <w:szCs w:val="20"/>
              </w:rPr>
              <w:t>11</w:t>
            </w:r>
            <w:r w:rsidR="00022FAA" w:rsidRPr="008A1679">
              <w:rPr>
                <w:rFonts w:cs="Arial"/>
                <w:sz w:val="20"/>
                <w:szCs w:val="20"/>
              </w:rPr>
              <w:t xml:space="preserve"> (1.4)</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18</w:t>
            </w:r>
            <w:r w:rsidR="00022FAA" w:rsidRPr="008A1679">
              <w:rPr>
                <w:rFonts w:cs="Arial"/>
                <w:sz w:val="20"/>
                <w:szCs w:val="20"/>
              </w:rPr>
              <w:t xml:space="preserve"> (4.2)</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Lips</w:t>
            </w:r>
          </w:p>
        </w:tc>
        <w:tc>
          <w:tcPr>
            <w:tcW w:w="995" w:type="pct"/>
          </w:tcPr>
          <w:p w:rsidR="00022FAA" w:rsidRPr="008A1679" w:rsidRDefault="002C6244" w:rsidP="00E57901">
            <w:pPr>
              <w:spacing w:before="40" w:after="40"/>
              <w:jc w:val="center"/>
              <w:rPr>
                <w:rFonts w:cs="Arial"/>
                <w:sz w:val="20"/>
                <w:szCs w:val="20"/>
                <w:highlight w:val="yellow"/>
              </w:rPr>
            </w:pPr>
            <w:r w:rsidRPr="008A1679">
              <w:rPr>
                <w:rFonts w:cs="Arial"/>
                <w:sz w:val="20"/>
                <w:szCs w:val="20"/>
              </w:rPr>
              <w:t>32</w:t>
            </w:r>
            <w:r w:rsidR="00022FAA" w:rsidRPr="008A1679">
              <w:rPr>
                <w:rFonts w:cs="Arial"/>
                <w:sz w:val="20"/>
                <w:szCs w:val="20"/>
              </w:rPr>
              <w:t xml:space="preserve"> (1.1)</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5</w:t>
            </w:r>
            <w:r w:rsidR="00022FAA" w:rsidRPr="008A1679">
              <w:rPr>
                <w:rFonts w:cs="Arial"/>
                <w:sz w:val="20"/>
                <w:szCs w:val="20"/>
              </w:rPr>
              <w:t xml:space="preserve"> (0.5)</w:t>
            </w:r>
          </w:p>
        </w:tc>
        <w:tc>
          <w:tcPr>
            <w:tcW w:w="851" w:type="pct"/>
          </w:tcPr>
          <w:p w:rsidR="00022FAA" w:rsidRPr="008A1679" w:rsidRDefault="00022FAA" w:rsidP="00E57901">
            <w:pPr>
              <w:spacing w:before="40" w:after="40"/>
              <w:jc w:val="center"/>
              <w:rPr>
                <w:rFonts w:cs="Arial"/>
                <w:sz w:val="20"/>
                <w:szCs w:val="20"/>
              </w:rPr>
            </w:pPr>
            <w:r w:rsidRPr="008A1679">
              <w:rPr>
                <w:rFonts w:cs="Arial"/>
                <w:sz w:val="20"/>
                <w:szCs w:val="20"/>
              </w:rPr>
              <w:t>15 (1.9)</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2</w:t>
            </w:r>
            <w:r w:rsidR="00022FAA" w:rsidRPr="008A1679">
              <w:rPr>
                <w:rFonts w:cs="Arial"/>
                <w:sz w:val="20"/>
                <w:szCs w:val="20"/>
              </w:rPr>
              <w:t xml:space="preserve"> (0.5)</w:t>
            </w:r>
          </w:p>
        </w:tc>
      </w:tr>
      <w:tr w:rsidR="00022FAA" w:rsidRPr="008A1679" w:rsidTr="002C6244">
        <w:tc>
          <w:tcPr>
            <w:tcW w:w="942" w:type="pct"/>
          </w:tcPr>
          <w:p w:rsidR="00022FAA" w:rsidRPr="008A1679" w:rsidRDefault="00022FAA" w:rsidP="00E57901">
            <w:pPr>
              <w:spacing w:before="40" w:after="40"/>
              <w:rPr>
                <w:rFonts w:cs="Arial"/>
                <w:sz w:val="20"/>
                <w:szCs w:val="20"/>
              </w:rPr>
            </w:pPr>
            <w:r w:rsidRPr="008A1679">
              <w:rPr>
                <w:rFonts w:cs="Arial"/>
                <w:sz w:val="20"/>
                <w:szCs w:val="20"/>
              </w:rPr>
              <w:t>General</w:t>
            </w:r>
          </w:p>
        </w:tc>
        <w:tc>
          <w:tcPr>
            <w:tcW w:w="995" w:type="pct"/>
          </w:tcPr>
          <w:p w:rsidR="00022FAA" w:rsidRPr="008A1679" w:rsidRDefault="00022FAA" w:rsidP="00E57901">
            <w:pPr>
              <w:spacing w:before="40" w:after="40"/>
              <w:jc w:val="center"/>
              <w:rPr>
                <w:rFonts w:cs="Arial"/>
                <w:sz w:val="20"/>
                <w:szCs w:val="20"/>
              </w:rPr>
            </w:pPr>
            <w:r w:rsidRPr="008A1679">
              <w:rPr>
                <w:rFonts w:cs="Arial"/>
                <w:sz w:val="20"/>
                <w:szCs w:val="20"/>
              </w:rPr>
              <w:t>44 (1.5)</w:t>
            </w:r>
          </w:p>
        </w:tc>
        <w:tc>
          <w:tcPr>
            <w:tcW w:w="1106" w:type="pct"/>
          </w:tcPr>
          <w:p w:rsidR="00022FAA" w:rsidRPr="008A1679" w:rsidRDefault="002C6244" w:rsidP="00E57901">
            <w:pPr>
              <w:spacing w:before="40" w:after="40"/>
              <w:jc w:val="center"/>
              <w:rPr>
                <w:rFonts w:cs="Arial"/>
                <w:sz w:val="20"/>
                <w:szCs w:val="20"/>
              </w:rPr>
            </w:pPr>
            <w:r w:rsidRPr="008A1679">
              <w:rPr>
                <w:rFonts w:cs="Arial"/>
                <w:sz w:val="20"/>
                <w:szCs w:val="20"/>
              </w:rPr>
              <w:t>5</w:t>
            </w:r>
            <w:r w:rsidR="00022FAA" w:rsidRPr="008A1679">
              <w:rPr>
                <w:rFonts w:cs="Arial"/>
                <w:sz w:val="20"/>
                <w:szCs w:val="20"/>
              </w:rPr>
              <w:t xml:space="preserve"> (0.5)</w:t>
            </w:r>
          </w:p>
        </w:tc>
        <w:tc>
          <w:tcPr>
            <w:tcW w:w="851" w:type="pct"/>
          </w:tcPr>
          <w:p w:rsidR="00022FAA" w:rsidRPr="008A1679" w:rsidRDefault="002C6244" w:rsidP="00E57901">
            <w:pPr>
              <w:spacing w:before="40" w:after="40"/>
              <w:jc w:val="center"/>
              <w:rPr>
                <w:rFonts w:cs="Arial"/>
                <w:sz w:val="20"/>
                <w:szCs w:val="20"/>
              </w:rPr>
            </w:pPr>
            <w:r w:rsidRPr="008A1679">
              <w:rPr>
                <w:rFonts w:cs="Arial"/>
                <w:sz w:val="20"/>
                <w:szCs w:val="20"/>
              </w:rPr>
              <w:t xml:space="preserve">3 </w:t>
            </w:r>
            <w:r w:rsidR="00022FAA" w:rsidRPr="008A1679">
              <w:rPr>
                <w:rFonts w:cs="Arial"/>
                <w:sz w:val="20"/>
                <w:szCs w:val="20"/>
              </w:rPr>
              <w:t>(0.4)</w:t>
            </w:r>
          </w:p>
        </w:tc>
        <w:tc>
          <w:tcPr>
            <w:tcW w:w="1106" w:type="pct"/>
          </w:tcPr>
          <w:p w:rsidR="00022FAA" w:rsidRPr="008A1679" w:rsidRDefault="00022FAA" w:rsidP="00E57901">
            <w:pPr>
              <w:spacing w:before="40" w:after="40"/>
              <w:jc w:val="center"/>
              <w:rPr>
                <w:rFonts w:cs="Arial"/>
                <w:sz w:val="20"/>
                <w:szCs w:val="20"/>
              </w:rPr>
            </w:pPr>
            <w:r w:rsidRPr="008A1679">
              <w:rPr>
                <w:rFonts w:cs="Arial"/>
                <w:sz w:val="20"/>
                <w:szCs w:val="20"/>
              </w:rPr>
              <w:t>13 (3.0)</w:t>
            </w:r>
          </w:p>
        </w:tc>
      </w:tr>
      <w:tr w:rsidR="00022FAA" w:rsidRPr="008A1679" w:rsidTr="002C6244">
        <w:tc>
          <w:tcPr>
            <w:tcW w:w="942" w:type="pct"/>
            <w:tcBorders>
              <w:bottom w:val="single" w:sz="12" w:space="0" w:color="auto"/>
            </w:tcBorders>
          </w:tcPr>
          <w:p w:rsidR="00022FAA" w:rsidRPr="008A1679" w:rsidRDefault="00022FAA" w:rsidP="00E57901">
            <w:pPr>
              <w:spacing w:before="40" w:after="40"/>
              <w:rPr>
                <w:rFonts w:cs="Arial"/>
                <w:sz w:val="20"/>
                <w:szCs w:val="20"/>
              </w:rPr>
            </w:pPr>
            <w:r w:rsidRPr="008A1679">
              <w:rPr>
                <w:rFonts w:cs="Arial"/>
                <w:sz w:val="20"/>
                <w:szCs w:val="20"/>
              </w:rPr>
              <w:t>Other</w:t>
            </w:r>
          </w:p>
        </w:tc>
        <w:tc>
          <w:tcPr>
            <w:tcW w:w="995" w:type="pct"/>
            <w:tcBorders>
              <w:bottom w:val="single" w:sz="12" w:space="0" w:color="auto"/>
            </w:tcBorders>
          </w:tcPr>
          <w:p w:rsidR="00022FAA" w:rsidRPr="008A1679" w:rsidRDefault="002C6244" w:rsidP="00E57901">
            <w:pPr>
              <w:spacing w:before="40" w:after="40"/>
              <w:jc w:val="center"/>
              <w:rPr>
                <w:rFonts w:cs="Arial"/>
                <w:sz w:val="20"/>
                <w:szCs w:val="20"/>
              </w:rPr>
            </w:pPr>
            <w:r w:rsidRPr="008A1679">
              <w:rPr>
                <w:rFonts w:cs="Arial"/>
                <w:sz w:val="20"/>
                <w:szCs w:val="20"/>
              </w:rPr>
              <w:t>41</w:t>
            </w:r>
            <w:r w:rsidR="00022FAA" w:rsidRPr="008A1679">
              <w:rPr>
                <w:rFonts w:cs="Arial"/>
                <w:sz w:val="20"/>
                <w:szCs w:val="20"/>
              </w:rPr>
              <w:t xml:space="preserve"> (1.4)</w:t>
            </w:r>
          </w:p>
        </w:tc>
        <w:tc>
          <w:tcPr>
            <w:tcW w:w="1106" w:type="pct"/>
            <w:tcBorders>
              <w:bottom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6 (0.6)</w:t>
            </w:r>
          </w:p>
        </w:tc>
        <w:tc>
          <w:tcPr>
            <w:tcW w:w="851" w:type="pct"/>
            <w:tcBorders>
              <w:bottom w:val="single" w:sz="12" w:space="0" w:color="auto"/>
            </w:tcBorders>
          </w:tcPr>
          <w:p w:rsidR="00022FAA" w:rsidRPr="008A1679" w:rsidRDefault="002C6244" w:rsidP="00E57901">
            <w:pPr>
              <w:spacing w:before="40" w:after="40"/>
              <w:jc w:val="center"/>
              <w:rPr>
                <w:rFonts w:cs="Arial"/>
                <w:sz w:val="20"/>
                <w:szCs w:val="20"/>
              </w:rPr>
            </w:pPr>
            <w:r w:rsidRPr="008A1679">
              <w:rPr>
                <w:rFonts w:cs="Arial"/>
                <w:sz w:val="20"/>
                <w:szCs w:val="20"/>
              </w:rPr>
              <w:t>9</w:t>
            </w:r>
            <w:r w:rsidR="00022FAA" w:rsidRPr="008A1679">
              <w:rPr>
                <w:rFonts w:cs="Arial"/>
                <w:sz w:val="20"/>
                <w:szCs w:val="20"/>
              </w:rPr>
              <w:t xml:space="preserve"> (1.1)</w:t>
            </w:r>
          </w:p>
        </w:tc>
        <w:tc>
          <w:tcPr>
            <w:tcW w:w="1106" w:type="pct"/>
            <w:tcBorders>
              <w:bottom w:val="single" w:sz="12" w:space="0" w:color="auto"/>
            </w:tcBorders>
          </w:tcPr>
          <w:p w:rsidR="00022FAA" w:rsidRPr="008A1679" w:rsidRDefault="002C6244" w:rsidP="00E57901">
            <w:pPr>
              <w:spacing w:before="40" w:after="40"/>
              <w:jc w:val="center"/>
              <w:rPr>
                <w:rFonts w:cs="Arial"/>
                <w:sz w:val="20"/>
                <w:szCs w:val="20"/>
              </w:rPr>
            </w:pPr>
            <w:r w:rsidRPr="008A1679">
              <w:rPr>
                <w:rFonts w:cs="Arial"/>
                <w:sz w:val="20"/>
                <w:szCs w:val="20"/>
              </w:rPr>
              <w:t>9</w:t>
            </w:r>
            <w:r w:rsidR="00022FAA" w:rsidRPr="008A1679">
              <w:rPr>
                <w:rFonts w:cs="Arial"/>
                <w:sz w:val="20"/>
                <w:szCs w:val="20"/>
              </w:rPr>
              <w:t xml:space="preserve"> (2.1)</w:t>
            </w:r>
          </w:p>
        </w:tc>
      </w:tr>
      <w:tr w:rsidR="00022FAA" w:rsidRPr="008A1679" w:rsidTr="002C6244">
        <w:tc>
          <w:tcPr>
            <w:tcW w:w="942" w:type="pct"/>
            <w:tcBorders>
              <w:top w:val="single" w:sz="12" w:space="0" w:color="auto"/>
              <w:bottom w:val="single" w:sz="12" w:space="0" w:color="auto"/>
            </w:tcBorders>
          </w:tcPr>
          <w:p w:rsidR="00022FAA" w:rsidRPr="008A1679" w:rsidRDefault="00022FAA" w:rsidP="00E57901">
            <w:pPr>
              <w:spacing w:before="40" w:after="40"/>
              <w:rPr>
                <w:rFonts w:cs="Arial"/>
                <w:sz w:val="20"/>
                <w:szCs w:val="20"/>
              </w:rPr>
            </w:pPr>
            <w:r w:rsidRPr="008A1679">
              <w:rPr>
                <w:rFonts w:cs="Arial"/>
                <w:sz w:val="20"/>
                <w:szCs w:val="20"/>
              </w:rPr>
              <w:t>Total cases</w:t>
            </w:r>
          </w:p>
        </w:tc>
        <w:tc>
          <w:tcPr>
            <w:tcW w:w="995" w:type="pct"/>
            <w:tcBorders>
              <w:top w:val="single" w:sz="12" w:space="0" w:color="auto"/>
              <w:bottom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2900</w:t>
            </w:r>
          </w:p>
        </w:tc>
        <w:tc>
          <w:tcPr>
            <w:tcW w:w="1106" w:type="pct"/>
            <w:tcBorders>
              <w:top w:val="single" w:sz="12" w:space="0" w:color="auto"/>
              <w:bottom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995</w:t>
            </w:r>
          </w:p>
        </w:tc>
        <w:tc>
          <w:tcPr>
            <w:tcW w:w="851" w:type="pct"/>
            <w:tcBorders>
              <w:top w:val="single" w:sz="12" w:space="0" w:color="auto"/>
              <w:bottom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806</w:t>
            </w:r>
          </w:p>
        </w:tc>
        <w:tc>
          <w:tcPr>
            <w:tcW w:w="1106" w:type="pct"/>
            <w:tcBorders>
              <w:top w:val="single" w:sz="12" w:space="0" w:color="auto"/>
              <w:bottom w:val="single" w:sz="12" w:space="0" w:color="auto"/>
            </w:tcBorders>
          </w:tcPr>
          <w:p w:rsidR="00022FAA" w:rsidRPr="008A1679" w:rsidRDefault="00022FAA" w:rsidP="00E57901">
            <w:pPr>
              <w:spacing w:before="40" w:after="40"/>
              <w:jc w:val="center"/>
              <w:rPr>
                <w:rFonts w:cs="Arial"/>
                <w:sz w:val="20"/>
                <w:szCs w:val="20"/>
              </w:rPr>
            </w:pPr>
            <w:r w:rsidRPr="008A1679">
              <w:rPr>
                <w:rFonts w:cs="Arial"/>
                <w:sz w:val="20"/>
                <w:szCs w:val="20"/>
              </w:rPr>
              <w:t>430</w:t>
            </w:r>
          </w:p>
        </w:tc>
      </w:tr>
    </w:tbl>
    <w:p w:rsidR="00956B66" w:rsidRPr="008A1679" w:rsidRDefault="00956B66" w:rsidP="00945AD4">
      <w:pPr>
        <w:pStyle w:val="Heading2"/>
        <w:sectPr w:rsidR="00956B66" w:rsidRPr="008A1679" w:rsidSect="0077422A">
          <w:footerReference w:type="default" r:id="rId14"/>
          <w:pgSz w:w="11907" w:h="16840" w:code="9"/>
          <w:pgMar w:top="1440" w:right="1440" w:bottom="1440" w:left="1440" w:header="709" w:footer="709" w:gutter="0"/>
          <w:cols w:space="708"/>
          <w:docGrid w:linePitch="360"/>
        </w:sectPr>
      </w:pPr>
    </w:p>
    <w:p w:rsidR="00587220" w:rsidRPr="008A1679" w:rsidRDefault="00587220" w:rsidP="00587220">
      <w:pPr>
        <w:pStyle w:val="Caption"/>
        <w:keepNext/>
      </w:pPr>
      <w:bookmarkStart w:id="40" w:name="_Ref309716788"/>
      <w:bookmarkStart w:id="41" w:name="_Toc310506147"/>
      <w:r w:rsidRPr="008A1679">
        <w:lastRenderedPageBreak/>
        <w:t xml:space="preserve">Table </w:t>
      </w:r>
      <w:fldSimple w:instr=" SEQ Table \* ARABIC ">
        <w:r w:rsidR="005406BD" w:rsidRPr="008A1679">
          <w:rPr>
            <w:noProof/>
          </w:rPr>
          <w:t>8</w:t>
        </w:r>
      </w:fldSimple>
      <w:bookmarkEnd w:id="40"/>
      <w:r w:rsidRPr="008A1679">
        <w:t xml:space="preserve"> </w:t>
      </w:r>
      <w:r w:rsidRPr="008A1679">
        <w:rPr>
          <w:rFonts w:cs="Arial"/>
          <w:b w:val="0"/>
        </w:rPr>
        <w:t xml:space="preserve">Relative rates of </w:t>
      </w:r>
      <w:proofErr w:type="spellStart"/>
      <w:r w:rsidR="00E57901" w:rsidRPr="008A1679">
        <w:rPr>
          <w:rFonts w:cs="Arial"/>
          <w:b w:val="0"/>
        </w:rPr>
        <w:t>OSD</w:t>
      </w:r>
      <w:proofErr w:type="spellEnd"/>
      <w:r w:rsidRPr="008A1679">
        <w:rPr>
          <w:rFonts w:cs="Arial"/>
          <w:b w:val="0"/>
        </w:rPr>
        <w:t xml:space="preserve"> in Victorian occupations: cases per 100,000 workers per year within occupational group</w:t>
      </w:r>
      <w:bookmarkEnd w:id="4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2268"/>
        <w:gridCol w:w="1134"/>
        <w:gridCol w:w="992"/>
        <w:gridCol w:w="992"/>
        <w:gridCol w:w="1815"/>
        <w:gridCol w:w="1664"/>
        <w:gridCol w:w="1659"/>
      </w:tblGrid>
      <w:tr w:rsidR="00587220" w:rsidRPr="008A1679" w:rsidTr="00354926">
        <w:tc>
          <w:tcPr>
            <w:tcW w:w="1288" w:type="pct"/>
            <w:vMerge w:val="restart"/>
            <w:tcBorders>
              <w:top w:val="single" w:sz="12" w:space="0" w:color="auto"/>
              <w:left w:val="single" w:sz="8" w:space="0" w:color="808080" w:themeColor="background1" w:themeShade="80"/>
              <w:right w:val="single" w:sz="8" w:space="0" w:color="808080" w:themeColor="background1" w:themeShade="80"/>
            </w:tcBorders>
            <w:vAlign w:val="bottom"/>
          </w:tcPr>
          <w:p w:rsidR="00587220" w:rsidRPr="008A1679" w:rsidRDefault="00587220" w:rsidP="00354926">
            <w:pPr>
              <w:spacing w:before="40" w:after="40"/>
              <w:rPr>
                <w:rFonts w:cs="Arial"/>
                <w:b/>
                <w:bCs/>
                <w:sz w:val="20"/>
                <w:szCs w:val="20"/>
              </w:rPr>
            </w:pPr>
            <w:r w:rsidRPr="008A1679">
              <w:rPr>
                <w:rFonts w:cs="Arial"/>
                <w:b/>
                <w:bCs/>
                <w:sz w:val="20"/>
                <w:szCs w:val="20"/>
              </w:rPr>
              <w:t>Major occupational group</w:t>
            </w:r>
          </w:p>
        </w:tc>
        <w:tc>
          <w:tcPr>
            <w:tcW w:w="800" w:type="pct"/>
            <w:vMerge w:val="restart"/>
            <w:tcBorders>
              <w:top w:val="single" w:sz="12" w:space="0" w:color="auto"/>
              <w:left w:val="single" w:sz="8" w:space="0" w:color="808080" w:themeColor="background1" w:themeShade="80"/>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r w:rsidRPr="008A1679">
              <w:rPr>
                <w:rFonts w:cs="Arial"/>
                <w:b/>
                <w:bCs/>
                <w:sz w:val="20"/>
                <w:szCs w:val="20"/>
              </w:rPr>
              <w:t>2001 ABS Victorian employment figures</w:t>
            </w:r>
          </w:p>
        </w:tc>
        <w:tc>
          <w:tcPr>
            <w:tcW w:w="1100" w:type="pct"/>
            <w:gridSpan w:val="3"/>
            <w:tcBorders>
              <w:top w:val="single" w:sz="12" w:space="0" w:color="auto"/>
              <w:left w:val="single" w:sz="8" w:space="0" w:color="808080" w:themeColor="background1" w:themeShade="80"/>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r w:rsidRPr="008A1679">
              <w:rPr>
                <w:rFonts w:cs="Arial"/>
                <w:b/>
                <w:bCs/>
                <w:sz w:val="20"/>
                <w:szCs w:val="20"/>
              </w:rPr>
              <w:t>Number of cases</w:t>
            </w:r>
          </w:p>
        </w:tc>
        <w:tc>
          <w:tcPr>
            <w:tcW w:w="1812" w:type="pct"/>
            <w:gridSpan w:val="3"/>
            <w:tcBorders>
              <w:top w:val="single" w:sz="12" w:space="0" w:color="auto"/>
              <w:left w:val="single" w:sz="8" w:space="0" w:color="808080" w:themeColor="background1" w:themeShade="80"/>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r w:rsidRPr="008A1679">
              <w:rPr>
                <w:rFonts w:cs="Arial"/>
                <w:b/>
                <w:bCs/>
                <w:sz w:val="20"/>
                <w:szCs w:val="20"/>
              </w:rPr>
              <w:t>Relative rates: cases per 100 000 workers per year</w:t>
            </w:r>
          </w:p>
        </w:tc>
      </w:tr>
      <w:tr w:rsidR="00587220" w:rsidRPr="008A1679" w:rsidTr="00354926">
        <w:tc>
          <w:tcPr>
            <w:tcW w:w="1288" w:type="pct"/>
            <w:vMerge/>
            <w:tcBorders>
              <w:left w:val="single" w:sz="8" w:space="0" w:color="808080" w:themeColor="background1" w:themeShade="80"/>
              <w:bottom w:val="single" w:sz="12" w:space="0" w:color="auto"/>
              <w:right w:val="single" w:sz="8" w:space="0" w:color="808080" w:themeColor="background1" w:themeShade="80"/>
            </w:tcBorders>
            <w:vAlign w:val="bottom"/>
          </w:tcPr>
          <w:p w:rsidR="00587220" w:rsidRPr="008A1679" w:rsidRDefault="00587220" w:rsidP="00587220">
            <w:pPr>
              <w:spacing w:before="40" w:after="40"/>
              <w:jc w:val="center"/>
              <w:rPr>
                <w:rFonts w:cs="Arial"/>
                <w:sz w:val="20"/>
                <w:szCs w:val="20"/>
              </w:rPr>
            </w:pPr>
          </w:p>
        </w:tc>
        <w:tc>
          <w:tcPr>
            <w:tcW w:w="800" w:type="pct"/>
            <w:vMerge/>
            <w:tcBorders>
              <w:left w:val="single" w:sz="8" w:space="0" w:color="808080" w:themeColor="background1" w:themeShade="80"/>
              <w:bottom w:val="single" w:sz="12" w:space="0" w:color="auto"/>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p>
        </w:tc>
        <w:tc>
          <w:tcPr>
            <w:tcW w:w="400" w:type="pct"/>
            <w:tcBorders>
              <w:left w:val="single" w:sz="8" w:space="0" w:color="808080" w:themeColor="background1" w:themeShade="80"/>
              <w:bottom w:val="single" w:sz="12" w:space="0" w:color="auto"/>
            </w:tcBorders>
            <w:vAlign w:val="bottom"/>
          </w:tcPr>
          <w:p w:rsidR="00587220" w:rsidRPr="008A1679" w:rsidRDefault="00587220" w:rsidP="00587220">
            <w:pPr>
              <w:spacing w:before="40" w:after="40"/>
              <w:jc w:val="center"/>
              <w:rPr>
                <w:rFonts w:cs="Arial"/>
                <w:b/>
                <w:bCs/>
                <w:sz w:val="20"/>
                <w:szCs w:val="20"/>
              </w:rPr>
            </w:pPr>
            <w:r w:rsidRPr="008A1679">
              <w:rPr>
                <w:rFonts w:cs="Arial"/>
                <w:b/>
                <w:bCs/>
                <w:sz w:val="20"/>
                <w:szCs w:val="20"/>
              </w:rPr>
              <w:t xml:space="preserve">All </w:t>
            </w:r>
            <w:proofErr w:type="spellStart"/>
            <w:r w:rsidRPr="008A1679">
              <w:rPr>
                <w:rFonts w:cs="Arial"/>
                <w:b/>
                <w:bCs/>
                <w:sz w:val="20"/>
                <w:szCs w:val="20"/>
              </w:rPr>
              <w:t>OSD</w:t>
            </w:r>
            <w:proofErr w:type="spellEnd"/>
          </w:p>
        </w:tc>
        <w:tc>
          <w:tcPr>
            <w:tcW w:w="350" w:type="pct"/>
            <w:tcBorders>
              <w:bottom w:val="single" w:sz="12" w:space="0" w:color="auto"/>
            </w:tcBorders>
            <w:vAlign w:val="bottom"/>
          </w:tcPr>
          <w:p w:rsidR="00587220" w:rsidRPr="008A1679" w:rsidRDefault="00587220" w:rsidP="00587220">
            <w:pPr>
              <w:spacing w:before="40" w:after="40"/>
              <w:jc w:val="center"/>
              <w:rPr>
                <w:rFonts w:cs="Arial"/>
                <w:b/>
                <w:bCs/>
                <w:sz w:val="20"/>
                <w:szCs w:val="20"/>
              </w:rPr>
            </w:pPr>
            <w:proofErr w:type="spellStart"/>
            <w:r w:rsidRPr="008A1679">
              <w:rPr>
                <w:rFonts w:cs="Arial"/>
                <w:b/>
                <w:bCs/>
                <w:sz w:val="20"/>
                <w:szCs w:val="20"/>
              </w:rPr>
              <w:t>ICD</w:t>
            </w:r>
            <w:proofErr w:type="spellEnd"/>
          </w:p>
        </w:tc>
        <w:tc>
          <w:tcPr>
            <w:tcW w:w="350" w:type="pct"/>
            <w:tcBorders>
              <w:bottom w:val="single" w:sz="12" w:space="0" w:color="auto"/>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proofErr w:type="spellStart"/>
            <w:r w:rsidRPr="008A1679">
              <w:rPr>
                <w:rFonts w:cs="Arial"/>
                <w:b/>
                <w:bCs/>
                <w:sz w:val="20"/>
                <w:szCs w:val="20"/>
              </w:rPr>
              <w:t>ACD</w:t>
            </w:r>
            <w:proofErr w:type="spellEnd"/>
          </w:p>
        </w:tc>
        <w:tc>
          <w:tcPr>
            <w:tcW w:w="640" w:type="pct"/>
            <w:tcBorders>
              <w:left w:val="single" w:sz="8" w:space="0" w:color="808080" w:themeColor="background1" w:themeShade="80"/>
              <w:bottom w:val="single" w:sz="12" w:space="0" w:color="auto"/>
            </w:tcBorders>
            <w:vAlign w:val="bottom"/>
          </w:tcPr>
          <w:p w:rsidR="00587220" w:rsidRPr="008A1679" w:rsidRDefault="00587220" w:rsidP="00587220">
            <w:pPr>
              <w:spacing w:before="40" w:after="40"/>
              <w:jc w:val="center"/>
              <w:rPr>
                <w:rFonts w:cs="Arial"/>
                <w:b/>
                <w:bCs/>
                <w:sz w:val="20"/>
                <w:szCs w:val="20"/>
              </w:rPr>
            </w:pPr>
            <w:proofErr w:type="spellStart"/>
            <w:r w:rsidRPr="008A1679">
              <w:rPr>
                <w:rFonts w:cs="Arial"/>
                <w:b/>
                <w:bCs/>
                <w:sz w:val="20"/>
                <w:szCs w:val="20"/>
              </w:rPr>
              <w:t>OSD</w:t>
            </w:r>
            <w:proofErr w:type="spellEnd"/>
          </w:p>
        </w:tc>
        <w:tc>
          <w:tcPr>
            <w:tcW w:w="587" w:type="pct"/>
            <w:tcBorders>
              <w:bottom w:val="single" w:sz="12" w:space="0" w:color="auto"/>
            </w:tcBorders>
            <w:vAlign w:val="bottom"/>
          </w:tcPr>
          <w:p w:rsidR="00587220" w:rsidRPr="008A1679" w:rsidRDefault="00587220" w:rsidP="00587220">
            <w:pPr>
              <w:spacing w:before="40" w:after="40"/>
              <w:jc w:val="center"/>
              <w:rPr>
                <w:rFonts w:cs="Arial"/>
                <w:b/>
                <w:bCs/>
                <w:sz w:val="20"/>
                <w:szCs w:val="20"/>
              </w:rPr>
            </w:pPr>
            <w:proofErr w:type="spellStart"/>
            <w:r w:rsidRPr="008A1679">
              <w:rPr>
                <w:rFonts w:cs="Arial"/>
                <w:b/>
                <w:bCs/>
                <w:sz w:val="20"/>
                <w:szCs w:val="20"/>
              </w:rPr>
              <w:t>ICD</w:t>
            </w:r>
            <w:proofErr w:type="spellEnd"/>
          </w:p>
        </w:tc>
        <w:tc>
          <w:tcPr>
            <w:tcW w:w="585" w:type="pct"/>
            <w:tcBorders>
              <w:bottom w:val="single" w:sz="12" w:space="0" w:color="auto"/>
              <w:right w:val="single" w:sz="8" w:space="0" w:color="808080" w:themeColor="background1" w:themeShade="80"/>
            </w:tcBorders>
            <w:vAlign w:val="bottom"/>
          </w:tcPr>
          <w:p w:rsidR="00587220" w:rsidRPr="008A1679" w:rsidRDefault="00587220" w:rsidP="00587220">
            <w:pPr>
              <w:spacing w:before="40" w:after="40"/>
              <w:jc w:val="center"/>
              <w:rPr>
                <w:rFonts w:cs="Arial"/>
                <w:b/>
                <w:bCs/>
                <w:sz w:val="20"/>
                <w:szCs w:val="20"/>
              </w:rPr>
            </w:pPr>
            <w:proofErr w:type="spellStart"/>
            <w:r w:rsidRPr="008A1679">
              <w:rPr>
                <w:rFonts w:cs="Arial"/>
                <w:b/>
                <w:bCs/>
                <w:sz w:val="20"/>
                <w:szCs w:val="20"/>
              </w:rPr>
              <w:t>ACD</w:t>
            </w:r>
            <w:proofErr w:type="spellEnd"/>
          </w:p>
        </w:tc>
      </w:tr>
      <w:tr w:rsidR="00587220" w:rsidRPr="008A1679" w:rsidTr="00354926">
        <w:tc>
          <w:tcPr>
            <w:tcW w:w="1288" w:type="pct"/>
            <w:tcBorders>
              <w:top w:val="single" w:sz="12" w:space="0" w:color="auto"/>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Hair &amp; beauty therapists</w:t>
            </w:r>
          </w:p>
        </w:tc>
        <w:tc>
          <w:tcPr>
            <w:tcW w:w="800" w:type="pct"/>
            <w:tcBorders>
              <w:top w:val="single" w:sz="12" w:space="0" w:color="auto"/>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15</w:t>
            </w:r>
            <w:r w:rsidR="00DF238F" w:rsidRPr="008A1679">
              <w:rPr>
                <w:rFonts w:cs="Arial"/>
                <w:sz w:val="20"/>
                <w:szCs w:val="20"/>
              </w:rPr>
              <w:t xml:space="preserve"> </w:t>
            </w:r>
            <w:r w:rsidRPr="008A1679">
              <w:rPr>
                <w:rFonts w:cs="Arial"/>
                <w:sz w:val="20"/>
                <w:szCs w:val="20"/>
              </w:rPr>
              <w:t>191</w:t>
            </w:r>
          </w:p>
        </w:tc>
        <w:tc>
          <w:tcPr>
            <w:tcW w:w="400" w:type="pct"/>
            <w:tcBorders>
              <w:top w:val="single" w:sz="12" w:space="0" w:color="auto"/>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191</w:t>
            </w:r>
          </w:p>
        </w:tc>
        <w:tc>
          <w:tcPr>
            <w:tcW w:w="350" w:type="pct"/>
            <w:tcBorders>
              <w:top w:val="single" w:sz="12" w:space="0" w:color="auto"/>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49</w:t>
            </w:r>
          </w:p>
        </w:tc>
        <w:tc>
          <w:tcPr>
            <w:tcW w:w="350" w:type="pct"/>
            <w:tcBorders>
              <w:top w:val="single" w:sz="12" w:space="0" w:color="auto"/>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126</w:t>
            </w:r>
          </w:p>
        </w:tc>
        <w:tc>
          <w:tcPr>
            <w:tcW w:w="640" w:type="pct"/>
            <w:tcBorders>
              <w:top w:val="single" w:sz="12" w:space="0" w:color="auto"/>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69.8</w:t>
            </w:r>
          </w:p>
        </w:tc>
        <w:tc>
          <w:tcPr>
            <w:tcW w:w="587" w:type="pct"/>
            <w:tcBorders>
              <w:top w:val="single" w:sz="12" w:space="0" w:color="auto"/>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17.9</w:t>
            </w:r>
          </w:p>
        </w:tc>
        <w:tc>
          <w:tcPr>
            <w:tcW w:w="585" w:type="pct"/>
            <w:tcBorders>
              <w:top w:val="single" w:sz="12" w:space="0" w:color="auto"/>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46.0</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Machine &amp; plant operators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23</w:t>
            </w:r>
            <w:r w:rsidR="00DF238F" w:rsidRPr="008A1679">
              <w:rPr>
                <w:rFonts w:cs="Arial"/>
                <w:sz w:val="20"/>
                <w:szCs w:val="20"/>
              </w:rPr>
              <w:t xml:space="preserve"> </w:t>
            </w:r>
            <w:r w:rsidRPr="008A1679">
              <w:rPr>
                <w:rFonts w:cs="Arial"/>
                <w:sz w:val="20"/>
                <w:szCs w:val="20"/>
              </w:rPr>
              <w:t>475</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161</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64</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65</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38.1</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15.1</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15.4</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Healthcare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124</w:t>
            </w:r>
            <w:r w:rsidR="00DF238F" w:rsidRPr="008A1679">
              <w:rPr>
                <w:rFonts w:cs="Arial"/>
                <w:sz w:val="20"/>
                <w:szCs w:val="20"/>
              </w:rPr>
              <w:t xml:space="preserve"> </w:t>
            </w:r>
            <w:r w:rsidRPr="008A1679">
              <w:rPr>
                <w:rFonts w:cs="Arial"/>
                <w:sz w:val="20"/>
                <w:szCs w:val="20"/>
              </w:rPr>
              <w:t>300</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460</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243</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116</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20.6</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10.9</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5.2</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Automobile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28</w:t>
            </w:r>
            <w:r w:rsidR="00DF238F" w:rsidRPr="008A1679">
              <w:rPr>
                <w:rFonts w:cs="Arial"/>
                <w:sz w:val="20"/>
                <w:szCs w:val="20"/>
              </w:rPr>
              <w:t xml:space="preserve"> </w:t>
            </w:r>
            <w:r w:rsidRPr="008A1679">
              <w:rPr>
                <w:rFonts w:cs="Arial"/>
                <w:sz w:val="20"/>
                <w:szCs w:val="20"/>
              </w:rPr>
              <w:t>729</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92</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66</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18</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17.8</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12.8</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3.5</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Science</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11</w:t>
            </w:r>
            <w:r w:rsidR="00DF238F" w:rsidRPr="008A1679">
              <w:rPr>
                <w:rFonts w:cs="Arial"/>
                <w:sz w:val="20"/>
                <w:szCs w:val="20"/>
              </w:rPr>
              <w:t xml:space="preserve"> </w:t>
            </w:r>
            <w:r w:rsidRPr="008A1679">
              <w:rPr>
                <w:rFonts w:cs="Arial"/>
                <w:sz w:val="20"/>
                <w:szCs w:val="20"/>
              </w:rPr>
              <w:t>366</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36</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16</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17.6</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7.8</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6.3</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Engineering</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29</w:t>
            </w:r>
            <w:r w:rsidR="00DF238F" w:rsidRPr="008A1679">
              <w:rPr>
                <w:rFonts w:cs="Arial"/>
                <w:sz w:val="20"/>
                <w:szCs w:val="20"/>
              </w:rPr>
              <w:t xml:space="preserve"> </w:t>
            </w:r>
            <w:r w:rsidRPr="008A1679">
              <w:rPr>
                <w:rFonts w:cs="Arial"/>
                <w:sz w:val="20"/>
                <w:szCs w:val="20"/>
              </w:rPr>
              <w:t>582</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76</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41</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24</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14.3</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7.7</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4.5</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Trades persons &amp; labourers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226</w:t>
            </w:r>
            <w:r w:rsidR="00DF238F" w:rsidRPr="008A1679">
              <w:rPr>
                <w:rFonts w:cs="Arial"/>
                <w:sz w:val="20"/>
                <w:szCs w:val="20"/>
              </w:rPr>
              <w:t xml:space="preserve"> </w:t>
            </w:r>
            <w:r w:rsidRPr="008A1679">
              <w:rPr>
                <w:rFonts w:cs="Arial"/>
                <w:sz w:val="20"/>
                <w:szCs w:val="20"/>
              </w:rPr>
              <w:t>152</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560</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231</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229</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13.8</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5.7</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5.6</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Photographic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2897</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7</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13.4</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3.8</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9.6</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Food handlers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106</w:t>
            </w:r>
            <w:r w:rsidR="00DF238F" w:rsidRPr="008A1679">
              <w:rPr>
                <w:rFonts w:cs="Arial"/>
                <w:sz w:val="20"/>
                <w:szCs w:val="20"/>
              </w:rPr>
              <w:t xml:space="preserve"> </w:t>
            </w:r>
            <w:r w:rsidRPr="008A1679">
              <w:rPr>
                <w:rFonts w:cs="Arial"/>
                <w:sz w:val="20"/>
                <w:szCs w:val="20"/>
              </w:rPr>
              <w:t>396</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219</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121</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40</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11.4</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6.3</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2.1</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Veterinary</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DF238F" w:rsidP="00587220">
            <w:pPr>
              <w:spacing w:before="40" w:after="40"/>
              <w:jc w:val="center"/>
              <w:rPr>
                <w:rFonts w:cs="Arial"/>
                <w:sz w:val="20"/>
                <w:szCs w:val="20"/>
              </w:rPr>
            </w:pPr>
            <w:r w:rsidRPr="008A1679">
              <w:rPr>
                <w:rFonts w:cs="Arial"/>
                <w:sz w:val="20"/>
                <w:szCs w:val="20"/>
              </w:rPr>
              <w:t>2</w:t>
            </w:r>
            <w:r w:rsidR="00956B66" w:rsidRPr="008A1679">
              <w:rPr>
                <w:rFonts w:cs="Arial"/>
                <w:sz w:val="20"/>
                <w:szCs w:val="20"/>
              </w:rPr>
              <w:t>488</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11.2</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6.7</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Process workers &amp; packers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66</w:t>
            </w:r>
            <w:r w:rsidR="00DF238F" w:rsidRPr="008A1679">
              <w:rPr>
                <w:rFonts w:cs="Arial"/>
                <w:sz w:val="20"/>
                <w:szCs w:val="20"/>
              </w:rPr>
              <w:t xml:space="preserve"> </w:t>
            </w:r>
            <w:r w:rsidRPr="008A1679">
              <w:rPr>
                <w:rFonts w:cs="Arial"/>
                <w:sz w:val="20"/>
                <w:szCs w:val="20"/>
              </w:rPr>
              <w:t>031</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97</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48</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34</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8.2</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4.0</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2.9</w:t>
            </w:r>
          </w:p>
        </w:tc>
      </w:tr>
      <w:tr w:rsidR="00587220" w:rsidRPr="008A1679" w:rsidTr="00354926">
        <w:trPr>
          <w:trHeight w:val="304"/>
        </w:trPr>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Cleaners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44</w:t>
            </w:r>
            <w:r w:rsidR="00DF238F" w:rsidRPr="008A1679">
              <w:rPr>
                <w:rFonts w:cs="Arial"/>
                <w:sz w:val="20"/>
                <w:szCs w:val="20"/>
              </w:rPr>
              <w:t xml:space="preserve"> </w:t>
            </w:r>
            <w:r w:rsidRPr="008A1679">
              <w:rPr>
                <w:rFonts w:cs="Arial"/>
                <w:sz w:val="20"/>
                <w:szCs w:val="20"/>
              </w:rPr>
              <w:t>713</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49</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27</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15</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6.1</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3.4</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1.9</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Production managers &amp; inspectors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30</w:t>
            </w:r>
            <w:r w:rsidR="00DF238F" w:rsidRPr="008A1679">
              <w:rPr>
                <w:rFonts w:cs="Arial"/>
                <w:sz w:val="20"/>
                <w:szCs w:val="20"/>
              </w:rPr>
              <w:t xml:space="preserve"> </w:t>
            </w:r>
            <w:r w:rsidRPr="008A1679">
              <w:rPr>
                <w:rFonts w:cs="Arial"/>
                <w:sz w:val="20"/>
                <w:szCs w:val="20"/>
              </w:rPr>
              <w:t>535</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23</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14</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4.2</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0.5</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2.5</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Farmers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83</w:t>
            </w:r>
            <w:r w:rsidR="00DF238F" w:rsidRPr="008A1679">
              <w:rPr>
                <w:rFonts w:cs="Arial"/>
                <w:sz w:val="20"/>
                <w:szCs w:val="20"/>
              </w:rPr>
              <w:t xml:space="preserve"> </w:t>
            </w:r>
            <w:r w:rsidRPr="008A1679">
              <w:rPr>
                <w:rFonts w:cs="Arial"/>
                <w:sz w:val="20"/>
                <w:szCs w:val="20"/>
              </w:rPr>
              <w:t>177</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53</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16</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28</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3.5</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1.9</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Childcare</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17</w:t>
            </w:r>
            <w:r w:rsidR="00DF238F" w:rsidRPr="008A1679">
              <w:rPr>
                <w:rFonts w:cs="Arial"/>
                <w:sz w:val="20"/>
                <w:szCs w:val="20"/>
              </w:rPr>
              <w:t xml:space="preserve"> </w:t>
            </w:r>
            <w:r w:rsidRPr="008A1679">
              <w:rPr>
                <w:rFonts w:cs="Arial"/>
                <w:sz w:val="20"/>
                <w:szCs w:val="20"/>
              </w:rPr>
              <w:t>528</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0.3</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0.6</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Transport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57</w:t>
            </w:r>
            <w:r w:rsidR="00DF238F" w:rsidRPr="008A1679">
              <w:rPr>
                <w:rFonts w:cs="Arial"/>
                <w:sz w:val="20"/>
                <w:szCs w:val="20"/>
              </w:rPr>
              <w:t xml:space="preserve"> </w:t>
            </w:r>
            <w:r w:rsidRPr="008A1679">
              <w:rPr>
                <w:rFonts w:cs="Arial"/>
                <w:sz w:val="20"/>
                <w:szCs w:val="20"/>
              </w:rPr>
              <w:t>453</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4</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8</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1.3</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0.4</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0.8</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Emergency workers-other</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14</w:t>
            </w:r>
            <w:r w:rsidR="00DF238F" w:rsidRPr="008A1679">
              <w:rPr>
                <w:rFonts w:cs="Arial"/>
                <w:sz w:val="20"/>
                <w:szCs w:val="20"/>
              </w:rPr>
              <w:t xml:space="preserve"> </w:t>
            </w:r>
            <w:r w:rsidRPr="008A1679">
              <w:rPr>
                <w:rFonts w:cs="Arial"/>
                <w:sz w:val="20"/>
                <w:szCs w:val="20"/>
              </w:rPr>
              <w:t>669</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3</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0.4</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Cash handlers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227</w:t>
            </w:r>
            <w:r w:rsidR="00DF238F" w:rsidRPr="008A1679">
              <w:rPr>
                <w:rFonts w:cs="Arial"/>
                <w:sz w:val="20"/>
                <w:szCs w:val="20"/>
              </w:rPr>
              <w:t xml:space="preserve"> </w:t>
            </w:r>
            <w:r w:rsidRPr="008A1679">
              <w:rPr>
                <w:rFonts w:cs="Arial"/>
                <w:sz w:val="20"/>
                <w:szCs w:val="20"/>
              </w:rPr>
              <w:t>822</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28</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10</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8</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0.7</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0.2</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0.2</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Teachers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103</w:t>
            </w:r>
            <w:r w:rsidR="00DF238F" w:rsidRPr="008A1679">
              <w:rPr>
                <w:rFonts w:cs="Arial"/>
                <w:sz w:val="20"/>
                <w:szCs w:val="20"/>
              </w:rPr>
              <w:t xml:space="preserve"> </w:t>
            </w:r>
            <w:r w:rsidRPr="008A1679">
              <w:rPr>
                <w:rFonts w:cs="Arial"/>
                <w:sz w:val="20"/>
                <w:szCs w:val="20"/>
              </w:rPr>
              <w:t>539</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6</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5</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0.6</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0.3</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0.3</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Clerical &amp; managerial</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DF238F">
            <w:pPr>
              <w:spacing w:before="40" w:after="40"/>
              <w:jc w:val="center"/>
              <w:rPr>
                <w:rFonts w:cs="Arial"/>
                <w:sz w:val="20"/>
                <w:szCs w:val="20"/>
              </w:rPr>
            </w:pPr>
            <w:r w:rsidRPr="008A1679">
              <w:rPr>
                <w:rFonts w:cs="Arial"/>
                <w:sz w:val="20"/>
                <w:szCs w:val="20"/>
              </w:rPr>
              <w:t>565</w:t>
            </w:r>
            <w:r w:rsidR="00DF238F" w:rsidRPr="008A1679">
              <w:rPr>
                <w:rFonts w:cs="Arial"/>
                <w:sz w:val="20"/>
                <w:szCs w:val="20"/>
              </w:rPr>
              <w:t xml:space="preserve"> </w:t>
            </w:r>
            <w:r w:rsidRPr="008A1679">
              <w:rPr>
                <w:rFonts w:cs="Arial"/>
                <w:sz w:val="20"/>
                <w:szCs w:val="20"/>
              </w:rPr>
              <w:t>190</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23</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11</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12</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0.2</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0.1</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1.2</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Social welfare</w:t>
            </w:r>
            <w:r w:rsidR="008F2343" w:rsidRPr="008A1679">
              <w:rPr>
                <w:rFonts w:cs="Arial"/>
                <w:sz w:val="20"/>
                <w:szCs w:val="20"/>
              </w:rPr>
              <w:t xml:space="preserve"> workers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DF238F" w:rsidP="00587220">
            <w:pPr>
              <w:spacing w:before="40" w:after="40"/>
              <w:jc w:val="center"/>
              <w:rPr>
                <w:rFonts w:cs="Arial"/>
                <w:sz w:val="20"/>
                <w:szCs w:val="20"/>
              </w:rPr>
            </w:pPr>
            <w:r w:rsidRPr="008A1679">
              <w:rPr>
                <w:rFonts w:cs="Arial"/>
                <w:sz w:val="20"/>
                <w:szCs w:val="20"/>
              </w:rPr>
              <w:t xml:space="preserve">18 </w:t>
            </w:r>
            <w:r w:rsidR="00956B66" w:rsidRPr="008A1679">
              <w:rPr>
                <w:rFonts w:cs="Arial"/>
                <w:sz w:val="20"/>
                <w:szCs w:val="20"/>
              </w:rPr>
              <w:t>963</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350"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587" w:type="pct"/>
            <w:tcBorders>
              <w:top w:val="single" w:sz="4" w:space="0" w:color="808080" w:themeColor="background1" w:themeShade="80"/>
              <w:bottom w:val="single" w:sz="4"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0</w:t>
            </w:r>
          </w:p>
        </w:tc>
      </w:tr>
      <w:tr w:rsidR="008F2343" w:rsidRPr="008A1679" w:rsidTr="00354926">
        <w:tc>
          <w:tcPr>
            <w:tcW w:w="1288"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8F2343" w:rsidRPr="008A1679" w:rsidRDefault="008F2343" w:rsidP="00956B66">
            <w:pPr>
              <w:spacing w:before="40" w:after="40"/>
              <w:rPr>
                <w:rFonts w:cs="Arial"/>
                <w:sz w:val="20"/>
                <w:szCs w:val="20"/>
              </w:rPr>
            </w:pPr>
            <w:r w:rsidRPr="008A1679">
              <w:rPr>
                <w:rFonts w:cs="Arial"/>
                <w:sz w:val="20"/>
                <w:szCs w:val="20"/>
              </w:rPr>
              <w:t>Miscellaneous / Others</w:t>
            </w:r>
          </w:p>
        </w:tc>
        <w:tc>
          <w:tcPr>
            <w:tcW w:w="800" w:type="pct"/>
            <w:tcBorders>
              <w:top w:val="single" w:sz="4" w:space="0" w:color="808080" w:themeColor="background1" w:themeShade="80"/>
              <w:left w:val="single" w:sz="8" w:space="0" w:color="808080" w:themeColor="background1" w:themeShade="80"/>
              <w:bottom w:val="single" w:sz="4" w:space="0" w:color="808080" w:themeColor="background1" w:themeShade="80"/>
              <w:right w:val="single" w:sz="8" w:space="0" w:color="808080" w:themeColor="background1" w:themeShade="80"/>
            </w:tcBorders>
          </w:tcPr>
          <w:p w:rsidR="008F2343" w:rsidRPr="008A1679" w:rsidRDefault="008F2343" w:rsidP="00587220">
            <w:pPr>
              <w:spacing w:before="40" w:after="40"/>
              <w:jc w:val="center"/>
              <w:rPr>
                <w:rFonts w:cs="Arial"/>
                <w:sz w:val="20"/>
                <w:szCs w:val="20"/>
              </w:rPr>
            </w:pPr>
            <w:r w:rsidRPr="008A1679">
              <w:rPr>
                <w:rFonts w:cs="Arial"/>
                <w:sz w:val="20"/>
                <w:szCs w:val="20"/>
              </w:rPr>
              <w:t>149 181</w:t>
            </w:r>
          </w:p>
        </w:tc>
        <w:tc>
          <w:tcPr>
            <w:tcW w:w="40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37</w:t>
            </w:r>
          </w:p>
        </w:tc>
        <w:tc>
          <w:tcPr>
            <w:tcW w:w="350" w:type="pct"/>
            <w:tcBorders>
              <w:top w:val="single" w:sz="4" w:space="0" w:color="808080" w:themeColor="background1" w:themeShade="80"/>
              <w:bottom w:val="single" w:sz="4"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15</w:t>
            </w:r>
          </w:p>
        </w:tc>
        <w:tc>
          <w:tcPr>
            <w:tcW w:w="350"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16</w:t>
            </w:r>
          </w:p>
        </w:tc>
        <w:tc>
          <w:tcPr>
            <w:tcW w:w="640" w:type="pct"/>
            <w:tcBorders>
              <w:top w:val="single" w:sz="4" w:space="0" w:color="808080" w:themeColor="background1" w:themeShade="80"/>
              <w:left w:val="single" w:sz="8" w:space="0" w:color="808080" w:themeColor="background1" w:themeShade="80"/>
              <w:bottom w:val="single" w:sz="4"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1.4</w:t>
            </w:r>
          </w:p>
        </w:tc>
        <w:tc>
          <w:tcPr>
            <w:tcW w:w="587" w:type="pct"/>
            <w:tcBorders>
              <w:top w:val="single" w:sz="4" w:space="0" w:color="808080" w:themeColor="background1" w:themeShade="80"/>
              <w:bottom w:val="single" w:sz="4"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0.6</w:t>
            </w:r>
          </w:p>
        </w:tc>
        <w:tc>
          <w:tcPr>
            <w:tcW w:w="585" w:type="pct"/>
            <w:tcBorders>
              <w:top w:val="single" w:sz="4" w:space="0" w:color="808080" w:themeColor="background1" w:themeShade="80"/>
              <w:bottom w:val="single" w:sz="4" w:space="0" w:color="808080" w:themeColor="background1" w:themeShade="80"/>
              <w:right w:val="single" w:sz="8" w:space="0" w:color="808080" w:themeColor="background1" w:themeShade="80"/>
            </w:tcBorders>
          </w:tcPr>
          <w:p w:rsidR="008F2343" w:rsidRPr="008A1679" w:rsidRDefault="008F2343" w:rsidP="00956B66">
            <w:pPr>
              <w:spacing w:before="40" w:after="40"/>
              <w:jc w:val="center"/>
              <w:rPr>
                <w:rFonts w:cs="Arial"/>
                <w:sz w:val="20"/>
                <w:szCs w:val="20"/>
              </w:rPr>
            </w:pPr>
            <w:r w:rsidRPr="008A1679">
              <w:rPr>
                <w:rFonts w:cs="Arial"/>
                <w:sz w:val="20"/>
                <w:szCs w:val="20"/>
              </w:rPr>
              <w:t>0.6</w:t>
            </w:r>
          </w:p>
        </w:tc>
      </w:tr>
      <w:tr w:rsidR="00587220" w:rsidRPr="008A1679" w:rsidTr="00354926">
        <w:tc>
          <w:tcPr>
            <w:tcW w:w="1288" w:type="pct"/>
            <w:tcBorders>
              <w:top w:val="single" w:sz="4" w:space="0" w:color="808080" w:themeColor="background1" w:themeShade="80"/>
              <w:left w:val="single" w:sz="8" w:space="0" w:color="808080" w:themeColor="background1" w:themeShade="80"/>
              <w:bottom w:val="single" w:sz="12" w:space="0" w:color="auto"/>
              <w:right w:val="single" w:sz="8" w:space="0" w:color="808080" w:themeColor="background1" w:themeShade="80"/>
            </w:tcBorders>
          </w:tcPr>
          <w:p w:rsidR="00956B66" w:rsidRPr="008A1679" w:rsidRDefault="00956B66" w:rsidP="00956B66">
            <w:pPr>
              <w:spacing w:before="40" w:after="40"/>
              <w:rPr>
                <w:rFonts w:cs="Arial"/>
                <w:sz w:val="20"/>
                <w:szCs w:val="20"/>
              </w:rPr>
            </w:pPr>
            <w:r w:rsidRPr="008A1679">
              <w:rPr>
                <w:rFonts w:cs="Arial"/>
                <w:sz w:val="20"/>
                <w:szCs w:val="20"/>
              </w:rPr>
              <w:t>Missing</w:t>
            </w:r>
          </w:p>
        </w:tc>
        <w:tc>
          <w:tcPr>
            <w:tcW w:w="800" w:type="pct"/>
            <w:tcBorders>
              <w:top w:val="single" w:sz="4" w:space="0" w:color="808080" w:themeColor="background1" w:themeShade="80"/>
              <w:left w:val="single" w:sz="8" w:space="0" w:color="808080" w:themeColor="background1" w:themeShade="80"/>
              <w:bottom w:val="single" w:sz="12" w:space="0" w:color="auto"/>
              <w:right w:val="single" w:sz="8" w:space="0" w:color="808080" w:themeColor="background1" w:themeShade="80"/>
            </w:tcBorders>
          </w:tcPr>
          <w:p w:rsidR="00956B66" w:rsidRPr="008A1679" w:rsidRDefault="00E57901" w:rsidP="00587220">
            <w:pPr>
              <w:spacing w:before="40" w:after="40"/>
              <w:jc w:val="center"/>
              <w:rPr>
                <w:rFonts w:cs="Arial"/>
                <w:sz w:val="20"/>
                <w:szCs w:val="20"/>
              </w:rPr>
            </w:pPr>
            <w:r w:rsidRPr="008A1679">
              <w:rPr>
                <w:rFonts w:cs="Arial"/>
                <w:sz w:val="20"/>
                <w:szCs w:val="20"/>
              </w:rPr>
              <w:t>-</w:t>
            </w:r>
          </w:p>
        </w:tc>
        <w:tc>
          <w:tcPr>
            <w:tcW w:w="400" w:type="pct"/>
            <w:tcBorders>
              <w:top w:val="single" w:sz="4" w:space="0" w:color="808080" w:themeColor="background1" w:themeShade="80"/>
              <w:left w:val="single" w:sz="8" w:space="0" w:color="808080" w:themeColor="background1" w:themeShade="80"/>
              <w:bottom w:val="single" w:sz="12" w:space="0" w:color="auto"/>
            </w:tcBorders>
          </w:tcPr>
          <w:p w:rsidR="00956B66" w:rsidRPr="008A1679" w:rsidRDefault="00956B66" w:rsidP="00956B66">
            <w:pPr>
              <w:spacing w:before="40" w:after="40"/>
              <w:jc w:val="center"/>
              <w:rPr>
                <w:rFonts w:cs="Arial"/>
                <w:sz w:val="20"/>
                <w:szCs w:val="20"/>
              </w:rPr>
            </w:pPr>
            <w:r w:rsidRPr="008A1679">
              <w:rPr>
                <w:rFonts w:cs="Arial"/>
                <w:sz w:val="20"/>
                <w:szCs w:val="20"/>
              </w:rPr>
              <w:t>30</w:t>
            </w:r>
          </w:p>
        </w:tc>
        <w:tc>
          <w:tcPr>
            <w:tcW w:w="350" w:type="pct"/>
            <w:tcBorders>
              <w:top w:val="single" w:sz="4" w:space="0" w:color="808080" w:themeColor="background1" w:themeShade="80"/>
              <w:bottom w:val="single" w:sz="12" w:space="0" w:color="auto"/>
            </w:tcBorders>
          </w:tcPr>
          <w:p w:rsidR="00956B66" w:rsidRPr="008A1679" w:rsidRDefault="00956B66" w:rsidP="00956B66">
            <w:pPr>
              <w:spacing w:before="40" w:after="40"/>
              <w:jc w:val="center"/>
              <w:rPr>
                <w:rFonts w:cs="Arial"/>
                <w:sz w:val="20"/>
                <w:szCs w:val="20"/>
              </w:rPr>
            </w:pPr>
            <w:r w:rsidRPr="008A1679">
              <w:rPr>
                <w:rFonts w:cs="Arial"/>
                <w:sz w:val="20"/>
                <w:szCs w:val="20"/>
              </w:rPr>
              <w:t>15</w:t>
            </w:r>
          </w:p>
        </w:tc>
        <w:tc>
          <w:tcPr>
            <w:tcW w:w="350" w:type="pct"/>
            <w:tcBorders>
              <w:top w:val="single" w:sz="4" w:space="0" w:color="808080" w:themeColor="background1" w:themeShade="80"/>
              <w:bottom w:val="single" w:sz="12" w:space="0" w:color="auto"/>
              <w:right w:val="single" w:sz="8" w:space="0" w:color="808080" w:themeColor="background1" w:themeShade="80"/>
            </w:tcBorders>
          </w:tcPr>
          <w:p w:rsidR="00956B66" w:rsidRPr="008A1679" w:rsidRDefault="00956B66" w:rsidP="00956B66">
            <w:pPr>
              <w:spacing w:before="40" w:after="40"/>
              <w:jc w:val="center"/>
              <w:rPr>
                <w:rFonts w:cs="Arial"/>
                <w:sz w:val="20"/>
                <w:szCs w:val="20"/>
              </w:rPr>
            </w:pPr>
            <w:r w:rsidRPr="008A1679">
              <w:rPr>
                <w:rFonts w:cs="Arial"/>
                <w:sz w:val="20"/>
                <w:szCs w:val="20"/>
              </w:rPr>
              <w:t>26</w:t>
            </w:r>
          </w:p>
        </w:tc>
        <w:tc>
          <w:tcPr>
            <w:tcW w:w="640" w:type="pct"/>
            <w:tcBorders>
              <w:top w:val="single" w:sz="4" w:space="0" w:color="808080" w:themeColor="background1" w:themeShade="80"/>
              <w:left w:val="single" w:sz="8" w:space="0" w:color="808080" w:themeColor="background1" w:themeShade="80"/>
              <w:bottom w:val="single" w:sz="12" w:space="0" w:color="auto"/>
            </w:tcBorders>
          </w:tcPr>
          <w:p w:rsidR="00956B66" w:rsidRPr="008A1679" w:rsidRDefault="00E57901" w:rsidP="00956B66">
            <w:pPr>
              <w:spacing w:before="40" w:after="40"/>
              <w:jc w:val="center"/>
              <w:rPr>
                <w:rFonts w:cs="Arial"/>
                <w:sz w:val="20"/>
                <w:szCs w:val="20"/>
              </w:rPr>
            </w:pPr>
            <w:r w:rsidRPr="008A1679">
              <w:rPr>
                <w:rFonts w:cs="Arial"/>
                <w:sz w:val="20"/>
                <w:szCs w:val="20"/>
              </w:rPr>
              <w:t>-</w:t>
            </w:r>
          </w:p>
        </w:tc>
        <w:tc>
          <w:tcPr>
            <w:tcW w:w="587" w:type="pct"/>
            <w:tcBorders>
              <w:top w:val="single" w:sz="4" w:space="0" w:color="808080" w:themeColor="background1" w:themeShade="80"/>
              <w:bottom w:val="single" w:sz="12" w:space="0" w:color="auto"/>
            </w:tcBorders>
          </w:tcPr>
          <w:p w:rsidR="00956B66" w:rsidRPr="008A1679" w:rsidRDefault="00E57901" w:rsidP="00956B66">
            <w:pPr>
              <w:spacing w:before="40" w:after="40"/>
              <w:jc w:val="center"/>
              <w:rPr>
                <w:rFonts w:cs="Arial"/>
                <w:sz w:val="20"/>
                <w:szCs w:val="20"/>
              </w:rPr>
            </w:pPr>
            <w:r w:rsidRPr="008A1679">
              <w:rPr>
                <w:rFonts w:cs="Arial"/>
                <w:sz w:val="20"/>
                <w:szCs w:val="20"/>
              </w:rPr>
              <w:t>-</w:t>
            </w:r>
          </w:p>
        </w:tc>
        <w:tc>
          <w:tcPr>
            <w:tcW w:w="585" w:type="pct"/>
            <w:tcBorders>
              <w:top w:val="single" w:sz="4" w:space="0" w:color="808080" w:themeColor="background1" w:themeShade="80"/>
              <w:bottom w:val="single" w:sz="12" w:space="0" w:color="auto"/>
              <w:right w:val="single" w:sz="8" w:space="0" w:color="808080" w:themeColor="background1" w:themeShade="80"/>
            </w:tcBorders>
          </w:tcPr>
          <w:p w:rsidR="00956B66" w:rsidRPr="008A1679" w:rsidRDefault="00E57901" w:rsidP="00956B66">
            <w:pPr>
              <w:spacing w:before="40" w:after="40"/>
              <w:jc w:val="center"/>
              <w:rPr>
                <w:rFonts w:cs="Arial"/>
                <w:sz w:val="20"/>
                <w:szCs w:val="20"/>
              </w:rPr>
            </w:pPr>
            <w:r w:rsidRPr="008A1679">
              <w:rPr>
                <w:rFonts w:cs="Arial"/>
                <w:sz w:val="20"/>
                <w:szCs w:val="20"/>
              </w:rPr>
              <w:t>-</w:t>
            </w:r>
          </w:p>
        </w:tc>
      </w:tr>
    </w:tbl>
    <w:p w:rsidR="00956B66" w:rsidRPr="008A1679" w:rsidRDefault="00956B66" w:rsidP="00945AD4">
      <w:pPr>
        <w:pStyle w:val="Heading2"/>
        <w:sectPr w:rsidR="00956B66" w:rsidRPr="008A1679" w:rsidSect="00956B66">
          <w:footerReference w:type="default" r:id="rId15"/>
          <w:pgSz w:w="16840" w:h="11907" w:orient="landscape" w:code="9"/>
          <w:pgMar w:top="1440" w:right="1440" w:bottom="1440" w:left="1440" w:header="709" w:footer="709" w:gutter="0"/>
          <w:cols w:space="708"/>
          <w:docGrid w:linePitch="360"/>
        </w:sectPr>
      </w:pPr>
    </w:p>
    <w:p w:rsidR="00594FD0" w:rsidRPr="008A1679" w:rsidRDefault="00594FD0" w:rsidP="00945AD4">
      <w:pPr>
        <w:pStyle w:val="Heading2"/>
      </w:pPr>
      <w:bookmarkStart w:id="42" w:name="_Toc310506135"/>
      <w:r w:rsidRPr="008A1679">
        <w:lastRenderedPageBreak/>
        <w:t>Rates of occupational skin disease</w:t>
      </w:r>
      <w:bookmarkEnd w:id="42"/>
    </w:p>
    <w:p w:rsidR="00594FD0" w:rsidRPr="008A1679" w:rsidRDefault="00B967B9" w:rsidP="00945AD4">
      <w:r>
        <w:fldChar w:fldCharType="begin"/>
      </w:r>
      <w:r>
        <w:instrText xml:space="preserve"> REF _Ref309716788 \h </w:instrText>
      </w:r>
      <w:r>
        <w:fldChar w:fldCharType="separate"/>
      </w:r>
      <w:r w:rsidR="005406BD" w:rsidRPr="008A1679">
        <w:t xml:space="preserve">Table </w:t>
      </w:r>
      <w:r w:rsidR="005406BD" w:rsidRPr="008A1679">
        <w:rPr>
          <w:noProof/>
        </w:rPr>
        <w:t>8</w:t>
      </w:r>
      <w:r>
        <w:fldChar w:fldCharType="end"/>
      </w:r>
      <w:r w:rsidR="00354926" w:rsidRPr="008A1679">
        <w:t xml:space="preserve"> </w:t>
      </w:r>
      <w:r w:rsidR="00E57901" w:rsidRPr="008A1679">
        <w:t>presents the</w:t>
      </w:r>
      <w:r w:rsidR="00594FD0" w:rsidRPr="008A1679">
        <w:t xml:space="preserve"> occupations with the highest </w:t>
      </w:r>
      <w:r w:rsidR="00413E26" w:rsidRPr="008A1679">
        <w:t xml:space="preserve">relative </w:t>
      </w:r>
      <w:r w:rsidR="004027E8" w:rsidRPr="008A1679">
        <w:t>rates</w:t>
      </w:r>
      <w:r w:rsidR="008F7470" w:rsidRPr="008A1679">
        <w:t xml:space="preserve"> </w:t>
      </w:r>
      <w:r w:rsidR="00594FD0" w:rsidRPr="008A1679">
        <w:t xml:space="preserve">of </w:t>
      </w:r>
      <w:proofErr w:type="spellStart"/>
      <w:r w:rsidR="00594FD0" w:rsidRPr="008A1679">
        <w:t>OSD</w:t>
      </w:r>
      <w:proofErr w:type="spellEnd"/>
      <w:r w:rsidR="007510BC" w:rsidRPr="008A1679">
        <w:t xml:space="preserve"> referred to</w:t>
      </w:r>
      <w:r w:rsidR="004027E8" w:rsidRPr="008A1679">
        <w:t xml:space="preserve"> our clinic</w:t>
      </w:r>
      <w:r w:rsidR="00594FD0" w:rsidRPr="008A1679">
        <w:t xml:space="preserve">. </w:t>
      </w:r>
      <w:r w:rsidR="004F7193" w:rsidRPr="008A1679">
        <w:t xml:space="preserve">This is contributed to by </w:t>
      </w:r>
      <w:proofErr w:type="spellStart"/>
      <w:r w:rsidR="004F7193" w:rsidRPr="008A1679">
        <w:t>ICD</w:t>
      </w:r>
      <w:proofErr w:type="spellEnd"/>
      <w:r w:rsidR="004F7193" w:rsidRPr="008A1679">
        <w:t xml:space="preserve"> and </w:t>
      </w:r>
      <w:proofErr w:type="spellStart"/>
      <w:r w:rsidR="004F7193" w:rsidRPr="008A1679">
        <w:t>ACD</w:t>
      </w:r>
      <w:proofErr w:type="spellEnd"/>
      <w:r w:rsidR="004F7193" w:rsidRPr="008A1679">
        <w:t xml:space="preserve"> but also other causes such as contact </w:t>
      </w:r>
      <w:proofErr w:type="spellStart"/>
      <w:r w:rsidR="004F7193" w:rsidRPr="008A1679">
        <w:t>urticaria</w:t>
      </w:r>
      <w:proofErr w:type="spellEnd"/>
      <w:r w:rsidR="004F7193" w:rsidRPr="008A1679">
        <w:t xml:space="preserve"> and latex allergy. </w:t>
      </w:r>
      <w:r w:rsidR="00594FD0" w:rsidRPr="008A1679">
        <w:t xml:space="preserve">People in the hair and beauty professions had the highest </w:t>
      </w:r>
      <w:r w:rsidR="002212C2" w:rsidRPr="008A1679">
        <w:t xml:space="preserve">relative </w:t>
      </w:r>
      <w:r w:rsidR="00594FD0" w:rsidRPr="008A1679">
        <w:t>rate</w:t>
      </w:r>
      <w:r w:rsidR="00E57901" w:rsidRPr="008A1679">
        <w:t xml:space="preserve"> of </w:t>
      </w:r>
      <w:proofErr w:type="spellStart"/>
      <w:r w:rsidR="00E57901" w:rsidRPr="008A1679">
        <w:t>OSD</w:t>
      </w:r>
      <w:proofErr w:type="spellEnd"/>
      <w:r w:rsidR="00354926" w:rsidRPr="008A1679">
        <w:t xml:space="preserve">, with </w:t>
      </w:r>
      <w:r w:rsidR="00594FD0" w:rsidRPr="008A1679">
        <w:t xml:space="preserve">nearly 70 </w:t>
      </w:r>
      <w:r w:rsidR="00354926" w:rsidRPr="008A1679">
        <w:t xml:space="preserve">cases </w:t>
      </w:r>
      <w:r w:rsidR="00594FD0" w:rsidRPr="008A1679">
        <w:t>per 100</w:t>
      </w:r>
      <w:r w:rsidR="00354926" w:rsidRPr="008A1679">
        <w:t xml:space="preserve"> </w:t>
      </w:r>
      <w:r w:rsidR="00594FD0" w:rsidRPr="008A1679">
        <w:t>000</w:t>
      </w:r>
      <w:r w:rsidR="00BE26CB" w:rsidRPr="008A1679">
        <w:t xml:space="preserve"> </w:t>
      </w:r>
      <w:r w:rsidR="00354926" w:rsidRPr="008A1679">
        <w:t xml:space="preserve">workers each </w:t>
      </w:r>
      <w:r w:rsidR="00BE26CB" w:rsidRPr="008A1679">
        <w:t>year</w:t>
      </w:r>
      <w:r w:rsidR="00594FD0" w:rsidRPr="008A1679">
        <w:t xml:space="preserve">, followed by machine and plant operators and automobile workers. </w:t>
      </w:r>
    </w:p>
    <w:p w:rsidR="00F62FE8" w:rsidRPr="008A1679" w:rsidRDefault="00F62FE8" w:rsidP="00945AD4">
      <w:r w:rsidRPr="008A1679">
        <w:t>The</w:t>
      </w:r>
      <w:r w:rsidR="00E609CB" w:rsidRPr="008A1679">
        <w:t xml:space="preserve">se are not true incidence rates. </w:t>
      </w:r>
      <w:r w:rsidR="00354926" w:rsidRPr="008A1679">
        <w:t>However, since the Occupational Dermatology Clinic is the only specialised occupational dermatology clinic in Victoria,</w:t>
      </w:r>
      <w:r w:rsidRPr="008A1679">
        <w:t xml:space="preserve"> we believe that approximately 80% of workers with </w:t>
      </w:r>
      <w:r w:rsidR="00807A08" w:rsidRPr="008A1679">
        <w:t xml:space="preserve">moderate to severe </w:t>
      </w:r>
      <w:r w:rsidRPr="008A1679">
        <w:t>suspected occupational dermatitis are referred to our clinic for assessment</w:t>
      </w:r>
      <w:r w:rsidR="00354926" w:rsidRPr="008A1679">
        <w:t xml:space="preserve">. </w:t>
      </w:r>
      <w:r w:rsidR="00DF238F" w:rsidRPr="008A1679">
        <w:t xml:space="preserve">Despite this, </w:t>
      </w:r>
      <w:r w:rsidR="00791C9B" w:rsidRPr="008A1679">
        <w:t>we</w:t>
      </w:r>
      <w:r w:rsidRPr="008A1679">
        <w:t xml:space="preserve"> have no way of </w:t>
      </w:r>
      <w:r w:rsidR="00791C9B" w:rsidRPr="008A1679">
        <w:t>knowing how many cases we are missing</w:t>
      </w:r>
      <w:r w:rsidR="002212C2" w:rsidRPr="008A1679">
        <w:t>. The ‘missing’</w:t>
      </w:r>
      <w:r w:rsidR="00E609CB" w:rsidRPr="008A1679">
        <w:t xml:space="preserve"> group includes </w:t>
      </w:r>
      <w:r w:rsidR="00791C9B" w:rsidRPr="008A1679">
        <w:t xml:space="preserve">workers </w:t>
      </w:r>
      <w:r w:rsidR="00E609CB" w:rsidRPr="008A1679">
        <w:t xml:space="preserve">who </w:t>
      </w:r>
      <w:r w:rsidR="00791C9B" w:rsidRPr="008A1679">
        <w:t>do not attend a general practitioner</w:t>
      </w:r>
      <w:r w:rsidR="00807A08" w:rsidRPr="008A1679">
        <w:t>, especially those with mild disease</w:t>
      </w:r>
      <w:r w:rsidR="008F7470" w:rsidRPr="008A1679">
        <w:t>;</w:t>
      </w:r>
      <w:r w:rsidR="00791C9B" w:rsidRPr="008A1679">
        <w:t xml:space="preserve"> </w:t>
      </w:r>
      <w:r w:rsidR="00807A08" w:rsidRPr="008A1679">
        <w:t xml:space="preserve">those </w:t>
      </w:r>
      <w:r w:rsidR="00E609CB" w:rsidRPr="008A1679">
        <w:t xml:space="preserve">who </w:t>
      </w:r>
      <w:r w:rsidR="00791C9B" w:rsidRPr="008A1679">
        <w:t>are not referred by their general practitioner to a d</w:t>
      </w:r>
      <w:r w:rsidR="00E609CB" w:rsidRPr="008A1679">
        <w:t>ermatologist</w:t>
      </w:r>
      <w:r w:rsidR="008F7470" w:rsidRPr="008A1679">
        <w:t>;</w:t>
      </w:r>
      <w:r w:rsidR="00E609CB" w:rsidRPr="008A1679">
        <w:t xml:space="preserve"> </w:t>
      </w:r>
      <w:r w:rsidR="009617A8" w:rsidRPr="008A1679">
        <w:t xml:space="preserve">those </w:t>
      </w:r>
      <w:r w:rsidR="00E609CB" w:rsidRPr="008A1679">
        <w:t xml:space="preserve">who </w:t>
      </w:r>
      <w:r w:rsidR="00791C9B" w:rsidRPr="008A1679">
        <w:t xml:space="preserve">are not referred by their dermatologist for patch testing, or finally </w:t>
      </w:r>
      <w:r w:rsidR="009617A8" w:rsidRPr="008A1679">
        <w:t xml:space="preserve">those </w:t>
      </w:r>
      <w:r w:rsidR="00791C9B" w:rsidRPr="008A1679">
        <w:t>who have patch testing elsewhere. There is no reason however to believe that there is any difference</w:t>
      </w:r>
      <w:r w:rsidR="0024297C" w:rsidRPr="008A1679">
        <w:t xml:space="preserve"> in referral </w:t>
      </w:r>
      <w:r w:rsidR="00594E5D" w:rsidRPr="008A1679">
        <w:t>patterns</w:t>
      </w:r>
      <w:r w:rsidR="00791C9B" w:rsidRPr="008A1679">
        <w:t xml:space="preserve"> between any occupational groups, so we believe that these figures do give an accurate indication of the relative rates of </w:t>
      </w:r>
      <w:proofErr w:type="spellStart"/>
      <w:r w:rsidR="00791C9B" w:rsidRPr="008A1679">
        <w:t>OSD</w:t>
      </w:r>
      <w:proofErr w:type="spellEnd"/>
      <w:r w:rsidR="009617A8" w:rsidRPr="008A1679">
        <w:t xml:space="preserve"> between occupational groups</w:t>
      </w:r>
      <w:r w:rsidR="00791C9B" w:rsidRPr="008A1679">
        <w:t>.</w:t>
      </w:r>
    </w:p>
    <w:p w:rsidR="00594FD0" w:rsidRPr="008A1679" w:rsidRDefault="00594FD0" w:rsidP="00945AD4">
      <w:pPr>
        <w:pStyle w:val="Heading1"/>
      </w:pPr>
      <w:bookmarkStart w:id="43" w:name="_Toc310506136"/>
      <w:r w:rsidRPr="008A1679">
        <w:t>Discussion</w:t>
      </w:r>
      <w:bookmarkEnd w:id="43"/>
    </w:p>
    <w:p w:rsidR="005B30C5" w:rsidRPr="008A1679" w:rsidRDefault="00F80215" w:rsidP="00945AD4">
      <w:r w:rsidRPr="008A1679">
        <w:t>The r</w:t>
      </w:r>
      <w:r w:rsidR="004573E8" w:rsidRPr="008A1679">
        <w:t xml:space="preserve">elative rates of </w:t>
      </w:r>
      <w:proofErr w:type="spellStart"/>
      <w:r w:rsidR="004573E8" w:rsidRPr="008A1679">
        <w:t>OSD</w:t>
      </w:r>
      <w:proofErr w:type="spellEnd"/>
      <w:r w:rsidR="00735902" w:rsidRPr="008A1679">
        <w:t xml:space="preserve"> in the occupations of</w:t>
      </w:r>
      <w:r w:rsidR="004573E8" w:rsidRPr="008A1679">
        <w:t xml:space="preserve"> </w:t>
      </w:r>
      <w:r w:rsidR="00D52EBC" w:rsidRPr="008A1679">
        <w:t xml:space="preserve">our referred </w:t>
      </w:r>
      <w:r w:rsidR="004573E8" w:rsidRPr="008A1679">
        <w:t>Victoria</w:t>
      </w:r>
      <w:r w:rsidR="00D52EBC" w:rsidRPr="008A1679">
        <w:t>n population</w:t>
      </w:r>
      <w:r w:rsidR="004573E8" w:rsidRPr="008A1679">
        <w:t xml:space="preserve"> </w:t>
      </w:r>
      <w:r w:rsidR="00735902" w:rsidRPr="008A1679">
        <w:t>have been calculated and</w:t>
      </w:r>
      <w:r w:rsidR="004573E8" w:rsidRPr="008A1679">
        <w:t xml:space="preserve"> presented</w:t>
      </w:r>
      <w:r w:rsidR="00735902" w:rsidRPr="008A1679">
        <w:t xml:space="preserve"> in this report</w:t>
      </w:r>
      <w:r w:rsidR="004573E8" w:rsidRPr="008A1679">
        <w:t xml:space="preserve">. </w:t>
      </w:r>
      <w:r w:rsidR="00591889" w:rsidRPr="008A1679">
        <w:t>Th</w:t>
      </w:r>
      <w:r w:rsidR="00735902" w:rsidRPr="008A1679">
        <w:t>ese figures are substantially lower</w:t>
      </w:r>
      <w:r w:rsidR="00591889" w:rsidRPr="008A1679">
        <w:t xml:space="preserve"> than those reported by </w:t>
      </w:r>
      <w:proofErr w:type="spellStart"/>
      <w:r w:rsidR="00591889" w:rsidRPr="008A1679">
        <w:t>Dickel</w:t>
      </w:r>
      <w:r w:rsidR="0090283A" w:rsidRPr="008A1679">
        <w:rPr>
          <w:vertAlign w:val="superscript"/>
        </w:rPr>
        <w:t>5</w:t>
      </w:r>
      <w:proofErr w:type="spellEnd"/>
      <w:r w:rsidR="00594E5D" w:rsidRPr="008A1679">
        <w:rPr>
          <w:vertAlign w:val="superscript"/>
        </w:rPr>
        <w:t>, 41</w:t>
      </w:r>
      <w:r w:rsidR="00735902" w:rsidRPr="008A1679">
        <w:t xml:space="preserve"> </w:t>
      </w:r>
      <w:r w:rsidR="00591889" w:rsidRPr="008A1679">
        <w:t xml:space="preserve">however, </w:t>
      </w:r>
      <w:r w:rsidR="0090283A" w:rsidRPr="008A1679">
        <w:t>in Germany all sus</w:t>
      </w:r>
      <w:r w:rsidR="00735902" w:rsidRPr="008A1679">
        <w:t xml:space="preserve">pected </w:t>
      </w:r>
      <w:proofErr w:type="spellStart"/>
      <w:r w:rsidR="00735902" w:rsidRPr="008A1679">
        <w:t>OSD</w:t>
      </w:r>
      <w:proofErr w:type="spellEnd"/>
      <w:r w:rsidR="00735902" w:rsidRPr="008A1679">
        <w:t xml:space="preserve"> must be reported. N</w:t>
      </w:r>
      <w:r w:rsidR="0090283A" w:rsidRPr="008A1679">
        <w:t>o such reporting scheme exists in Australia and our figures</w:t>
      </w:r>
      <w:r w:rsidR="00735902" w:rsidRPr="008A1679">
        <w:t xml:space="preserve"> are</w:t>
      </w:r>
      <w:r w:rsidR="0090283A" w:rsidRPr="008A1679">
        <w:t xml:space="preserve"> likely</w:t>
      </w:r>
      <w:r w:rsidR="00735902" w:rsidRPr="008A1679">
        <w:t xml:space="preserve"> therefore</w:t>
      </w:r>
      <w:r w:rsidR="0090283A" w:rsidRPr="008A1679">
        <w:t xml:space="preserve"> </w:t>
      </w:r>
      <w:r w:rsidR="000A5C18" w:rsidRPr="008A1679">
        <w:t xml:space="preserve">substantially </w:t>
      </w:r>
      <w:r w:rsidR="00735902" w:rsidRPr="008A1679">
        <w:t xml:space="preserve">to </w:t>
      </w:r>
      <w:r w:rsidR="0090283A" w:rsidRPr="008A1679">
        <w:t xml:space="preserve">underestimate the </w:t>
      </w:r>
      <w:r w:rsidR="00D52EBC" w:rsidRPr="008A1679">
        <w:t xml:space="preserve">true </w:t>
      </w:r>
      <w:r w:rsidR="0090283A" w:rsidRPr="008A1679">
        <w:t xml:space="preserve">occurrence of </w:t>
      </w:r>
      <w:proofErr w:type="spellStart"/>
      <w:r w:rsidR="0090283A" w:rsidRPr="008A1679">
        <w:t>OSD</w:t>
      </w:r>
      <w:proofErr w:type="spellEnd"/>
      <w:r w:rsidR="0090283A" w:rsidRPr="008A1679">
        <w:t xml:space="preserve">. </w:t>
      </w:r>
    </w:p>
    <w:p w:rsidR="004573E8" w:rsidRPr="008A1679" w:rsidRDefault="002D7441" w:rsidP="00945AD4">
      <w:r w:rsidRPr="008A1679">
        <w:t xml:space="preserve">Nevertheless, we believe that the relative rates of </w:t>
      </w:r>
      <w:proofErr w:type="spellStart"/>
      <w:r w:rsidRPr="008A1679">
        <w:t>OSD</w:t>
      </w:r>
      <w:proofErr w:type="spellEnd"/>
      <w:r w:rsidRPr="008A1679">
        <w:t xml:space="preserve"> </w:t>
      </w:r>
      <w:r w:rsidR="00D52EBC" w:rsidRPr="008A1679">
        <w:t xml:space="preserve">in this population </w:t>
      </w:r>
      <w:r w:rsidRPr="008A1679">
        <w:t xml:space="preserve">are particularly informative. </w:t>
      </w:r>
      <w:r w:rsidR="004573E8" w:rsidRPr="008A1679">
        <w:t xml:space="preserve">Hair and beauty workers are the </w:t>
      </w:r>
      <w:r w:rsidR="00F80215" w:rsidRPr="008A1679">
        <w:t xml:space="preserve">occupation </w:t>
      </w:r>
      <w:r w:rsidR="004573E8" w:rsidRPr="008A1679">
        <w:t xml:space="preserve">most at risk of </w:t>
      </w:r>
      <w:proofErr w:type="spellStart"/>
      <w:r w:rsidR="004573E8" w:rsidRPr="008A1679">
        <w:t>OSD</w:t>
      </w:r>
      <w:proofErr w:type="spellEnd"/>
      <w:r w:rsidR="004573E8" w:rsidRPr="008A1679">
        <w:t xml:space="preserve">. They are followed by machine and plant operators, healthcare workers and automobile workers. Food handlers and trades persons drop down the list as a result of the large number of workers in these groups. These groups are similar to those reported by McDonald et al. from the </w:t>
      </w:r>
      <w:proofErr w:type="spellStart"/>
      <w:r w:rsidR="004573E8" w:rsidRPr="008A1679">
        <w:t>UK</w:t>
      </w:r>
      <w:r w:rsidR="004573E8" w:rsidRPr="008A1679">
        <w:rPr>
          <w:vertAlign w:val="superscript"/>
        </w:rPr>
        <w:t>4</w:t>
      </w:r>
      <w:r w:rsidR="0066232C" w:rsidRPr="008A1679">
        <w:rPr>
          <w:vertAlign w:val="superscript"/>
        </w:rPr>
        <w:t>2</w:t>
      </w:r>
      <w:proofErr w:type="spellEnd"/>
      <w:r w:rsidR="004573E8" w:rsidRPr="008A1679">
        <w:t xml:space="preserve">. It is also interesting to note that the majority of occupational groups have a higher incidence of </w:t>
      </w:r>
      <w:proofErr w:type="spellStart"/>
      <w:r w:rsidR="004573E8" w:rsidRPr="008A1679">
        <w:t>ICD</w:t>
      </w:r>
      <w:proofErr w:type="spellEnd"/>
      <w:r w:rsidR="004573E8" w:rsidRPr="008A1679">
        <w:t xml:space="preserve"> than </w:t>
      </w:r>
      <w:proofErr w:type="spellStart"/>
      <w:r w:rsidR="004573E8" w:rsidRPr="008A1679">
        <w:t>ACD</w:t>
      </w:r>
      <w:proofErr w:type="spellEnd"/>
      <w:r w:rsidR="004573E8" w:rsidRPr="008A1679">
        <w:t>. The exceptions to this observation are hair and beauty workers, photographic workers and machine and plant operators, where there is increased possibility of exposure to allergens.</w:t>
      </w:r>
    </w:p>
    <w:p w:rsidR="00594FD0" w:rsidRPr="008A1679" w:rsidRDefault="000A5C18" w:rsidP="00945AD4">
      <w:r w:rsidRPr="008A1679">
        <w:t>More than half (56%) of the patients diagnosed with substantially or partially work-related skin disease at our Occupational Dermatology Clinic were male</w:t>
      </w:r>
      <w:r w:rsidR="00594FD0" w:rsidRPr="008A1679">
        <w:t xml:space="preserve">. This is a higher figure than reported by </w:t>
      </w:r>
      <w:proofErr w:type="spellStart"/>
      <w:r w:rsidR="00594FD0" w:rsidRPr="008A1679">
        <w:t>Kucenic</w:t>
      </w:r>
      <w:r w:rsidR="004573E8" w:rsidRPr="008A1679">
        <w:rPr>
          <w:vertAlign w:val="superscript"/>
        </w:rPr>
        <w:t>4</w:t>
      </w:r>
      <w:r w:rsidR="0066232C" w:rsidRPr="008A1679">
        <w:rPr>
          <w:vertAlign w:val="superscript"/>
        </w:rPr>
        <w:t>3</w:t>
      </w:r>
      <w:proofErr w:type="spellEnd"/>
      <w:r w:rsidR="00594FD0" w:rsidRPr="008A1679">
        <w:t xml:space="preserve"> or </w:t>
      </w:r>
      <w:proofErr w:type="spellStart"/>
      <w:r w:rsidR="00594FD0" w:rsidRPr="008A1679">
        <w:t>Dickel</w:t>
      </w:r>
      <w:r w:rsidR="00B36E6F" w:rsidRPr="008A1679">
        <w:rPr>
          <w:vertAlign w:val="superscript"/>
        </w:rPr>
        <w:t>5</w:t>
      </w:r>
      <w:proofErr w:type="spellEnd"/>
      <w:r w:rsidR="00594FD0" w:rsidRPr="008A1679">
        <w:t xml:space="preserve"> but less than reported by </w:t>
      </w:r>
      <w:proofErr w:type="spellStart"/>
      <w:r w:rsidR="00594FD0" w:rsidRPr="008A1679">
        <w:t>Goon</w:t>
      </w:r>
      <w:r w:rsidR="00F4568B" w:rsidRPr="008A1679">
        <w:rPr>
          <w:vertAlign w:val="superscript"/>
        </w:rPr>
        <w:t>44</w:t>
      </w:r>
      <w:proofErr w:type="spellEnd"/>
      <w:r w:rsidR="00D52EBC" w:rsidRPr="008A1679">
        <w:t xml:space="preserve"> from Singapore.</w:t>
      </w:r>
      <w:r w:rsidR="00594FD0" w:rsidRPr="008A1679">
        <w:t xml:space="preserve"> </w:t>
      </w:r>
      <w:r w:rsidR="005302E6" w:rsidRPr="008A1679">
        <w:t>In a</w:t>
      </w:r>
      <w:r w:rsidRPr="008A1679">
        <w:t>nother</w:t>
      </w:r>
      <w:r w:rsidR="005302E6" w:rsidRPr="008A1679">
        <w:t xml:space="preserve"> </w:t>
      </w:r>
      <w:r w:rsidR="00594FD0" w:rsidRPr="008A1679">
        <w:t xml:space="preserve">smaller </w:t>
      </w:r>
      <w:r w:rsidR="005302E6" w:rsidRPr="008A1679">
        <w:t xml:space="preserve">German </w:t>
      </w:r>
      <w:r w:rsidR="00594FD0" w:rsidRPr="008A1679">
        <w:t xml:space="preserve">study by </w:t>
      </w:r>
      <w:proofErr w:type="spellStart"/>
      <w:r w:rsidR="005302E6" w:rsidRPr="008A1679">
        <w:t>Dickel’s</w:t>
      </w:r>
      <w:proofErr w:type="spellEnd"/>
      <w:r w:rsidR="005302E6" w:rsidRPr="008A1679">
        <w:t xml:space="preserve"> group, they also found a </w:t>
      </w:r>
      <w:r w:rsidR="00594FD0" w:rsidRPr="008A1679">
        <w:t>preponderance of female workers (58%</w:t>
      </w:r>
      <w:proofErr w:type="gramStart"/>
      <w:r w:rsidR="00594E5D" w:rsidRPr="008A1679">
        <w:t>)</w:t>
      </w:r>
      <w:r w:rsidR="00594E5D" w:rsidRPr="008A1679">
        <w:rPr>
          <w:vertAlign w:val="superscript"/>
        </w:rPr>
        <w:t>41</w:t>
      </w:r>
      <w:proofErr w:type="gramEnd"/>
      <w:r w:rsidR="00B817AA" w:rsidRPr="008A1679">
        <w:t>.</w:t>
      </w:r>
      <w:r w:rsidR="00594FD0" w:rsidRPr="008A1679">
        <w:t xml:space="preserve"> </w:t>
      </w:r>
      <w:r w:rsidRPr="008A1679">
        <w:t>In contrast</w:t>
      </w:r>
      <w:r w:rsidR="005302E6" w:rsidRPr="008A1679">
        <w:t>, m</w:t>
      </w:r>
      <w:r w:rsidR="00594FD0" w:rsidRPr="008A1679">
        <w:t xml:space="preserve">ales account for approximately 75% of cases of </w:t>
      </w:r>
      <w:proofErr w:type="spellStart"/>
      <w:r w:rsidR="00594FD0" w:rsidRPr="008A1679">
        <w:t>OSD</w:t>
      </w:r>
      <w:proofErr w:type="spellEnd"/>
      <w:r w:rsidR="00594FD0" w:rsidRPr="008A1679">
        <w:t xml:space="preserve"> in </w:t>
      </w:r>
      <w:proofErr w:type="spellStart"/>
      <w:r w:rsidR="00594FD0" w:rsidRPr="008A1679">
        <w:t>Singapore</w:t>
      </w:r>
      <w:r w:rsidR="00F4568B" w:rsidRPr="008A1679">
        <w:rPr>
          <w:vertAlign w:val="superscript"/>
        </w:rPr>
        <w:t>44</w:t>
      </w:r>
      <w:proofErr w:type="spellEnd"/>
      <w:r w:rsidR="00B817AA" w:rsidRPr="008A1679">
        <w:t>,</w:t>
      </w:r>
      <w:r w:rsidR="00594FD0" w:rsidRPr="008A1679">
        <w:t xml:space="preserve"> possibly because the </w:t>
      </w:r>
      <w:r w:rsidR="00D52EBC" w:rsidRPr="008A1679">
        <w:t xml:space="preserve">workforce is dominated by males, </w:t>
      </w:r>
      <w:r w:rsidR="003A042A" w:rsidRPr="008A1679">
        <w:t xml:space="preserve">particularly </w:t>
      </w:r>
      <w:r w:rsidR="00D52EBC" w:rsidRPr="008A1679">
        <w:t>in industries such as</w:t>
      </w:r>
      <w:r w:rsidR="00594E5D" w:rsidRPr="008A1679">
        <w:t xml:space="preserve"> </w:t>
      </w:r>
      <w:r w:rsidR="00594FD0" w:rsidRPr="008A1679">
        <w:t>engineering, building/construction and electrical</w:t>
      </w:r>
      <w:r w:rsidRPr="008A1679">
        <w:t>. I</w:t>
      </w:r>
      <w:r w:rsidR="00D52EBC" w:rsidRPr="008A1679">
        <w:t>n addition, trades such as hairdressing</w:t>
      </w:r>
      <w:r w:rsidR="00594FD0" w:rsidRPr="008A1679">
        <w:t xml:space="preserve"> </w:t>
      </w:r>
      <w:r w:rsidR="005302E6" w:rsidRPr="008A1679">
        <w:t xml:space="preserve">are not </w:t>
      </w:r>
      <w:r w:rsidR="00D52EBC" w:rsidRPr="008A1679">
        <w:t>included</w:t>
      </w:r>
      <w:r w:rsidR="00326505" w:rsidRPr="008A1679">
        <w:t xml:space="preserve"> </w:t>
      </w:r>
      <w:r w:rsidR="005302E6" w:rsidRPr="008A1679">
        <w:t xml:space="preserve">in their </w:t>
      </w:r>
      <w:proofErr w:type="spellStart"/>
      <w:r w:rsidR="005302E6" w:rsidRPr="008A1679">
        <w:t>statistics</w:t>
      </w:r>
      <w:r w:rsidR="00F4568B" w:rsidRPr="008A1679">
        <w:rPr>
          <w:vertAlign w:val="superscript"/>
        </w:rPr>
        <w:t>44</w:t>
      </w:r>
      <w:proofErr w:type="spellEnd"/>
      <w:r w:rsidR="00B817AA" w:rsidRPr="008A1679">
        <w:t>.</w:t>
      </w:r>
      <w:r w:rsidR="00594FD0" w:rsidRPr="008A1679">
        <w:t xml:space="preserve"> </w:t>
      </w:r>
    </w:p>
    <w:p w:rsidR="00594FD0" w:rsidRPr="008A1679" w:rsidRDefault="00422E13" w:rsidP="00945AD4">
      <w:r w:rsidRPr="008A1679">
        <w:t xml:space="preserve">A primary diagnosis </w:t>
      </w:r>
      <w:r w:rsidR="000A5C18" w:rsidRPr="008A1679">
        <w:t xml:space="preserve">of </w:t>
      </w:r>
      <w:proofErr w:type="spellStart"/>
      <w:r w:rsidR="000A5C18" w:rsidRPr="008A1679">
        <w:t>ICD</w:t>
      </w:r>
      <w:proofErr w:type="spellEnd"/>
      <w:r w:rsidR="000A5C18" w:rsidRPr="008A1679">
        <w:t xml:space="preserve"> was made in 44</w:t>
      </w:r>
      <w:r w:rsidRPr="008A1679">
        <w:t xml:space="preserve">% of cases of </w:t>
      </w:r>
      <w:proofErr w:type="spellStart"/>
      <w:r w:rsidRPr="008A1679">
        <w:t>OSD</w:t>
      </w:r>
      <w:proofErr w:type="spellEnd"/>
      <w:r w:rsidRPr="008A1679">
        <w:t xml:space="preserve">. </w:t>
      </w:r>
      <w:r w:rsidR="000A5C18" w:rsidRPr="008A1679">
        <w:t>However</w:t>
      </w:r>
      <w:r w:rsidR="00594FD0" w:rsidRPr="008A1679">
        <w:t>,</w:t>
      </w:r>
      <w:r w:rsidR="000A5C18" w:rsidRPr="008A1679">
        <w:t xml:space="preserve"> overall</w:t>
      </w:r>
      <w:r w:rsidR="00594FD0" w:rsidRPr="008A1679">
        <w:t xml:space="preserve"> </w:t>
      </w:r>
      <w:proofErr w:type="spellStart"/>
      <w:r w:rsidR="00594FD0" w:rsidRPr="008A1679">
        <w:t>ICD</w:t>
      </w:r>
      <w:proofErr w:type="spellEnd"/>
      <w:r w:rsidR="00594FD0" w:rsidRPr="008A1679">
        <w:t xml:space="preserve"> was part of th</w:t>
      </w:r>
      <w:r w:rsidR="000A5C18" w:rsidRPr="008A1679">
        <w:t>e diagnostic scenario in 71</w:t>
      </w:r>
      <w:r w:rsidR="0034530E" w:rsidRPr="008A1679">
        <w:t xml:space="preserve">% </w:t>
      </w:r>
      <w:r w:rsidR="00594FD0" w:rsidRPr="008A1679">
        <w:t xml:space="preserve">of cases. The </w:t>
      </w:r>
      <w:r w:rsidR="00586CEE" w:rsidRPr="008A1679">
        <w:t xml:space="preserve">relative </w:t>
      </w:r>
      <w:r w:rsidR="00594FD0" w:rsidRPr="008A1679">
        <w:t xml:space="preserve">rate of </w:t>
      </w:r>
      <w:proofErr w:type="spellStart"/>
      <w:r w:rsidR="00594FD0" w:rsidRPr="008A1679">
        <w:t>ICD</w:t>
      </w:r>
      <w:proofErr w:type="spellEnd"/>
      <w:r w:rsidR="00594FD0" w:rsidRPr="008A1679">
        <w:t xml:space="preserve"> is comparable to that reported by </w:t>
      </w:r>
      <w:proofErr w:type="spellStart"/>
      <w:r w:rsidR="00594FD0" w:rsidRPr="008A1679">
        <w:t>Dickel</w:t>
      </w:r>
      <w:proofErr w:type="spellEnd"/>
      <w:r w:rsidR="00594FD0" w:rsidRPr="008A1679">
        <w:t xml:space="preserve"> </w:t>
      </w:r>
      <w:r w:rsidR="00D54457" w:rsidRPr="008A1679">
        <w:t>et al.</w:t>
      </w:r>
      <w:r w:rsidR="00594FD0" w:rsidRPr="008A1679">
        <w:t xml:space="preserve"> (74.9%</w:t>
      </w:r>
      <w:proofErr w:type="gramStart"/>
      <w:r w:rsidR="00594FD0" w:rsidRPr="008A1679">
        <w:t>)</w:t>
      </w:r>
      <w:r w:rsidR="00586CEE" w:rsidRPr="008A1679">
        <w:rPr>
          <w:vertAlign w:val="superscript"/>
        </w:rPr>
        <w:t>41</w:t>
      </w:r>
      <w:proofErr w:type="gramEnd"/>
      <w:r w:rsidR="00B817AA" w:rsidRPr="008A1679">
        <w:t>,</w:t>
      </w:r>
      <w:r w:rsidR="00594FD0" w:rsidRPr="008A1679">
        <w:t xml:space="preserve"> but higher than previously reported </w:t>
      </w:r>
      <w:proofErr w:type="spellStart"/>
      <w:r w:rsidR="00594FD0" w:rsidRPr="008A1679">
        <w:t>elsewhere</w:t>
      </w:r>
      <w:r w:rsidR="00594FD0" w:rsidRPr="008A1679">
        <w:rPr>
          <w:vertAlign w:val="superscript"/>
        </w:rPr>
        <w:t>35</w:t>
      </w:r>
      <w:proofErr w:type="spellEnd"/>
      <w:r w:rsidR="00B817AA" w:rsidRPr="008A1679">
        <w:t>.</w:t>
      </w:r>
      <w:r w:rsidR="00594FD0" w:rsidRPr="008A1679">
        <w:t xml:space="preserve"> In a retrospective analysis of five years of data, </w:t>
      </w:r>
      <w:proofErr w:type="spellStart"/>
      <w:r w:rsidR="00594FD0" w:rsidRPr="008A1679">
        <w:t>Kucenic</w:t>
      </w:r>
      <w:proofErr w:type="spellEnd"/>
      <w:r w:rsidR="00594FD0" w:rsidRPr="008A1679">
        <w:t xml:space="preserve"> and </w:t>
      </w:r>
      <w:proofErr w:type="spellStart"/>
      <w:r w:rsidR="00594FD0" w:rsidRPr="008A1679">
        <w:t>Belsito</w:t>
      </w:r>
      <w:proofErr w:type="spellEnd"/>
      <w:r w:rsidR="00594FD0" w:rsidRPr="008A1679">
        <w:t xml:space="preserve"> identified 135 patients who had been diagnosed with an </w:t>
      </w:r>
      <w:proofErr w:type="spellStart"/>
      <w:r w:rsidR="00594FD0" w:rsidRPr="008A1679">
        <w:t>OSD</w:t>
      </w:r>
      <w:proofErr w:type="spellEnd"/>
      <w:r w:rsidR="00594FD0" w:rsidRPr="008A1679">
        <w:t xml:space="preserve">. They found that </w:t>
      </w:r>
      <w:proofErr w:type="spellStart"/>
      <w:r w:rsidR="003163E1" w:rsidRPr="008A1679">
        <w:t>ICD</w:t>
      </w:r>
      <w:proofErr w:type="spellEnd"/>
      <w:r w:rsidR="00594FD0" w:rsidRPr="008A1679">
        <w:t xml:space="preserve"> affected only 34% whil</w:t>
      </w:r>
      <w:r w:rsidR="009A2110">
        <w:t>e</w:t>
      </w:r>
      <w:r w:rsidR="00594FD0" w:rsidRPr="008A1679">
        <w:t xml:space="preserve"> </w:t>
      </w:r>
      <w:proofErr w:type="spellStart"/>
      <w:r w:rsidR="003163E1" w:rsidRPr="008A1679">
        <w:t>ACD</w:t>
      </w:r>
      <w:proofErr w:type="spellEnd"/>
      <w:r w:rsidR="00594FD0" w:rsidRPr="008A1679">
        <w:t xml:space="preserve"> affected 60%</w:t>
      </w:r>
      <w:r w:rsidR="00586CEE" w:rsidRPr="008A1679">
        <w:rPr>
          <w:vertAlign w:val="superscript"/>
        </w:rPr>
        <w:t>43</w:t>
      </w:r>
      <w:r w:rsidR="00B817AA" w:rsidRPr="008A1679">
        <w:t>.</w:t>
      </w:r>
      <w:r w:rsidR="00594FD0" w:rsidRPr="008A1679">
        <w:t xml:space="preserve"> </w:t>
      </w:r>
      <w:r w:rsidR="002212C2" w:rsidRPr="008A1679">
        <w:t xml:space="preserve">The ratio of </w:t>
      </w:r>
      <w:proofErr w:type="spellStart"/>
      <w:r w:rsidR="002212C2" w:rsidRPr="008A1679">
        <w:t>ICD</w:t>
      </w:r>
      <w:proofErr w:type="spellEnd"/>
      <w:r w:rsidR="002212C2" w:rsidRPr="008A1679">
        <w:t xml:space="preserve"> to </w:t>
      </w:r>
      <w:proofErr w:type="spellStart"/>
      <w:r w:rsidR="002212C2" w:rsidRPr="008A1679">
        <w:t>ACD</w:t>
      </w:r>
      <w:proofErr w:type="spellEnd"/>
      <w:r w:rsidR="002212C2" w:rsidRPr="008A1679">
        <w:t xml:space="preserve"> is </w:t>
      </w:r>
      <w:r w:rsidR="00586CEE" w:rsidRPr="008A1679">
        <w:t>very dependent on the population referred for testing. In addition, w</w:t>
      </w:r>
      <w:r w:rsidR="00594FD0" w:rsidRPr="008A1679">
        <w:t xml:space="preserve">e have noted reluctance among some dermatologists to make a diagnosis of </w:t>
      </w:r>
      <w:proofErr w:type="spellStart"/>
      <w:r w:rsidR="00594FD0" w:rsidRPr="008A1679">
        <w:t>ICD</w:t>
      </w:r>
      <w:proofErr w:type="spellEnd"/>
      <w:r w:rsidR="00594FD0" w:rsidRPr="008A1679">
        <w:t xml:space="preserve">, </w:t>
      </w:r>
      <w:r w:rsidR="00326505" w:rsidRPr="008A1679">
        <w:t>as</w:t>
      </w:r>
      <w:r w:rsidR="00594FD0" w:rsidRPr="008A1679">
        <w:t xml:space="preserve"> there is no diagnostic test that can be performed</w:t>
      </w:r>
      <w:r w:rsidR="00326505" w:rsidRPr="008A1679">
        <w:t xml:space="preserve"> and it is largely a subjective diagnosis</w:t>
      </w:r>
      <w:r w:rsidR="00594FD0" w:rsidRPr="008A1679">
        <w:t xml:space="preserve"> after </w:t>
      </w:r>
      <w:r w:rsidR="00326505" w:rsidRPr="008A1679">
        <w:t xml:space="preserve">the </w:t>
      </w:r>
      <w:r w:rsidR="00594FD0" w:rsidRPr="008A1679">
        <w:t xml:space="preserve">exclusion of </w:t>
      </w:r>
      <w:proofErr w:type="spellStart"/>
      <w:r w:rsidR="00594FD0" w:rsidRPr="008A1679">
        <w:t>ACD</w:t>
      </w:r>
      <w:proofErr w:type="spellEnd"/>
      <w:r w:rsidR="00594FD0" w:rsidRPr="008A1679">
        <w:t xml:space="preserve"> with patch testing. That 70% of patients with </w:t>
      </w:r>
      <w:proofErr w:type="spellStart"/>
      <w:r w:rsidR="00594FD0" w:rsidRPr="008A1679">
        <w:t>OSD</w:t>
      </w:r>
      <w:proofErr w:type="spellEnd"/>
      <w:r w:rsidR="00594FD0" w:rsidRPr="008A1679">
        <w:t xml:space="preserve"> have some degree of </w:t>
      </w:r>
      <w:proofErr w:type="spellStart"/>
      <w:r w:rsidR="00594FD0" w:rsidRPr="008A1679">
        <w:t>ICD</w:t>
      </w:r>
      <w:proofErr w:type="spellEnd"/>
      <w:r w:rsidR="00594FD0" w:rsidRPr="008A1679">
        <w:t xml:space="preserve"> is perhaps surprising, but </w:t>
      </w:r>
      <w:r w:rsidR="00326505" w:rsidRPr="008A1679">
        <w:t xml:space="preserve">is </w:t>
      </w:r>
      <w:r w:rsidR="00594FD0" w:rsidRPr="008A1679">
        <w:t xml:space="preserve">likely </w:t>
      </w:r>
      <w:r w:rsidR="00326505" w:rsidRPr="008A1679">
        <w:t>to reflect</w:t>
      </w:r>
      <w:r w:rsidR="00594FD0" w:rsidRPr="008A1679">
        <w:t xml:space="preserve"> our policy of identifying all the factors contributing to a </w:t>
      </w:r>
      <w:r w:rsidR="00183B82" w:rsidRPr="008A1679">
        <w:t xml:space="preserve">patient’s </w:t>
      </w:r>
      <w:r w:rsidR="00594FD0" w:rsidRPr="008A1679">
        <w:t>disease.</w:t>
      </w:r>
      <w:r w:rsidR="005C3556" w:rsidRPr="008A1679">
        <w:t xml:space="preserve"> </w:t>
      </w:r>
      <w:r w:rsidR="00594FD0" w:rsidRPr="008A1679">
        <w:t xml:space="preserve">The differences in causes of </w:t>
      </w:r>
      <w:proofErr w:type="spellStart"/>
      <w:r w:rsidR="00B54007" w:rsidRPr="008A1679">
        <w:t>ICD</w:t>
      </w:r>
      <w:proofErr w:type="spellEnd"/>
      <w:r w:rsidR="00B54007" w:rsidRPr="008A1679">
        <w:t xml:space="preserve"> </w:t>
      </w:r>
      <w:r w:rsidR="00594FD0" w:rsidRPr="008A1679">
        <w:t>between the sex</w:t>
      </w:r>
      <w:r w:rsidR="003163E1" w:rsidRPr="008A1679">
        <w:t xml:space="preserve">es are explained by their </w:t>
      </w:r>
      <w:r w:rsidR="00594FD0" w:rsidRPr="008A1679">
        <w:t xml:space="preserve">differing occupations. Females </w:t>
      </w:r>
      <w:r w:rsidR="00326505" w:rsidRPr="008A1679">
        <w:t>comprise</w:t>
      </w:r>
      <w:r w:rsidR="00594FD0" w:rsidRPr="008A1679">
        <w:t xml:space="preserve"> the majority of hairdressers and nurses, where wet work and frequent exposure to detergents and shampoos are daily hazards. Males comprise the majority of mechanics and engineers, where exposure to solvents </w:t>
      </w:r>
      <w:r w:rsidR="00594FD0" w:rsidRPr="008A1679">
        <w:lastRenderedPageBreak/>
        <w:t xml:space="preserve">and cutting oils is common. Overall, the majority of cases of </w:t>
      </w:r>
      <w:proofErr w:type="spellStart"/>
      <w:r w:rsidR="00594FD0" w:rsidRPr="008A1679">
        <w:t>ICD</w:t>
      </w:r>
      <w:proofErr w:type="spellEnd"/>
      <w:r w:rsidR="00594FD0" w:rsidRPr="008A1679">
        <w:t xml:space="preserve"> occurred in males, representing the overall predominance of males in manual jobs. The overall causes are generally similar to those reported by </w:t>
      </w:r>
      <w:proofErr w:type="spellStart"/>
      <w:r w:rsidR="00594FD0" w:rsidRPr="008A1679">
        <w:t>Goon</w:t>
      </w:r>
      <w:r w:rsidR="00B54007" w:rsidRPr="008A1679">
        <w:rPr>
          <w:vertAlign w:val="superscript"/>
        </w:rPr>
        <w:t>44</w:t>
      </w:r>
      <w:proofErr w:type="spellEnd"/>
      <w:r w:rsidR="00594FD0" w:rsidRPr="008A1679">
        <w:t xml:space="preserve"> and </w:t>
      </w:r>
      <w:proofErr w:type="spellStart"/>
      <w:r w:rsidR="00594FD0" w:rsidRPr="008A1679">
        <w:t>Dickel</w:t>
      </w:r>
      <w:r w:rsidR="00B54007" w:rsidRPr="008A1679">
        <w:rPr>
          <w:vertAlign w:val="superscript"/>
        </w:rPr>
        <w:t>41</w:t>
      </w:r>
      <w:proofErr w:type="spellEnd"/>
      <w:r w:rsidR="00183B82" w:rsidRPr="008A1679">
        <w:t>,</w:t>
      </w:r>
      <w:r w:rsidR="00594FD0" w:rsidRPr="008A1679">
        <w:t xml:space="preserve"> although ‘wet work’ was the most common irritant in </w:t>
      </w:r>
      <w:proofErr w:type="spellStart"/>
      <w:r w:rsidR="00594FD0" w:rsidRPr="008A1679">
        <w:t>Dickel</w:t>
      </w:r>
      <w:r w:rsidR="003163E1" w:rsidRPr="008A1679">
        <w:t>’</w:t>
      </w:r>
      <w:r w:rsidR="00594FD0" w:rsidRPr="008A1679">
        <w:t>s</w:t>
      </w:r>
      <w:proofErr w:type="spellEnd"/>
      <w:r w:rsidR="00594FD0" w:rsidRPr="008A1679">
        <w:t xml:space="preserve"> study.</w:t>
      </w:r>
    </w:p>
    <w:p w:rsidR="00594FD0" w:rsidRPr="008A1679" w:rsidRDefault="00422E13" w:rsidP="00945AD4">
      <w:r w:rsidRPr="008A1679">
        <w:t>Whil</w:t>
      </w:r>
      <w:r w:rsidR="009A2110">
        <w:t>e</w:t>
      </w:r>
      <w:r w:rsidRPr="008A1679">
        <w:t xml:space="preserve"> a diagnosis of </w:t>
      </w:r>
      <w:proofErr w:type="spellStart"/>
      <w:r w:rsidRPr="008A1679">
        <w:t>ACD</w:t>
      </w:r>
      <w:proofErr w:type="spellEnd"/>
      <w:r w:rsidRPr="008A1679">
        <w:t xml:space="preserve"> was made in 1135 cases of </w:t>
      </w:r>
      <w:proofErr w:type="spellStart"/>
      <w:r w:rsidRPr="008A1679">
        <w:t>OSD</w:t>
      </w:r>
      <w:proofErr w:type="spellEnd"/>
      <w:r w:rsidRPr="008A1679">
        <w:t xml:space="preserve"> it was the primary diagnosis in only 712 (32.7%). </w:t>
      </w:r>
      <w:r w:rsidR="00183B82" w:rsidRPr="008A1679">
        <w:t xml:space="preserve">Although </w:t>
      </w:r>
      <w:r w:rsidR="00594FD0" w:rsidRPr="008A1679">
        <w:t>many workers may have allergic reactions</w:t>
      </w:r>
      <w:r w:rsidR="00C41233" w:rsidRPr="008A1679">
        <w:t xml:space="preserve"> on patch testing</w:t>
      </w:r>
      <w:r w:rsidR="00594FD0" w:rsidRPr="008A1679">
        <w:t xml:space="preserve">, these are not always relevant to </w:t>
      </w:r>
      <w:r w:rsidR="002212C2" w:rsidRPr="008A1679">
        <w:t xml:space="preserve">their </w:t>
      </w:r>
      <w:r w:rsidR="00594FD0" w:rsidRPr="008A1679">
        <w:t>work</w:t>
      </w:r>
      <w:r w:rsidR="0006145A" w:rsidRPr="008A1679">
        <w:t>,</w:t>
      </w:r>
      <w:r w:rsidR="00594FD0" w:rsidRPr="008A1679">
        <w:t xml:space="preserve"> and </w:t>
      </w:r>
      <w:r w:rsidR="002212C2" w:rsidRPr="008A1679">
        <w:t xml:space="preserve">in this </w:t>
      </w:r>
      <w:r w:rsidR="00594E5D" w:rsidRPr="008A1679">
        <w:t>study</w:t>
      </w:r>
      <w:r w:rsidR="002212C2" w:rsidRPr="008A1679">
        <w:t xml:space="preserve">, </w:t>
      </w:r>
      <w:proofErr w:type="spellStart"/>
      <w:r w:rsidR="00594FD0" w:rsidRPr="008A1679">
        <w:t>ACD</w:t>
      </w:r>
      <w:proofErr w:type="spellEnd"/>
      <w:r w:rsidR="00594FD0" w:rsidRPr="008A1679">
        <w:t xml:space="preserve"> was only diagnosed as the primary diagnosis when there was evidence of a relevant </w:t>
      </w:r>
      <w:r w:rsidR="00901F8F" w:rsidRPr="008A1679">
        <w:t xml:space="preserve">occupational </w:t>
      </w:r>
      <w:r w:rsidR="00594FD0" w:rsidRPr="008A1679">
        <w:t xml:space="preserve">exposure to </w:t>
      </w:r>
      <w:r w:rsidR="003163E1" w:rsidRPr="008A1679">
        <w:t xml:space="preserve">explain </w:t>
      </w:r>
      <w:r w:rsidR="00D77EB9" w:rsidRPr="008A1679">
        <w:t>the</w:t>
      </w:r>
      <w:r w:rsidR="003163E1" w:rsidRPr="008A1679">
        <w:t>ir</w:t>
      </w:r>
      <w:r w:rsidR="00D77EB9" w:rsidRPr="008A1679">
        <w:t xml:space="preserve"> presentation</w:t>
      </w:r>
      <w:r w:rsidR="00594FD0" w:rsidRPr="008A1679">
        <w:t xml:space="preserve">. </w:t>
      </w:r>
    </w:p>
    <w:p w:rsidR="00594FD0" w:rsidRPr="008A1679" w:rsidRDefault="00594FD0" w:rsidP="00945AD4">
      <w:r w:rsidRPr="008A1679">
        <w:t xml:space="preserve">Relatively few </w:t>
      </w:r>
      <w:r w:rsidR="0006145A" w:rsidRPr="008A1679">
        <w:t xml:space="preserve">research </w:t>
      </w:r>
      <w:r w:rsidRPr="008A1679">
        <w:t>groups have reported more than one diagnosis</w:t>
      </w:r>
      <w:r w:rsidR="003163E1" w:rsidRPr="008A1679">
        <w:t xml:space="preserve"> contributing to workers’ clinical presentations</w:t>
      </w:r>
      <w:r w:rsidRPr="008A1679">
        <w:t xml:space="preserve">, which we feel is an important oversight in the </w:t>
      </w:r>
      <w:proofErr w:type="spellStart"/>
      <w:r w:rsidRPr="008A1679">
        <w:t>literature</w:t>
      </w:r>
      <w:r w:rsidR="00B96584" w:rsidRPr="008A1679">
        <w:rPr>
          <w:vertAlign w:val="superscript"/>
        </w:rPr>
        <w:t>5</w:t>
      </w:r>
      <w:proofErr w:type="spellEnd"/>
      <w:r w:rsidR="00594E5D" w:rsidRPr="008A1679">
        <w:rPr>
          <w:vertAlign w:val="superscript"/>
        </w:rPr>
        <w:t>, 43</w:t>
      </w:r>
      <w:r w:rsidR="008F7470" w:rsidRPr="008A1679">
        <w:rPr>
          <w:vertAlign w:val="superscript"/>
        </w:rPr>
        <w:t>,</w:t>
      </w:r>
      <w:r w:rsidR="00DB7CDB" w:rsidRPr="008A1679">
        <w:rPr>
          <w:vertAlign w:val="superscript"/>
        </w:rPr>
        <w:t xml:space="preserve"> </w:t>
      </w:r>
      <w:proofErr w:type="gramStart"/>
      <w:r w:rsidR="00DB7CDB" w:rsidRPr="008A1679">
        <w:rPr>
          <w:vertAlign w:val="superscript"/>
        </w:rPr>
        <w:t>45</w:t>
      </w:r>
      <w:proofErr w:type="gramEnd"/>
      <w:r w:rsidR="00183B82" w:rsidRPr="008A1679">
        <w:t>.</w:t>
      </w:r>
      <w:r w:rsidRPr="008A1679">
        <w:t xml:space="preserve"> </w:t>
      </w:r>
      <w:r w:rsidR="0006145A" w:rsidRPr="008A1679">
        <w:t xml:space="preserve">An exception is </w:t>
      </w:r>
      <w:proofErr w:type="spellStart"/>
      <w:r w:rsidRPr="008A1679">
        <w:t>Rietchel</w:t>
      </w:r>
      <w:proofErr w:type="spellEnd"/>
      <w:r w:rsidRPr="008A1679">
        <w:t xml:space="preserve"> </w:t>
      </w:r>
      <w:proofErr w:type="gramStart"/>
      <w:r w:rsidRPr="008A1679">
        <w:t>et</w:t>
      </w:r>
      <w:proofErr w:type="gramEnd"/>
      <w:r w:rsidRPr="008A1679">
        <w:t xml:space="preserve"> </w:t>
      </w:r>
      <w:proofErr w:type="spellStart"/>
      <w:r w:rsidRPr="008A1679">
        <w:t>al</w:t>
      </w:r>
      <w:r w:rsidR="001A0FF3" w:rsidRPr="008A1679">
        <w:rPr>
          <w:vertAlign w:val="superscript"/>
        </w:rPr>
        <w:t>4</w:t>
      </w:r>
      <w:r w:rsidR="00B96584" w:rsidRPr="008A1679">
        <w:rPr>
          <w:vertAlign w:val="superscript"/>
        </w:rPr>
        <w:t>5</w:t>
      </w:r>
      <w:proofErr w:type="spellEnd"/>
      <w:r w:rsidRPr="008A1679">
        <w:t xml:space="preserve"> </w:t>
      </w:r>
      <w:r w:rsidR="0006145A" w:rsidRPr="008A1679">
        <w:t xml:space="preserve">who </w:t>
      </w:r>
      <w:r w:rsidRPr="008A1679">
        <w:t>report</w:t>
      </w:r>
      <w:r w:rsidR="0006145A" w:rsidRPr="008A1679">
        <w:t>ed</w:t>
      </w:r>
      <w:r w:rsidRPr="008A1679">
        <w:t xml:space="preserve"> frequencies for bot</w:t>
      </w:r>
      <w:r w:rsidR="00335364" w:rsidRPr="008A1679">
        <w:t>h primary and secondary diagnose</w:t>
      </w:r>
      <w:r w:rsidR="0006145A" w:rsidRPr="008A1679">
        <w:t>s. They</w:t>
      </w:r>
      <w:r w:rsidRPr="008A1679">
        <w:t xml:space="preserve"> found that </w:t>
      </w:r>
      <w:proofErr w:type="spellStart"/>
      <w:r w:rsidRPr="008A1679">
        <w:t>ACD</w:t>
      </w:r>
      <w:proofErr w:type="spellEnd"/>
      <w:r w:rsidRPr="008A1679">
        <w:t xml:space="preserve"> was more common than </w:t>
      </w:r>
      <w:proofErr w:type="spellStart"/>
      <w:r w:rsidRPr="008A1679">
        <w:t>ICD</w:t>
      </w:r>
      <w:proofErr w:type="spellEnd"/>
      <w:r w:rsidRPr="008A1679">
        <w:t xml:space="preserve"> as a primary diagnosis, but less common as a secondary diagnosis. However, overall they had a secondary diagnosis in only 29.6% of patients, </w:t>
      </w:r>
      <w:r w:rsidR="007B4D2B" w:rsidRPr="008A1679">
        <w:t>and</w:t>
      </w:r>
      <w:r w:rsidRPr="008A1679">
        <w:t xml:space="preserve"> no tertiary </w:t>
      </w:r>
      <w:r w:rsidR="007B4D2B" w:rsidRPr="008A1679">
        <w:t>or quaternary diagnose</w:t>
      </w:r>
      <w:r w:rsidRPr="008A1679">
        <w:t xml:space="preserve">s. We have </w:t>
      </w:r>
      <w:r w:rsidR="00B96584" w:rsidRPr="008A1679">
        <w:t xml:space="preserve">assigned </w:t>
      </w:r>
      <w:r w:rsidRPr="008A1679">
        <w:t xml:space="preserve">a secondary diagnosis to 57.6% of patients with </w:t>
      </w:r>
      <w:proofErr w:type="spellStart"/>
      <w:r w:rsidRPr="008A1679">
        <w:t>OSD</w:t>
      </w:r>
      <w:proofErr w:type="spellEnd"/>
      <w:r w:rsidRPr="008A1679">
        <w:t xml:space="preserve">, and a tertiary diagnosis to 17.6% of patients. </w:t>
      </w:r>
      <w:proofErr w:type="spellStart"/>
      <w:r w:rsidRPr="008A1679">
        <w:t>Dickel</w:t>
      </w:r>
      <w:proofErr w:type="spellEnd"/>
      <w:r w:rsidRPr="008A1679">
        <w:t xml:space="preserve"> et al</w:t>
      </w:r>
      <w:r w:rsidR="00183B82" w:rsidRPr="008A1679">
        <w:t>.</w:t>
      </w:r>
      <w:r w:rsidRPr="008A1679">
        <w:t xml:space="preserve"> </w:t>
      </w:r>
      <w:r w:rsidR="003163E1" w:rsidRPr="008A1679">
        <w:t xml:space="preserve">also </w:t>
      </w:r>
      <w:r w:rsidRPr="008A1679">
        <w:t xml:space="preserve">presented data on </w:t>
      </w:r>
      <w:r w:rsidR="00D55577" w:rsidRPr="008A1679">
        <w:t>patients in whom multiple diagnoses had</w:t>
      </w:r>
      <w:r w:rsidRPr="008A1679">
        <w:t xml:space="preserve"> been made, though </w:t>
      </w:r>
      <w:r w:rsidR="00594E5D" w:rsidRPr="008A1679">
        <w:t>they have</w:t>
      </w:r>
      <w:r w:rsidR="002212C2" w:rsidRPr="008A1679">
        <w:t xml:space="preserve"> not </w:t>
      </w:r>
      <w:r w:rsidR="00594E5D" w:rsidRPr="008A1679">
        <w:t>presented specific</w:t>
      </w:r>
      <w:r w:rsidRPr="008A1679">
        <w:t xml:space="preserve"> data</w:t>
      </w:r>
      <w:r w:rsidR="00335364" w:rsidRPr="008A1679">
        <w:t xml:space="preserve"> on the priority of the </w:t>
      </w:r>
      <w:proofErr w:type="spellStart"/>
      <w:r w:rsidR="00335364" w:rsidRPr="008A1679">
        <w:t>diagnose</w:t>
      </w:r>
      <w:r w:rsidRPr="008A1679">
        <w:t>s</w:t>
      </w:r>
      <w:r w:rsidR="00B96584" w:rsidRPr="008A1679">
        <w:rPr>
          <w:vertAlign w:val="superscript"/>
        </w:rPr>
        <w:t>41</w:t>
      </w:r>
      <w:proofErr w:type="spellEnd"/>
      <w:r w:rsidR="00183B82" w:rsidRPr="008A1679">
        <w:t>.</w:t>
      </w:r>
    </w:p>
    <w:p w:rsidR="002C4CBD" w:rsidRPr="008A1679" w:rsidRDefault="00422E13" w:rsidP="00945AD4">
      <w:r w:rsidRPr="008A1679">
        <w:t xml:space="preserve">The most common occupationally relevant allergens </w:t>
      </w:r>
      <w:r w:rsidR="00E23347" w:rsidRPr="008A1679">
        <w:t xml:space="preserve">amongst patients at our clinic </w:t>
      </w:r>
      <w:r w:rsidRPr="008A1679">
        <w:t xml:space="preserve">were </w:t>
      </w:r>
      <w:proofErr w:type="spellStart"/>
      <w:r w:rsidRPr="008A1679">
        <w:t>tetraethylthiuram</w:t>
      </w:r>
      <w:proofErr w:type="spellEnd"/>
      <w:r w:rsidRPr="008A1679">
        <w:t xml:space="preserve"> disulfide, followed by ammonium </w:t>
      </w:r>
      <w:proofErr w:type="spellStart"/>
      <w:r w:rsidRPr="008A1679">
        <w:t>persulfate</w:t>
      </w:r>
      <w:proofErr w:type="spellEnd"/>
      <w:r w:rsidRPr="008A1679">
        <w:t xml:space="preserve">, </w:t>
      </w:r>
      <w:proofErr w:type="spellStart"/>
      <w:r w:rsidRPr="008A1679">
        <w:t>thiuram</w:t>
      </w:r>
      <w:proofErr w:type="spellEnd"/>
      <w:r w:rsidRPr="008A1679">
        <w:t xml:space="preserve"> mix, </w:t>
      </w:r>
      <w:proofErr w:type="spellStart"/>
      <w:r w:rsidRPr="008A1679">
        <w:t>tetramethylthiuram</w:t>
      </w:r>
      <w:proofErr w:type="spellEnd"/>
      <w:r w:rsidRPr="008A1679">
        <w:t xml:space="preserve"> </w:t>
      </w:r>
      <w:proofErr w:type="spellStart"/>
      <w:r w:rsidRPr="008A1679">
        <w:t>monosulfide</w:t>
      </w:r>
      <w:proofErr w:type="spellEnd"/>
      <w:r w:rsidRPr="008A1679">
        <w:t>, potassium dichromate, 4-</w:t>
      </w:r>
      <w:proofErr w:type="spellStart"/>
      <w:r w:rsidRPr="008A1679">
        <w:t>phenylenediamine</w:t>
      </w:r>
      <w:proofErr w:type="spellEnd"/>
      <w:r w:rsidRPr="008A1679">
        <w:t xml:space="preserve">, </w:t>
      </w:r>
      <w:proofErr w:type="spellStart"/>
      <w:proofErr w:type="gramStart"/>
      <w:r w:rsidRPr="008A1679">
        <w:t>tetramethylthiuram</w:t>
      </w:r>
      <w:proofErr w:type="spellEnd"/>
      <w:proofErr w:type="gramEnd"/>
      <w:r w:rsidRPr="008A1679">
        <w:t xml:space="preserve"> disulfide and epoxy resin. </w:t>
      </w:r>
      <w:r w:rsidR="00594FD0" w:rsidRPr="008A1679">
        <w:t xml:space="preserve">These are different to those reported by </w:t>
      </w:r>
      <w:proofErr w:type="spellStart"/>
      <w:r w:rsidR="00594FD0" w:rsidRPr="008A1679">
        <w:t>Kucenic</w:t>
      </w:r>
      <w:r w:rsidR="00B96584" w:rsidRPr="008A1679">
        <w:rPr>
          <w:vertAlign w:val="superscript"/>
        </w:rPr>
        <w:t>43</w:t>
      </w:r>
      <w:proofErr w:type="spellEnd"/>
      <w:r w:rsidR="00183B82" w:rsidRPr="008A1679">
        <w:t>.</w:t>
      </w:r>
      <w:r w:rsidR="00594FD0" w:rsidRPr="008A1679">
        <w:t xml:space="preserve"> They found nickel to be the mo</w:t>
      </w:r>
      <w:r w:rsidR="009A2110">
        <w:t xml:space="preserve">st common allergen in </w:t>
      </w:r>
      <w:proofErr w:type="spellStart"/>
      <w:r w:rsidR="009A2110">
        <w:t>OSD</w:t>
      </w:r>
      <w:proofErr w:type="spellEnd"/>
      <w:r w:rsidR="009A2110">
        <w:t>. While</w:t>
      </w:r>
      <w:r w:rsidR="00594FD0" w:rsidRPr="008A1679">
        <w:t xml:space="preserve"> we </w:t>
      </w:r>
      <w:r w:rsidR="007B4D2B" w:rsidRPr="008A1679">
        <w:t>found</w:t>
      </w:r>
      <w:r w:rsidR="00594FD0" w:rsidRPr="008A1679">
        <w:t xml:space="preserve"> nicke</w:t>
      </w:r>
      <w:r w:rsidR="00335364" w:rsidRPr="008A1679">
        <w:t>l to be the most common positive reaction</w:t>
      </w:r>
      <w:r w:rsidR="00D55577" w:rsidRPr="008A1679">
        <w:t xml:space="preserve"> on testing</w:t>
      </w:r>
      <w:r w:rsidR="00594FD0" w:rsidRPr="008A1679">
        <w:t>, w</w:t>
      </w:r>
      <w:r w:rsidR="007B4D2B" w:rsidRPr="008A1679">
        <w:t>e usually did not find any relevant exposure in</w:t>
      </w:r>
      <w:r w:rsidR="00E23347" w:rsidRPr="008A1679">
        <w:t xml:space="preserve"> the workplace</w:t>
      </w:r>
      <w:r w:rsidR="00594FD0" w:rsidRPr="008A1679">
        <w:t xml:space="preserve"> and it is ranked </w:t>
      </w:r>
      <w:r w:rsidRPr="008A1679">
        <w:t>fourteenth</w:t>
      </w:r>
      <w:r w:rsidR="00594FD0" w:rsidRPr="008A1679">
        <w:t xml:space="preserve"> in our data. They also had high rates of allergy to the topical antibiotics neomycin </w:t>
      </w:r>
      <w:proofErr w:type="spellStart"/>
      <w:r w:rsidR="00594FD0" w:rsidRPr="008A1679">
        <w:t>sulfate</w:t>
      </w:r>
      <w:proofErr w:type="spellEnd"/>
      <w:r w:rsidR="00594FD0" w:rsidRPr="008A1679">
        <w:t xml:space="preserve"> and </w:t>
      </w:r>
      <w:proofErr w:type="spellStart"/>
      <w:r w:rsidR="00594FD0" w:rsidRPr="008A1679">
        <w:t>bacitracin</w:t>
      </w:r>
      <w:proofErr w:type="spellEnd"/>
      <w:r w:rsidR="00594FD0" w:rsidRPr="008A1679">
        <w:t>. These are not commonly used in Australia</w:t>
      </w:r>
      <w:r w:rsidR="002212C2" w:rsidRPr="008A1679">
        <w:t xml:space="preserve"> and hence were not identified in this </w:t>
      </w:r>
      <w:r w:rsidR="00BF236B" w:rsidRPr="008A1679">
        <w:t xml:space="preserve">study. </w:t>
      </w:r>
      <w:r w:rsidR="00594FD0" w:rsidRPr="008A1679">
        <w:t>Finally they do not list 4-</w:t>
      </w:r>
      <w:proofErr w:type="spellStart"/>
      <w:r w:rsidR="00594FD0" w:rsidRPr="008A1679">
        <w:t>phenylene</w:t>
      </w:r>
      <w:proofErr w:type="spellEnd"/>
      <w:r w:rsidR="00594FD0" w:rsidRPr="008A1679">
        <w:t xml:space="preserve"> </w:t>
      </w:r>
      <w:proofErr w:type="spellStart"/>
      <w:r w:rsidR="00594FD0" w:rsidRPr="008A1679">
        <w:t>diamine</w:t>
      </w:r>
      <w:proofErr w:type="spellEnd"/>
      <w:r w:rsidR="00326505" w:rsidRPr="008A1679">
        <w:t xml:space="preserve"> (permanent hair dye)</w:t>
      </w:r>
      <w:r w:rsidR="00594FD0" w:rsidRPr="008A1679">
        <w:t>, ammonium persulphate</w:t>
      </w:r>
      <w:r w:rsidR="00901F8F" w:rsidRPr="008A1679">
        <w:t xml:space="preserve"> (hairdressing bleach) </w:t>
      </w:r>
      <w:r w:rsidR="00594FD0" w:rsidRPr="008A1679">
        <w:t xml:space="preserve">or </w:t>
      </w:r>
      <w:proofErr w:type="spellStart"/>
      <w:r w:rsidR="00594FD0" w:rsidRPr="008A1679">
        <w:t>glyceryl</w:t>
      </w:r>
      <w:proofErr w:type="spellEnd"/>
      <w:r w:rsidR="00594FD0" w:rsidRPr="008A1679">
        <w:t xml:space="preserve"> </w:t>
      </w:r>
      <w:proofErr w:type="spellStart"/>
      <w:r w:rsidR="00594FD0" w:rsidRPr="008A1679">
        <w:t>monothioglycolate</w:t>
      </w:r>
      <w:proofErr w:type="spellEnd"/>
      <w:r w:rsidR="00901F8F" w:rsidRPr="008A1679">
        <w:t xml:space="preserve"> (perming solution)</w:t>
      </w:r>
      <w:r w:rsidR="00594FD0" w:rsidRPr="008A1679">
        <w:t>. This appears to be because they did not assess many hairdressers, wh</w:t>
      </w:r>
      <w:r w:rsidR="00E23347" w:rsidRPr="008A1679">
        <w:t>ereas in our referred population,</w:t>
      </w:r>
      <w:r w:rsidR="00594FD0" w:rsidRPr="008A1679">
        <w:t xml:space="preserve"> hairdressers and beauty therapists are </w:t>
      </w:r>
      <w:r w:rsidR="00E23347" w:rsidRPr="008A1679">
        <w:t>the</w:t>
      </w:r>
      <w:r w:rsidR="00594FD0" w:rsidRPr="008A1679">
        <w:t xml:space="preserve"> f</w:t>
      </w:r>
      <w:r w:rsidRPr="008A1679">
        <w:t>ourth</w:t>
      </w:r>
      <w:r w:rsidR="00594FD0" w:rsidRPr="008A1679">
        <w:t xml:space="preserve"> most common occupational group</w:t>
      </w:r>
      <w:r w:rsidR="00532919" w:rsidRPr="008A1679">
        <w:t xml:space="preserve"> </w:t>
      </w:r>
      <w:r w:rsidR="00BF236B" w:rsidRPr="008A1679">
        <w:t xml:space="preserve">and </w:t>
      </w:r>
      <w:r w:rsidR="00E23347" w:rsidRPr="008A1679">
        <w:t xml:space="preserve">the occupation with the highest rate of </w:t>
      </w:r>
      <w:proofErr w:type="spellStart"/>
      <w:r w:rsidR="00E23347" w:rsidRPr="008A1679">
        <w:t>OCD</w:t>
      </w:r>
      <w:proofErr w:type="spellEnd"/>
      <w:r w:rsidR="00E23347" w:rsidRPr="008A1679">
        <w:t>. Hairdressers</w:t>
      </w:r>
      <w:r w:rsidR="00594FD0" w:rsidRPr="008A1679">
        <w:t xml:space="preserve"> have </w:t>
      </w:r>
      <w:r w:rsidR="00BF236B" w:rsidRPr="008A1679">
        <w:t xml:space="preserve">also </w:t>
      </w:r>
      <w:r w:rsidR="00594FD0" w:rsidRPr="008A1679">
        <w:t xml:space="preserve">been shown to have the </w:t>
      </w:r>
      <w:r w:rsidR="00532919" w:rsidRPr="008A1679">
        <w:t>highest</w:t>
      </w:r>
      <w:r w:rsidR="00594FD0" w:rsidRPr="008A1679">
        <w:t xml:space="preserve"> incidence rate</w:t>
      </w:r>
      <w:r w:rsidR="00E23347" w:rsidRPr="008A1679">
        <w:t>s</w:t>
      </w:r>
      <w:r w:rsidR="00594FD0" w:rsidRPr="008A1679">
        <w:t xml:space="preserve"> </w:t>
      </w:r>
      <w:r w:rsidR="00E23347" w:rsidRPr="008A1679">
        <w:t>of</w:t>
      </w:r>
      <w:r w:rsidR="00594FD0" w:rsidRPr="008A1679">
        <w:t xml:space="preserve"> </w:t>
      </w:r>
      <w:proofErr w:type="spellStart"/>
      <w:r w:rsidR="00594FD0" w:rsidRPr="008A1679">
        <w:t>OSD</w:t>
      </w:r>
      <w:proofErr w:type="spellEnd"/>
      <w:r w:rsidR="00594FD0" w:rsidRPr="008A1679">
        <w:t xml:space="preserve"> </w:t>
      </w:r>
      <w:proofErr w:type="spellStart"/>
      <w:r w:rsidR="00594FD0" w:rsidRPr="008A1679">
        <w:t>elsewhere</w:t>
      </w:r>
      <w:r w:rsidR="00594E5D" w:rsidRPr="008A1679">
        <w:rPr>
          <w:vertAlign w:val="superscript"/>
        </w:rPr>
        <w:t>5</w:t>
      </w:r>
      <w:proofErr w:type="spellEnd"/>
      <w:r w:rsidR="00DB7CDB" w:rsidRPr="008A1679">
        <w:rPr>
          <w:vertAlign w:val="superscript"/>
        </w:rPr>
        <w:t>, 42</w:t>
      </w:r>
      <w:r w:rsidR="00183B82" w:rsidRPr="008A1679">
        <w:t>.</w:t>
      </w:r>
      <w:r w:rsidR="00594FD0" w:rsidRPr="008A1679">
        <w:t xml:space="preserve"> </w:t>
      </w:r>
    </w:p>
    <w:p w:rsidR="00594FD0" w:rsidRPr="008A1679" w:rsidRDefault="00594FD0" w:rsidP="00945AD4">
      <w:pPr>
        <w:rPr>
          <w:vertAlign w:val="superscript"/>
        </w:rPr>
      </w:pPr>
      <w:r w:rsidRPr="008A1679">
        <w:t>Our list of common allergens</w:t>
      </w:r>
      <w:r w:rsidR="00D41933" w:rsidRPr="008A1679">
        <w:t xml:space="preserve"> (</w:t>
      </w:r>
      <w:r w:rsidR="00B967B9">
        <w:fldChar w:fldCharType="begin"/>
      </w:r>
      <w:r w:rsidR="00B967B9">
        <w:instrText xml:space="preserve"> REF _Ref309646600 \h </w:instrText>
      </w:r>
      <w:r w:rsidR="00B967B9">
        <w:fldChar w:fldCharType="separate"/>
      </w:r>
      <w:r w:rsidR="005406BD" w:rsidRPr="008A1679">
        <w:t xml:space="preserve">Table </w:t>
      </w:r>
      <w:r w:rsidR="005406BD" w:rsidRPr="008A1679">
        <w:rPr>
          <w:noProof/>
        </w:rPr>
        <w:t>4</w:t>
      </w:r>
      <w:r w:rsidR="00B967B9">
        <w:fldChar w:fldCharType="end"/>
      </w:r>
      <w:r w:rsidR="00D41933" w:rsidRPr="008A1679">
        <w:t>)</w:t>
      </w:r>
      <w:r w:rsidRPr="008A1679">
        <w:t xml:space="preserve"> is most similar to that of </w:t>
      </w:r>
      <w:proofErr w:type="spellStart"/>
      <w:r w:rsidRPr="008A1679">
        <w:t>Dickel</w:t>
      </w:r>
      <w:r w:rsidR="002C4CBD" w:rsidRPr="008A1679">
        <w:rPr>
          <w:vertAlign w:val="superscript"/>
        </w:rPr>
        <w:t>41</w:t>
      </w:r>
      <w:proofErr w:type="spellEnd"/>
      <w:r w:rsidR="00D41933" w:rsidRPr="008A1679">
        <w:t xml:space="preserve">. However, one difference is that </w:t>
      </w:r>
      <w:r w:rsidRPr="008A1679">
        <w:t>they include natural rubber latex in this group, it being their most common allergen, followed by potassium dichromate and ammonium persulphate. As would be expected, the most common allergens found in Rosen</w:t>
      </w:r>
      <w:r w:rsidR="00335364" w:rsidRPr="008A1679">
        <w:t>’</w:t>
      </w:r>
      <w:r w:rsidRPr="008A1679">
        <w:t>s study in New South Wales were similar</w:t>
      </w:r>
      <w:r w:rsidR="00D55577" w:rsidRPr="008A1679">
        <w:t xml:space="preserve"> to ours</w:t>
      </w:r>
      <w:r w:rsidR="00335364" w:rsidRPr="008A1679">
        <w:t>: p</w:t>
      </w:r>
      <w:r w:rsidRPr="008A1679">
        <w:t xml:space="preserve">otassium dichromate, </w:t>
      </w:r>
      <w:proofErr w:type="spellStart"/>
      <w:r w:rsidRPr="008A1679">
        <w:t>thiurams</w:t>
      </w:r>
      <w:proofErr w:type="spellEnd"/>
      <w:r w:rsidRPr="008A1679">
        <w:t xml:space="preserve"> and epoxy </w:t>
      </w:r>
      <w:proofErr w:type="spellStart"/>
      <w:r w:rsidRPr="008A1679">
        <w:t>resins</w:t>
      </w:r>
      <w:r w:rsidR="00BB2DE1" w:rsidRPr="008A1679">
        <w:rPr>
          <w:vertAlign w:val="superscript"/>
        </w:rPr>
        <w:t>4</w:t>
      </w:r>
      <w:r w:rsidR="004408EC" w:rsidRPr="008A1679">
        <w:rPr>
          <w:vertAlign w:val="superscript"/>
        </w:rPr>
        <w:t>6</w:t>
      </w:r>
      <w:proofErr w:type="spellEnd"/>
      <w:r w:rsidR="00183B82" w:rsidRPr="008A1679">
        <w:t>.</w:t>
      </w:r>
    </w:p>
    <w:p w:rsidR="00594FD0" w:rsidRPr="008A1679" w:rsidRDefault="00D41933" w:rsidP="00945AD4">
      <w:r w:rsidRPr="008A1679">
        <w:t>Our data shows that</w:t>
      </w:r>
      <w:r w:rsidR="00DD2857" w:rsidRPr="008A1679">
        <w:t xml:space="preserve"> t</w:t>
      </w:r>
      <w:r w:rsidR="00422E13" w:rsidRPr="008A1679">
        <w:t xml:space="preserve">he occupations </w:t>
      </w:r>
      <w:r w:rsidR="00DD2857" w:rsidRPr="008A1679">
        <w:t xml:space="preserve">in which </w:t>
      </w:r>
      <w:proofErr w:type="spellStart"/>
      <w:r w:rsidR="00DD2857" w:rsidRPr="008A1679">
        <w:t>OSD</w:t>
      </w:r>
      <w:proofErr w:type="spellEnd"/>
      <w:r w:rsidR="00DD2857" w:rsidRPr="008A1679">
        <w:t xml:space="preserve"> is most commonly diagnosed</w:t>
      </w:r>
      <w:r w:rsidR="00422E13" w:rsidRPr="008A1679">
        <w:t xml:space="preserve"> are tradespersons and labourers, healthcare workers, food handlers, hairdressers and beauty technicians and machine and plant operators. </w:t>
      </w:r>
      <w:r w:rsidR="00594FD0" w:rsidRPr="008A1679">
        <w:t xml:space="preserve">This is broadly similar to the occupations previously </w:t>
      </w:r>
      <w:proofErr w:type="spellStart"/>
      <w:r w:rsidR="00594FD0" w:rsidRPr="008A1679">
        <w:t>reported</w:t>
      </w:r>
      <w:r w:rsidR="005E4EC8" w:rsidRPr="008A1679">
        <w:rPr>
          <w:vertAlign w:val="superscript"/>
        </w:rPr>
        <w:t>5</w:t>
      </w:r>
      <w:proofErr w:type="spellEnd"/>
      <w:r w:rsidR="00594E5D" w:rsidRPr="008A1679">
        <w:rPr>
          <w:vertAlign w:val="superscript"/>
        </w:rPr>
        <w:t>, 43</w:t>
      </w:r>
      <w:r w:rsidR="005E4EC8" w:rsidRPr="008A1679">
        <w:rPr>
          <w:vertAlign w:val="superscript"/>
        </w:rPr>
        <w:t>-45</w:t>
      </w:r>
      <w:r w:rsidR="00183B82" w:rsidRPr="008A1679">
        <w:t>,</w:t>
      </w:r>
      <w:r w:rsidR="00594FD0" w:rsidRPr="008A1679">
        <w:t xml:space="preserve"> with the exception of the Singaporean </w:t>
      </w:r>
      <w:proofErr w:type="spellStart"/>
      <w:r w:rsidR="00594FD0" w:rsidRPr="008A1679">
        <w:t>data</w:t>
      </w:r>
      <w:r w:rsidR="004C2346" w:rsidRPr="008A1679">
        <w:rPr>
          <w:vertAlign w:val="superscript"/>
        </w:rPr>
        <w:t>44</w:t>
      </w:r>
      <w:proofErr w:type="spellEnd"/>
      <w:r w:rsidR="00183B82" w:rsidRPr="008A1679">
        <w:t>,</w:t>
      </w:r>
      <w:r w:rsidR="00594FD0" w:rsidRPr="008A1679">
        <w:t xml:space="preserve"> and that from </w:t>
      </w:r>
      <w:proofErr w:type="spellStart"/>
      <w:r w:rsidR="00594FD0" w:rsidRPr="008A1679">
        <w:t>Kucenic</w:t>
      </w:r>
      <w:r w:rsidR="004C2346" w:rsidRPr="008A1679">
        <w:rPr>
          <w:vertAlign w:val="superscript"/>
        </w:rPr>
        <w:t>43</w:t>
      </w:r>
      <w:proofErr w:type="spellEnd"/>
      <w:r w:rsidR="00183B82" w:rsidRPr="008A1679">
        <w:t>,</w:t>
      </w:r>
      <w:r w:rsidR="00594FD0" w:rsidRPr="008A1679">
        <w:t xml:space="preserve"> for the reasons previously discussed.</w:t>
      </w:r>
    </w:p>
    <w:p w:rsidR="00594FD0" w:rsidRPr="008A1679" w:rsidRDefault="00594FD0" w:rsidP="00945AD4">
      <w:r w:rsidRPr="008A1679">
        <w:t xml:space="preserve">The common presentation </w:t>
      </w:r>
      <w:r w:rsidR="003163E1" w:rsidRPr="008A1679">
        <w:t xml:space="preserve">of </w:t>
      </w:r>
      <w:proofErr w:type="spellStart"/>
      <w:r w:rsidR="003163E1" w:rsidRPr="008A1679">
        <w:t>OS</w:t>
      </w:r>
      <w:r w:rsidRPr="008A1679">
        <w:t>D</w:t>
      </w:r>
      <w:proofErr w:type="spellEnd"/>
      <w:r w:rsidRPr="008A1679">
        <w:t xml:space="preserve"> on the hands, arms and face is to be expected. Not only are these exposed areas, but work is invariably done with the hands, and they are therefore most frequently affected. </w:t>
      </w:r>
      <w:r w:rsidR="006C5B59" w:rsidRPr="008A1679">
        <w:t>In some studies</w:t>
      </w:r>
      <w:r w:rsidRPr="008A1679">
        <w:t>, the proportion of patients with hand dermatitis referred for assessment to an occupational clinic can be a</w:t>
      </w:r>
      <w:r w:rsidR="00D55577" w:rsidRPr="008A1679">
        <w:t>s</w:t>
      </w:r>
      <w:r w:rsidRPr="008A1679">
        <w:t xml:space="preserve"> high as 86%</w:t>
      </w:r>
      <w:r w:rsidR="00124FB1" w:rsidRPr="008A1679">
        <w:rPr>
          <w:vertAlign w:val="superscript"/>
        </w:rPr>
        <w:t>5</w:t>
      </w:r>
      <w:r w:rsidR="00183B82" w:rsidRPr="008A1679">
        <w:t>.</w:t>
      </w:r>
    </w:p>
    <w:p w:rsidR="002212C2" w:rsidRPr="008A1679" w:rsidRDefault="006974B6" w:rsidP="00945AD4">
      <w:pPr>
        <w:rPr>
          <w:i/>
        </w:rPr>
      </w:pPr>
      <w:r w:rsidRPr="008A1679">
        <w:t xml:space="preserve">Nearly 50% of patients diagnosed with </w:t>
      </w:r>
      <w:proofErr w:type="spellStart"/>
      <w:r w:rsidRPr="008A1679">
        <w:t>OSD</w:t>
      </w:r>
      <w:proofErr w:type="spellEnd"/>
      <w:r w:rsidRPr="008A1679">
        <w:t xml:space="preserve"> in this clinic were considered by the consulting dermatologist</w:t>
      </w:r>
      <w:r w:rsidR="00326505" w:rsidRPr="008A1679">
        <w:t xml:space="preserve"> (RN)</w:t>
      </w:r>
      <w:r w:rsidRPr="008A1679">
        <w:t xml:space="preserve"> to have an atopic tendency. </w:t>
      </w:r>
      <w:proofErr w:type="spellStart"/>
      <w:r w:rsidRPr="008A1679">
        <w:t>Dickel</w:t>
      </w:r>
      <w:proofErr w:type="spellEnd"/>
      <w:r w:rsidRPr="008A1679">
        <w:t xml:space="preserve"> et al</w:t>
      </w:r>
      <w:r w:rsidR="00183B82" w:rsidRPr="008A1679">
        <w:t>.</w:t>
      </w:r>
      <w:r w:rsidRPr="008A1679">
        <w:t xml:space="preserve"> have previously reported that 21.6% of </w:t>
      </w:r>
      <w:proofErr w:type="spellStart"/>
      <w:r w:rsidRPr="008A1679">
        <w:t>OSD</w:t>
      </w:r>
      <w:proofErr w:type="spellEnd"/>
      <w:r w:rsidRPr="008A1679">
        <w:t xml:space="preserve"> cases within certain occupational groups may be ascribed to an atopic skin diathesis; that is a personal history of atopic </w:t>
      </w:r>
      <w:proofErr w:type="spellStart"/>
      <w:r w:rsidRPr="008A1679">
        <w:t>dermatitis</w:t>
      </w:r>
      <w:r w:rsidR="00151152" w:rsidRPr="008A1679">
        <w:rPr>
          <w:vertAlign w:val="superscript"/>
        </w:rPr>
        <w:t>4</w:t>
      </w:r>
      <w:r w:rsidR="008F7470" w:rsidRPr="008A1679">
        <w:rPr>
          <w:vertAlign w:val="superscript"/>
        </w:rPr>
        <w:t>7</w:t>
      </w:r>
      <w:proofErr w:type="spellEnd"/>
      <w:r w:rsidR="00183B82" w:rsidRPr="008A1679">
        <w:t>.</w:t>
      </w:r>
      <w:r w:rsidR="00151152" w:rsidRPr="008A1679">
        <w:t xml:space="preserve"> </w:t>
      </w:r>
      <w:r w:rsidR="00847CD1" w:rsidRPr="008A1679">
        <w:t xml:space="preserve">Rosen and Freeman also showed that workers with an atopic diathesis were more at risk of </w:t>
      </w:r>
      <w:proofErr w:type="spellStart"/>
      <w:r w:rsidR="00847CD1" w:rsidRPr="008A1679">
        <w:t>ICD</w:t>
      </w:r>
      <w:proofErr w:type="spellEnd"/>
      <w:r w:rsidR="00847CD1" w:rsidRPr="008A1679">
        <w:t xml:space="preserve"> than </w:t>
      </w:r>
      <w:proofErr w:type="spellStart"/>
      <w:r w:rsidR="00847CD1" w:rsidRPr="008A1679">
        <w:t>ACD</w:t>
      </w:r>
      <w:r w:rsidR="00847CD1" w:rsidRPr="008A1679">
        <w:rPr>
          <w:vertAlign w:val="superscript"/>
        </w:rPr>
        <w:t>4</w:t>
      </w:r>
      <w:r w:rsidR="008F7470" w:rsidRPr="008A1679">
        <w:rPr>
          <w:vertAlign w:val="superscript"/>
        </w:rPr>
        <w:t>6</w:t>
      </w:r>
      <w:proofErr w:type="spellEnd"/>
      <w:r w:rsidR="00DD2857" w:rsidRPr="008A1679">
        <w:t xml:space="preserve">. </w:t>
      </w:r>
      <w:r w:rsidRPr="008A1679">
        <w:t xml:space="preserve">Definitions of atopy inevitably vary between studies making comparisons difficult, but atopy is clearly </w:t>
      </w:r>
      <w:r w:rsidR="005C56D7" w:rsidRPr="008A1679">
        <w:t xml:space="preserve">very </w:t>
      </w:r>
      <w:r w:rsidRPr="008A1679">
        <w:t>common in this population</w:t>
      </w:r>
      <w:r w:rsidR="00847CD1" w:rsidRPr="008A1679">
        <w:t xml:space="preserve"> </w:t>
      </w:r>
      <w:r w:rsidR="005C56D7" w:rsidRPr="008A1679">
        <w:t xml:space="preserve">of workers </w:t>
      </w:r>
      <w:r w:rsidR="00847CD1" w:rsidRPr="008A1679">
        <w:t xml:space="preserve">although </w:t>
      </w:r>
      <w:r w:rsidR="00DD2857" w:rsidRPr="008A1679">
        <w:t xml:space="preserve">it </w:t>
      </w:r>
      <w:r w:rsidR="00847CD1" w:rsidRPr="008A1679">
        <w:t xml:space="preserve">was not found to be more associated with </w:t>
      </w:r>
      <w:proofErr w:type="spellStart"/>
      <w:r w:rsidR="00847CD1" w:rsidRPr="008A1679">
        <w:t>ICD</w:t>
      </w:r>
      <w:proofErr w:type="spellEnd"/>
      <w:r w:rsidR="00DD2857" w:rsidRPr="008A1679">
        <w:t xml:space="preserve"> than </w:t>
      </w:r>
      <w:proofErr w:type="spellStart"/>
      <w:r w:rsidR="00DD2857" w:rsidRPr="008A1679">
        <w:t>ACD</w:t>
      </w:r>
      <w:proofErr w:type="spellEnd"/>
      <w:r w:rsidR="00847CD1" w:rsidRPr="008A1679">
        <w:t>.</w:t>
      </w:r>
      <w:r w:rsidRPr="008A1679">
        <w:t xml:space="preserve"> </w:t>
      </w:r>
    </w:p>
    <w:p w:rsidR="003163E1" w:rsidRPr="008A1679" w:rsidRDefault="003163E1" w:rsidP="00945AD4">
      <w:r w:rsidRPr="008A1679">
        <w:lastRenderedPageBreak/>
        <w:t xml:space="preserve">Patients with </w:t>
      </w:r>
      <w:proofErr w:type="spellStart"/>
      <w:r w:rsidRPr="008A1679">
        <w:t>PPOD</w:t>
      </w:r>
      <w:proofErr w:type="spellEnd"/>
      <w:r w:rsidRPr="008A1679">
        <w:t xml:space="preserve"> and psoriasis were found to be slightly older. The diagnosis of </w:t>
      </w:r>
      <w:proofErr w:type="spellStart"/>
      <w:r w:rsidRPr="008A1679">
        <w:t>PPOD</w:t>
      </w:r>
      <w:proofErr w:type="spellEnd"/>
      <w:r w:rsidRPr="008A1679">
        <w:t xml:space="preserve"> may only be made if the dermatitis is shown to persist after all relevant exposures have been eliminated, and adequate treatment has been instituted. </w:t>
      </w:r>
      <w:r w:rsidR="00124FB1" w:rsidRPr="008A1679">
        <w:t xml:space="preserve">It is a diagnosis more commonly made on patient follow-up than on initial assessment. </w:t>
      </w:r>
      <w:r w:rsidRPr="008A1679">
        <w:t xml:space="preserve">Psoriasis occurs in all ages but it was interesting that patients with psoriasis were generally older. A lower age was seen for patients with contact </w:t>
      </w:r>
      <w:proofErr w:type="spellStart"/>
      <w:r w:rsidRPr="008A1679">
        <w:t>urticaria</w:t>
      </w:r>
      <w:proofErr w:type="spellEnd"/>
      <w:r w:rsidRPr="008A1679">
        <w:t>. This is likely to be because the majority of patients in this group are food handlers</w:t>
      </w:r>
      <w:r w:rsidR="00DD2857" w:rsidRPr="008A1679">
        <w:t>,</w:t>
      </w:r>
      <w:r w:rsidR="00F120F8" w:rsidRPr="008A1679">
        <w:t xml:space="preserve"> </w:t>
      </w:r>
      <w:r w:rsidR="00DD2857" w:rsidRPr="008A1679">
        <w:t xml:space="preserve">who are </w:t>
      </w:r>
      <w:r w:rsidR="00F120F8" w:rsidRPr="008A1679">
        <w:t>allergic to foodstuffs</w:t>
      </w:r>
      <w:r w:rsidRPr="008A1679">
        <w:t>,</w:t>
      </w:r>
      <w:r w:rsidR="00DD2857" w:rsidRPr="008A1679">
        <w:t xml:space="preserve"> and</w:t>
      </w:r>
      <w:r w:rsidRPr="008A1679">
        <w:t xml:space="preserve"> </w:t>
      </w:r>
      <w:r w:rsidR="00DD2857" w:rsidRPr="008A1679">
        <w:t>who generally</w:t>
      </w:r>
      <w:r w:rsidRPr="008A1679">
        <w:t xml:space="preserve"> tend to be younger.</w:t>
      </w:r>
    </w:p>
    <w:p w:rsidR="003163E1" w:rsidRPr="008A1679" w:rsidRDefault="00532919" w:rsidP="00945AD4">
      <w:r w:rsidRPr="008A1679">
        <w:t xml:space="preserve">While this study has not provided </w:t>
      </w:r>
      <w:r w:rsidR="0024297C" w:rsidRPr="008A1679">
        <w:t>data</w:t>
      </w:r>
      <w:r w:rsidRPr="008A1679">
        <w:t xml:space="preserve"> regarding successful workers’ compensation claims, our previous work suggests that far fewer workers in Australia lodge successful claims for </w:t>
      </w:r>
      <w:proofErr w:type="spellStart"/>
      <w:r w:rsidRPr="008A1679">
        <w:t>OSD</w:t>
      </w:r>
      <w:proofErr w:type="spellEnd"/>
      <w:r w:rsidRPr="008A1679">
        <w:t xml:space="preserve"> than</w:t>
      </w:r>
      <w:r w:rsidR="00DD2857" w:rsidRPr="008A1679">
        <w:t xml:space="preserve"> who</w:t>
      </w:r>
      <w:r w:rsidRPr="008A1679">
        <w:t xml:space="preserve"> have </w:t>
      </w:r>
      <w:proofErr w:type="spellStart"/>
      <w:r w:rsidRPr="008A1679">
        <w:t>OSD</w:t>
      </w:r>
      <w:r w:rsidR="001B6A4B" w:rsidRPr="008A1679">
        <w:rPr>
          <w:vertAlign w:val="superscript"/>
        </w:rPr>
        <w:t>12</w:t>
      </w:r>
      <w:proofErr w:type="spellEnd"/>
      <w:r w:rsidRPr="008A1679">
        <w:t>. Anecdotally</w:t>
      </w:r>
      <w:r w:rsidR="00DD2857" w:rsidRPr="008A1679">
        <w:t>,</w:t>
      </w:r>
      <w:r w:rsidRPr="008A1679">
        <w:t xml:space="preserve"> our experience is that </w:t>
      </w:r>
      <w:r w:rsidR="001B6A4B" w:rsidRPr="008A1679">
        <w:t xml:space="preserve">workers with </w:t>
      </w:r>
      <w:proofErr w:type="spellStart"/>
      <w:r w:rsidR="00594E5D" w:rsidRPr="008A1679">
        <w:t>OSD</w:t>
      </w:r>
      <w:proofErr w:type="spellEnd"/>
      <w:r w:rsidR="00594E5D" w:rsidRPr="008A1679">
        <w:t xml:space="preserve"> are</w:t>
      </w:r>
      <w:r w:rsidRPr="008A1679">
        <w:t xml:space="preserve"> often reluctant to </w:t>
      </w:r>
      <w:r w:rsidR="001B6A4B" w:rsidRPr="008A1679">
        <w:t>submit claims for their skin disease.</w:t>
      </w:r>
      <w:r w:rsidRPr="008A1679">
        <w:t xml:space="preserve"> </w:t>
      </w:r>
      <w:r w:rsidR="001B6A4B" w:rsidRPr="008A1679">
        <w:t xml:space="preserve">In </w:t>
      </w:r>
      <w:r w:rsidRPr="008A1679">
        <w:t xml:space="preserve">addition, we have also found that females are less likely to claim workers’ compensation (unpublished data), and </w:t>
      </w:r>
      <w:r w:rsidR="001B6A4B" w:rsidRPr="008A1679">
        <w:t xml:space="preserve">note that </w:t>
      </w:r>
      <w:r w:rsidRPr="008A1679">
        <w:t>the hairdressing trade is predominantly comprised of females.</w:t>
      </w:r>
      <w:r w:rsidR="001B6A4B" w:rsidRPr="008A1679">
        <w:t xml:space="preserve"> It would be very worthwhile to compare relative rates of </w:t>
      </w:r>
      <w:proofErr w:type="spellStart"/>
      <w:r w:rsidR="001B6A4B" w:rsidRPr="008A1679">
        <w:t>OSD</w:t>
      </w:r>
      <w:proofErr w:type="spellEnd"/>
      <w:r w:rsidR="001B6A4B" w:rsidRPr="008A1679">
        <w:t xml:space="preserve"> from clinic data with workers’ compensation statistics.</w:t>
      </w:r>
    </w:p>
    <w:p w:rsidR="00594FD0" w:rsidRPr="008A1679" w:rsidRDefault="00594FD0" w:rsidP="00945AD4">
      <w:r w:rsidRPr="008A1679">
        <w:t>Th</w:t>
      </w:r>
      <w:r w:rsidR="009A2110">
        <w:t xml:space="preserve">e </w:t>
      </w:r>
      <w:r w:rsidRPr="008A1679">
        <w:t xml:space="preserve">main limitation to this study is that </w:t>
      </w:r>
      <w:r w:rsidR="00DD2857" w:rsidRPr="008A1679">
        <w:t>the data are sourced from only</w:t>
      </w:r>
      <w:r w:rsidRPr="008A1679">
        <w:t xml:space="preserve"> one tertiary referral clinic</w:t>
      </w:r>
      <w:r w:rsidR="00151152" w:rsidRPr="008A1679">
        <w:t xml:space="preserve"> in Melbourne</w:t>
      </w:r>
      <w:r w:rsidRPr="008A1679">
        <w:t xml:space="preserve">. </w:t>
      </w:r>
      <w:r w:rsidR="00F120F8" w:rsidRPr="008A1679">
        <w:t xml:space="preserve">Nevertheless as mentioned, this clinic captures a large proportion of cases of moderate to severe occupational dermatitis in the state of Victoria. </w:t>
      </w:r>
      <w:r w:rsidR="00DD2857" w:rsidRPr="008A1679">
        <w:t xml:space="preserve">Furthermore, our data are inherently biased towards more severe cases of </w:t>
      </w:r>
      <w:proofErr w:type="spellStart"/>
      <w:r w:rsidR="00DD2857" w:rsidRPr="008A1679">
        <w:t>OSD</w:t>
      </w:r>
      <w:proofErr w:type="spellEnd"/>
      <w:r w:rsidR="00DD2857" w:rsidRPr="008A1679">
        <w:t xml:space="preserve"> due to Australia’s</w:t>
      </w:r>
      <w:r w:rsidR="00124FB1" w:rsidRPr="008A1679">
        <w:t xml:space="preserve"> referral-based medical </w:t>
      </w:r>
      <w:r w:rsidR="009A2110">
        <w:t>system</w:t>
      </w:r>
      <w:r w:rsidR="008B1218" w:rsidRPr="008A1679">
        <w:t xml:space="preserve"> where</w:t>
      </w:r>
      <w:r w:rsidR="00124FB1" w:rsidRPr="008A1679">
        <w:t xml:space="preserve"> </w:t>
      </w:r>
      <w:r w:rsidRPr="008A1679">
        <w:t>only</w:t>
      </w:r>
      <w:r w:rsidR="006974B6" w:rsidRPr="008A1679">
        <w:t xml:space="preserve"> the more</w:t>
      </w:r>
      <w:r w:rsidRPr="008A1679">
        <w:t xml:space="preserve"> severe cases of </w:t>
      </w:r>
      <w:proofErr w:type="spellStart"/>
      <w:r w:rsidRPr="008A1679">
        <w:t>OSD</w:t>
      </w:r>
      <w:proofErr w:type="spellEnd"/>
      <w:r w:rsidRPr="008A1679">
        <w:t xml:space="preserve"> are likely to be referred</w:t>
      </w:r>
      <w:r w:rsidR="00151152" w:rsidRPr="008A1679">
        <w:t xml:space="preserve"> for patch testing</w:t>
      </w:r>
      <w:r w:rsidRPr="008A1679">
        <w:t>. However, the specialist nature of the clinic mean</w:t>
      </w:r>
      <w:r w:rsidR="00AE6868" w:rsidRPr="008A1679">
        <w:t xml:space="preserve">s that each patient undergoes </w:t>
      </w:r>
      <w:r w:rsidR="00004E1E" w:rsidRPr="008A1679">
        <w:t>extensive</w:t>
      </w:r>
      <w:r w:rsidRPr="008A1679">
        <w:t xml:space="preserve"> investigation</w:t>
      </w:r>
      <w:r w:rsidR="00AE6868" w:rsidRPr="008A1679">
        <w:t>s</w:t>
      </w:r>
      <w:r w:rsidRPr="008A1679">
        <w:t xml:space="preserve">, including patch testing </w:t>
      </w:r>
      <w:r w:rsidR="00096F88" w:rsidRPr="008A1679">
        <w:t xml:space="preserve">and often </w:t>
      </w:r>
      <w:proofErr w:type="gramStart"/>
      <w:r w:rsidR="00096F88" w:rsidRPr="008A1679">
        <w:t>prick</w:t>
      </w:r>
      <w:proofErr w:type="gramEnd"/>
      <w:r w:rsidR="00096F88" w:rsidRPr="008A1679">
        <w:t xml:space="preserve"> testing, </w:t>
      </w:r>
      <w:r w:rsidRPr="008A1679">
        <w:t xml:space="preserve">and therefore detailed information is obtained. </w:t>
      </w:r>
      <w:r w:rsidR="004726A6" w:rsidRPr="008A1679">
        <w:t>With the</w:t>
      </w:r>
      <w:r w:rsidR="00136701" w:rsidRPr="008A1679">
        <w:t xml:space="preserve"> majority </w:t>
      </w:r>
      <w:r w:rsidR="00096F88" w:rsidRPr="008A1679">
        <w:t xml:space="preserve">(&gt;95%) </w:t>
      </w:r>
      <w:r w:rsidR="00136701" w:rsidRPr="008A1679">
        <w:t>of</w:t>
      </w:r>
      <w:r w:rsidRPr="008A1679">
        <w:t xml:space="preserve"> patients</w:t>
      </w:r>
      <w:r w:rsidR="00136701" w:rsidRPr="008A1679">
        <w:t xml:space="preserve"> in this study</w:t>
      </w:r>
      <w:r w:rsidR="004726A6" w:rsidRPr="008A1679">
        <w:t xml:space="preserve"> having</w:t>
      </w:r>
      <w:r w:rsidRPr="008A1679">
        <w:t xml:space="preserve"> been assessed by one </w:t>
      </w:r>
      <w:r w:rsidR="00136701" w:rsidRPr="008A1679">
        <w:t>physician</w:t>
      </w:r>
      <w:r w:rsidR="004726A6" w:rsidRPr="008A1679">
        <w:t xml:space="preserve"> (RN)</w:t>
      </w:r>
      <w:r w:rsidR="00096F88" w:rsidRPr="008A1679">
        <w:t>,</w:t>
      </w:r>
      <w:r w:rsidRPr="008A1679">
        <w:t xml:space="preserve"> </w:t>
      </w:r>
      <w:r w:rsidR="004726A6" w:rsidRPr="008A1679">
        <w:t xml:space="preserve">there has been consistency with regard to the </w:t>
      </w:r>
      <w:r w:rsidR="00096F88" w:rsidRPr="008A1679">
        <w:t>process of diagnostic decision making</w:t>
      </w:r>
      <w:r w:rsidR="004726A6" w:rsidRPr="008A1679">
        <w:t xml:space="preserve"> and </w:t>
      </w:r>
      <w:r w:rsidR="00096F88" w:rsidRPr="008A1679">
        <w:t xml:space="preserve">the </w:t>
      </w:r>
      <w:r w:rsidR="004726A6" w:rsidRPr="008A1679">
        <w:t>determination of atopy</w:t>
      </w:r>
      <w:r w:rsidRPr="008A1679">
        <w:t xml:space="preserve">. </w:t>
      </w:r>
      <w:r w:rsidR="00004E1E" w:rsidRPr="008A1679">
        <w:t xml:space="preserve">This is the largest study of occupational dermatitis to date from the southern </w:t>
      </w:r>
      <w:r w:rsidR="00594E5D" w:rsidRPr="008A1679">
        <w:t>hemisphere.</w:t>
      </w:r>
      <w:r w:rsidR="00AB70F3" w:rsidRPr="008A1679">
        <w:t xml:space="preserve"> </w:t>
      </w:r>
      <w:r w:rsidR="00594E5D" w:rsidRPr="008A1679">
        <w:t>Notwithstanding</w:t>
      </w:r>
      <w:r w:rsidRPr="008A1679">
        <w:t xml:space="preserve"> there are the limitations </w:t>
      </w:r>
      <w:r w:rsidR="00004E1E" w:rsidRPr="008A1679">
        <w:t>from</w:t>
      </w:r>
      <w:r w:rsidRPr="008A1679">
        <w:t xml:space="preserve"> using a database not designed solely for research</w:t>
      </w:r>
      <w:r w:rsidR="004726A6" w:rsidRPr="008A1679">
        <w:t>,</w:t>
      </w:r>
      <w:r w:rsidRPr="008A1679">
        <w:t xml:space="preserve"> including the misclassification of information and non-entry into the </w:t>
      </w:r>
      <w:proofErr w:type="gramStart"/>
      <w:r w:rsidRPr="008A1679">
        <w:t>database.</w:t>
      </w:r>
      <w:proofErr w:type="gramEnd"/>
    </w:p>
    <w:p w:rsidR="00594FD0" w:rsidRPr="008A1679" w:rsidRDefault="00594FD0" w:rsidP="00945AD4">
      <w:r w:rsidRPr="008A1679">
        <w:t xml:space="preserve">In summary, we confirm the importance of </w:t>
      </w:r>
      <w:proofErr w:type="spellStart"/>
      <w:r w:rsidRPr="008A1679">
        <w:t>OCD</w:t>
      </w:r>
      <w:proofErr w:type="spellEnd"/>
      <w:r w:rsidRPr="008A1679">
        <w:t xml:space="preserve"> as the most common cause of </w:t>
      </w:r>
      <w:proofErr w:type="spellStart"/>
      <w:r w:rsidRPr="008A1679">
        <w:t>OSD</w:t>
      </w:r>
      <w:proofErr w:type="spellEnd"/>
      <w:r w:rsidRPr="008A1679">
        <w:t xml:space="preserve">, with more </w:t>
      </w:r>
      <w:proofErr w:type="spellStart"/>
      <w:r w:rsidRPr="008A1679">
        <w:t>ICD</w:t>
      </w:r>
      <w:proofErr w:type="spellEnd"/>
      <w:r w:rsidRPr="008A1679">
        <w:t xml:space="preserve"> than </w:t>
      </w:r>
      <w:proofErr w:type="spellStart"/>
      <w:r w:rsidRPr="008A1679">
        <w:t>ACD</w:t>
      </w:r>
      <w:proofErr w:type="spellEnd"/>
      <w:r w:rsidRPr="008A1679">
        <w:t xml:space="preserve"> in our data </w:t>
      </w:r>
      <w:r w:rsidR="00004E1E" w:rsidRPr="008A1679">
        <w:t xml:space="preserve">in </w:t>
      </w:r>
      <w:r w:rsidRPr="008A1679">
        <w:t xml:space="preserve">a referred clinic population. </w:t>
      </w:r>
      <w:proofErr w:type="spellStart"/>
      <w:r w:rsidRPr="008A1679">
        <w:t>ACD</w:t>
      </w:r>
      <w:proofErr w:type="spellEnd"/>
      <w:r w:rsidRPr="008A1679">
        <w:t xml:space="preserve"> was diagnosed only where relevant </w:t>
      </w:r>
      <w:r w:rsidR="008B1218" w:rsidRPr="008A1679">
        <w:t xml:space="preserve">work related </w:t>
      </w:r>
      <w:r w:rsidRPr="008A1679">
        <w:t xml:space="preserve">exposures were documented. We provide further evidence on the common causes of </w:t>
      </w:r>
      <w:proofErr w:type="spellStart"/>
      <w:r w:rsidRPr="008A1679">
        <w:t>ICD</w:t>
      </w:r>
      <w:proofErr w:type="spellEnd"/>
      <w:r w:rsidRPr="008A1679">
        <w:t xml:space="preserve"> and explain the differences observed between male and female workers. The importance of considering multiple </w:t>
      </w:r>
      <w:r w:rsidR="004726A6" w:rsidRPr="008A1679">
        <w:t xml:space="preserve">contributing factors to a clinical presentation </w:t>
      </w:r>
      <w:r w:rsidRPr="008A1679">
        <w:t>is emphasised</w:t>
      </w:r>
      <w:r w:rsidR="004726A6" w:rsidRPr="008A1679">
        <w:t>.</w:t>
      </w:r>
      <w:r w:rsidR="00901F8F" w:rsidRPr="008A1679">
        <w:t xml:space="preserve"> T</w:t>
      </w:r>
      <w:r w:rsidR="004726A6" w:rsidRPr="008A1679">
        <w:t xml:space="preserve">here </w:t>
      </w:r>
      <w:r w:rsidR="006753AD" w:rsidRPr="008A1679">
        <w:t xml:space="preserve">was a high </w:t>
      </w:r>
      <w:r w:rsidR="0083172A" w:rsidRPr="008A1679">
        <w:t xml:space="preserve">rate </w:t>
      </w:r>
      <w:r w:rsidR="004726A6" w:rsidRPr="008A1679">
        <w:t xml:space="preserve">of atopy in </w:t>
      </w:r>
      <w:r w:rsidR="00096F88" w:rsidRPr="008A1679">
        <w:t xml:space="preserve">patients diagnosed with </w:t>
      </w:r>
      <w:proofErr w:type="spellStart"/>
      <w:r w:rsidR="004726A6" w:rsidRPr="008A1679">
        <w:t>OSD</w:t>
      </w:r>
      <w:proofErr w:type="spellEnd"/>
      <w:r w:rsidR="00004E1E" w:rsidRPr="008A1679">
        <w:t xml:space="preserve">, although this was not significantly different </w:t>
      </w:r>
      <w:r w:rsidR="008B1218" w:rsidRPr="008A1679">
        <w:t>in</w:t>
      </w:r>
      <w:r w:rsidR="00BF236B" w:rsidRPr="008A1679">
        <w:t xml:space="preserve"> those with </w:t>
      </w:r>
      <w:proofErr w:type="spellStart"/>
      <w:r w:rsidR="00BF236B" w:rsidRPr="008A1679">
        <w:t>ICD</w:t>
      </w:r>
      <w:proofErr w:type="spellEnd"/>
      <w:r w:rsidR="00BF236B" w:rsidRPr="008A1679">
        <w:t>.</w:t>
      </w:r>
      <w:r w:rsidRPr="008A1679">
        <w:t xml:space="preserve"> </w:t>
      </w:r>
      <w:r w:rsidR="00901F8F" w:rsidRPr="008A1679">
        <w:t xml:space="preserve">Finally, </w:t>
      </w:r>
      <w:r w:rsidR="00004E1E" w:rsidRPr="008A1679">
        <w:t xml:space="preserve">relative </w:t>
      </w:r>
      <w:r w:rsidR="00901F8F" w:rsidRPr="008A1679">
        <w:t xml:space="preserve">rates of </w:t>
      </w:r>
      <w:proofErr w:type="spellStart"/>
      <w:r w:rsidR="00901F8F" w:rsidRPr="008A1679">
        <w:t>OSD</w:t>
      </w:r>
      <w:proofErr w:type="spellEnd"/>
      <w:r w:rsidR="00901F8F" w:rsidRPr="008A1679">
        <w:t xml:space="preserve"> in certain industries </w:t>
      </w:r>
      <w:r w:rsidR="00BF236B" w:rsidRPr="008A1679">
        <w:t xml:space="preserve">and occupations </w:t>
      </w:r>
      <w:r w:rsidR="006753AD" w:rsidRPr="008A1679">
        <w:t>were estimated</w:t>
      </w:r>
      <w:r w:rsidR="00901F8F" w:rsidRPr="008A1679">
        <w:t>.</w:t>
      </w:r>
    </w:p>
    <w:p w:rsidR="00594FD0" w:rsidRPr="008A1679" w:rsidRDefault="00594FD0" w:rsidP="00007356">
      <w:pPr>
        <w:pStyle w:val="Heading1"/>
      </w:pPr>
      <w:bookmarkStart w:id="44" w:name="_Toc310506137"/>
      <w:r w:rsidRPr="008A1679">
        <w:t>References</w:t>
      </w:r>
      <w:bookmarkEnd w:id="44"/>
    </w:p>
    <w:p w:rsidR="003B1271" w:rsidRPr="008A1679" w:rsidRDefault="003B1271" w:rsidP="003B1271">
      <w:pPr>
        <w:pStyle w:val="BodyText"/>
        <w:ind w:left="567" w:hanging="567"/>
        <w:rPr>
          <w:bCs/>
          <w:szCs w:val="22"/>
          <w:lang w:val="en-AU"/>
        </w:rPr>
      </w:pPr>
      <w:proofErr w:type="spellStart"/>
      <w:r w:rsidRPr="008A1679">
        <w:rPr>
          <w:lang w:val="en-AU"/>
        </w:rPr>
        <w:t>Keil</w:t>
      </w:r>
      <w:proofErr w:type="spellEnd"/>
      <w:r w:rsidRPr="008A1679">
        <w:rPr>
          <w:lang w:val="en-AU"/>
        </w:rPr>
        <w:t xml:space="preserve"> JE &amp; </w:t>
      </w:r>
      <w:proofErr w:type="spellStart"/>
      <w:r w:rsidRPr="008A1679">
        <w:rPr>
          <w:lang w:val="en-AU"/>
        </w:rPr>
        <w:t>Shmunes</w:t>
      </w:r>
      <w:proofErr w:type="spellEnd"/>
      <w:r w:rsidRPr="008A1679">
        <w:rPr>
          <w:lang w:val="en-AU"/>
        </w:rPr>
        <w:t xml:space="preserve"> E (1983). </w:t>
      </w:r>
      <w:r w:rsidRPr="008A1679">
        <w:rPr>
          <w:i/>
          <w:lang w:val="en-AU"/>
        </w:rPr>
        <w:t xml:space="preserve">The epidemiology of work-related skin disease in South Carolina. </w:t>
      </w:r>
      <w:r w:rsidRPr="008A1679">
        <w:rPr>
          <w:lang w:val="en-AU"/>
        </w:rPr>
        <w:t>Archives of Dermatology</w:t>
      </w:r>
      <w:r w:rsidRPr="008A1679">
        <w:rPr>
          <w:i/>
          <w:lang w:val="en-AU"/>
        </w:rPr>
        <w:t>,</w:t>
      </w:r>
      <w:r w:rsidRPr="008A1679">
        <w:rPr>
          <w:lang w:val="en-AU"/>
        </w:rPr>
        <w:t xml:space="preserve"> 119: 650-654</w:t>
      </w:r>
      <w:r w:rsidRPr="008A1679">
        <w:rPr>
          <w:szCs w:val="22"/>
          <w:lang w:val="en-AU"/>
        </w:rPr>
        <w:t>.</w:t>
      </w:r>
    </w:p>
    <w:p w:rsidR="003B1271" w:rsidRPr="008A1679" w:rsidRDefault="003B1271" w:rsidP="003B1271">
      <w:pPr>
        <w:pStyle w:val="BodyText"/>
        <w:ind w:left="567" w:hanging="567"/>
        <w:rPr>
          <w:bCs/>
          <w:szCs w:val="22"/>
          <w:lang w:val="en-AU"/>
        </w:rPr>
      </w:pPr>
      <w:r w:rsidRPr="008A1679">
        <w:rPr>
          <w:szCs w:val="22"/>
          <w:lang w:val="en-AU"/>
        </w:rPr>
        <w:t xml:space="preserve">Mathias </w:t>
      </w:r>
      <w:proofErr w:type="spellStart"/>
      <w:r w:rsidRPr="008A1679">
        <w:rPr>
          <w:szCs w:val="22"/>
          <w:lang w:val="en-AU"/>
        </w:rPr>
        <w:t>CGT</w:t>
      </w:r>
      <w:proofErr w:type="spellEnd"/>
      <w:r w:rsidRPr="008A1679">
        <w:rPr>
          <w:szCs w:val="22"/>
          <w:lang w:val="en-AU"/>
        </w:rPr>
        <w:t xml:space="preserve"> (1988). </w:t>
      </w:r>
      <w:r w:rsidRPr="008A1679">
        <w:rPr>
          <w:i/>
          <w:szCs w:val="22"/>
          <w:lang w:val="en-AU"/>
        </w:rPr>
        <w:t xml:space="preserve">Occupational </w:t>
      </w:r>
      <w:proofErr w:type="spellStart"/>
      <w:r w:rsidRPr="008A1679">
        <w:rPr>
          <w:i/>
          <w:szCs w:val="22"/>
          <w:lang w:val="en-AU"/>
        </w:rPr>
        <w:t>Dermatoses</w:t>
      </w:r>
      <w:proofErr w:type="spellEnd"/>
      <w:r w:rsidRPr="008A1679">
        <w:rPr>
          <w:i/>
          <w:szCs w:val="22"/>
          <w:lang w:val="en-AU"/>
        </w:rPr>
        <w:t>.</w:t>
      </w:r>
      <w:r w:rsidRPr="008A1679">
        <w:rPr>
          <w:szCs w:val="22"/>
          <w:lang w:val="en-AU"/>
        </w:rPr>
        <w:t xml:space="preserve"> </w:t>
      </w:r>
      <w:r w:rsidRPr="008A1679">
        <w:rPr>
          <w:iCs/>
          <w:szCs w:val="22"/>
          <w:lang w:val="en-AU"/>
        </w:rPr>
        <w:t xml:space="preserve">Journal of the American Academy of Dermatology, </w:t>
      </w:r>
      <w:r w:rsidRPr="008A1679">
        <w:rPr>
          <w:szCs w:val="22"/>
          <w:lang w:val="en-AU"/>
        </w:rPr>
        <w:t>16:</w:t>
      </w:r>
      <w:r w:rsidRPr="008A1679">
        <w:rPr>
          <w:bCs/>
          <w:szCs w:val="22"/>
          <w:lang w:val="en-AU"/>
        </w:rPr>
        <w:t xml:space="preserve"> </w:t>
      </w:r>
      <w:r w:rsidRPr="008A1679">
        <w:rPr>
          <w:szCs w:val="22"/>
          <w:lang w:val="en-AU"/>
        </w:rPr>
        <w:t>1107-1114.</w:t>
      </w:r>
    </w:p>
    <w:p w:rsidR="003B1271" w:rsidRPr="008A1679" w:rsidRDefault="003B1271" w:rsidP="003B1271">
      <w:pPr>
        <w:pStyle w:val="BodyText"/>
        <w:ind w:left="567" w:hanging="567"/>
        <w:rPr>
          <w:bCs/>
          <w:szCs w:val="22"/>
          <w:lang w:val="en-AU"/>
        </w:rPr>
      </w:pPr>
      <w:r w:rsidRPr="008A1679">
        <w:rPr>
          <w:szCs w:val="22"/>
          <w:lang w:val="en-AU"/>
        </w:rPr>
        <w:t xml:space="preserve">Cherry N, Meyer </w:t>
      </w:r>
      <w:proofErr w:type="spellStart"/>
      <w:r w:rsidRPr="008A1679">
        <w:rPr>
          <w:szCs w:val="22"/>
          <w:lang w:val="en-AU"/>
        </w:rPr>
        <w:t>JD</w:t>
      </w:r>
      <w:proofErr w:type="spellEnd"/>
      <w:r w:rsidRPr="008A1679">
        <w:rPr>
          <w:szCs w:val="22"/>
          <w:lang w:val="en-AU"/>
        </w:rPr>
        <w:t xml:space="preserve">, </w:t>
      </w:r>
      <w:proofErr w:type="spellStart"/>
      <w:r w:rsidRPr="008A1679">
        <w:rPr>
          <w:szCs w:val="22"/>
          <w:lang w:val="en-AU"/>
        </w:rPr>
        <w:t>Adisesh</w:t>
      </w:r>
      <w:proofErr w:type="spellEnd"/>
      <w:r w:rsidRPr="008A1679">
        <w:rPr>
          <w:szCs w:val="22"/>
          <w:lang w:val="en-AU"/>
        </w:rPr>
        <w:t xml:space="preserve"> A, Brooke R, Owen-Smith V, Swales C &amp; Beck </w:t>
      </w:r>
      <w:proofErr w:type="spellStart"/>
      <w:r w:rsidRPr="008A1679">
        <w:rPr>
          <w:szCs w:val="22"/>
          <w:lang w:val="en-AU"/>
        </w:rPr>
        <w:t>MH</w:t>
      </w:r>
      <w:proofErr w:type="spellEnd"/>
      <w:r w:rsidRPr="008A1679">
        <w:rPr>
          <w:szCs w:val="22"/>
          <w:lang w:val="en-AU"/>
        </w:rPr>
        <w:t xml:space="preserve"> (2000). </w:t>
      </w:r>
      <w:r w:rsidRPr="008A1679">
        <w:rPr>
          <w:i/>
          <w:szCs w:val="22"/>
          <w:lang w:val="en-AU"/>
        </w:rPr>
        <w:t xml:space="preserve">Surveillance of occupational skin disease: </w:t>
      </w:r>
      <w:proofErr w:type="spellStart"/>
      <w:r w:rsidRPr="008A1679">
        <w:rPr>
          <w:i/>
          <w:szCs w:val="22"/>
          <w:lang w:val="en-AU"/>
        </w:rPr>
        <w:t>EPIDERM</w:t>
      </w:r>
      <w:proofErr w:type="spellEnd"/>
      <w:r w:rsidRPr="008A1679">
        <w:rPr>
          <w:i/>
          <w:szCs w:val="22"/>
          <w:lang w:val="en-AU"/>
        </w:rPr>
        <w:t xml:space="preserve"> and </w:t>
      </w:r>
      <w:proofErr w:type="spellStart"/>
      <w:r w:rsidRPr="008A1679">
        <w:rPr>
          <w:i/>
          <w:szCs w:val="22"/>
          <w:lang w:val="en-AU"/>
        </w:rPr>
        <w:t>OPRA</w:t>
      </w:r>
      <w:proofErr w:type="spellEnd"/>
      <w:r w:rsidRPr="008A1679">
        <w:rPr>
          <w:i/>
          <w:szCs w:val="22"/>
          <w:lang w:val="en-AU"/>
        </w:rPr>
        <w:t>.</w:t>
      </w:r>
      <w:r w:rsidRPr="008A1679">
        <w:rPr>
          <w:szCs w:val="22"/>
          <w:lang w:val="en-AU"/>
        </w:rPr>
        <w:t xml:space="preserve"> </w:t>
      </w:r>
      <w:r w:rsidRPr="008A1679">
        <w:rPr>
          <w:iCs/>
          <w:szCs w:val="22"/>
          <w:lang w:val="en-AU"/>
        </w:rPr>
        <w:t>British Journal of Dermatology,</w:t>
      </w:r>
      <w:r w:rsidRPr="008A1679">
        <w:rPr>
          <w:szCs w:val="22"/>
          <w:lang w:val="en-AU"/>
        </w:rPr>
        <w:t xml:space="preserve"> 142:</w:t>
      </w:r>
      <w:r w:rsidRPr="008A1679">
        <w:rPr>
          <w:bCs/>
          <w:szCs w:val="22"/>
          <w:lang w:val="en-AU"/>
        </w:rPr>
        <w:t xml:space="preserve"> </w:t>
      </w:r>
      <w:r w:rsidRPr="008A1679">
        <w:rPr>
          <w:szCs w:val="22"/>
          <w:lang w:val="en-AU"/>
        </w:rPr>
        <w:t>1128-1134.</w:t>
      </w:r>
    </w:p>
    <w:p w:rsidR="003B1271" w:rsidRPr="008A1679" w:rsidRDefault="003B1271" w:rsidP="003B1271">
      <w:pPr>
        <w:pStyle w:val="BodyText"/>
        <w:ind w:left="567" w:hanging="567"/>
        <w:rPr>
          <w:bCs/>
          <w:szCs w:val="22"/>
          <w:lang w:val="en-AU"/>
        </w:rPr>
      </w:pPr>
      <w:r w:rsidRPr="008A1679">
        <w:rPr>
          <w:szCs w:val="22"/>
          <w:lang w:val="en-AU"/>
        </w:rPr>
        <w:t xml:space="preserve">US Bureau of </w:t>
      </w:r>
      <w:proofErr w:type="spellStart"/>
      <w:r w:rsidRPr="008A1679">
        <w:rPr>
          <w:szCs w:val="22"/>
          <w:lang w:val="en-AU"/>
        </w:rPr>
        <w:t>Labor</w:t>
      </w:r>
      <w:proofErr w:type="spellEnd"/>
      <w:r w:rsidRPr="008A1679">
        <w:rPr>
          <w:szCs w:val="22"/>
          <w:lang w:val="en-AU"/>
        </w:rPr>
        <w:t xml:space="preserve"> Statistics (1997). </w:t>
      </w:r>
      <w:r w:rsidRPr="008A1679">
        <w:rPr>
          <w:i/>
          <w:iCs/>
          <w:szCs w:val="22"/>
          <w:lang w:val="en-AU"/>
        </w:rPr>
        <w:t xml:space="preserve">Nonfatal occupational illnesses by category of illness, private industry 1992-95. </w:t>
      </w:r>
      <w:r w:rsidRPr="008A1679">
        <w:rPr>
          <w:szCs w:val="22"/>
          <w:lang w:val="en-AU"/>
        </w:rPr>
        <w:t xml:space="preserve">Washington DC: US Department of </w:t>
      </w:r>
      <w:proofErr w:type="spellStart"/>
      <w:r w:rsidRPr="008A1679">
        <w:rPr>
          <w:szCs w:val="22"/>
          <w:lang w:val="en-AU"/>
        </w:rPr>
        <w:t>Labor</w:t>
      </w:r>
      <w:proofErr w:type="spellEnd"/>
      <w:r w:rsidRPr="008A1679">
        <w:rPr>
          <w:szCs w:val="22"/>
          <w:lang w:val="en-AU"/>
        </w:rPr>
        <w:t>.</w:t>
      </w:r>
    </w:p>
    <w:p w:rsidR="003B1271" w:rsidRPr="008A1679" w:rsidRDefault="003B1271" w:rsidP="003B1271">
      <w:pPr>
        <w:pStyle w:val="BodyText"/>
        <w:ind w:left="567" w:hanging="567"/>
        <w:rPr>
          <w:bCs/>
          <w:szCs w:val="22"/>
          <w:lang w:val="en-AU"/>
        </w:rPr>
      </w:pPr>
      <w:proofErr w:type="spellStart"/>
      <w:r w:rsidRPr="008A1679">
        <w:rPr>
          <w:szCs w:val="22"/>
          <w:lang w:val="en-AU"/>
        </w:rPr>
        <w:t>Dickel</w:t>
      </w:r>
      <w:proofErr w:type="spellEnd"/>
      <w:r w:rsidRPr="008A1679">
        <w:rPr>
          <w:szCs w:val="22"/>
          <w:lang w:val="en-AU"/>
        </w:rPr>
        <w:t xml:space="preserve"> H, Bruckner T, Bernhard-Klimt C, Koch T,</w:t>
      </w:r>
      <w:r w:rsidRPr="008A1679">
        <w:rPr>
          <w:lang w:val="en-AU"/>
        </w:rPr>
        <w:t xml:space="preserve"> </w:t>
      </w:r>
      <w:proofErr w:type="spellStart"/>
      <w:r w:rsidRPr="008A1679">
        <w:rPr>
          <w:szCs w:val="22"/>
          <w:lang w:val="en-AU"/>
        </w:rPr>
        <w:t>Scheidt</w:t>
      </w:r>
      <w:proofErr w:type="spellEnd"/>
      <w:r w:rsidRPr="008A1679">
        <w:rPr>
          <w:szCs w:val="22"/>
          <w:lang w:val="en-AU"/>
        </w:rPr>
        <w:t xml:space="preserve"> R &amp; </w:t>
      </w:r>
      <w:proofErr w:type="spellStart"/>
      <w:r w:rsidRPr="008A1679">
        <w:rPr>
          <w:szCs w:val="22"/>
          <w:lang w:val="en-AU"/>
        </w:rPr>
        <w:t>Diepgen</w:t>
      </w:r>
      <w:proofErr w:type="spellEnd"/>
      <w:r w:rsidRPr="008A1679">
        <w:rPr>
          <w:szCs w:val="22"/>
          <w:lang w:val="en-AU"/>
        </w:rPr>
        <w:t xml:space="preserve"> TL (2002).</w:t>
      </w:r>
      <w:r w:rsidRPr="008A1679">
        <w:rPr>
          <w:lang w:val="en-AU"/>
        </w:rPr>
        <w:t xml:space="preserve"> </w:t>
      </w:r>
      <w:r w:rsidRPr="008A1679">
        <w:rPr>
          <w:i/>
          <w:szCs w:val="22"/>
          <w:lang w:val="en-AU"/>
        </w:rPr>
        <w:t xml:space="preserve">Surveillance scheme for occupational skin disease in the Saarland, </w:t>
      </w:r>
      <w:proofErr w:type="spellStart"/>
      <w:r w:rsidRPr="008A1679">
        <w:rPr>
          <w:i/>
          <w:szCs w:val="22"/>
          <w:lang w:val="en-AU"/>
        </w:rPr>
        <w:t>FRG</w:t>
      </w:r>
      <w:proofErr w:type="spellEnd"/>
      <w:r w:rsidRPr="008A1679">
        <w:rPr>
          <w:szCs w:val="22"/>
          <w:lang w:val="en-AU"/>
        </w:rPr>
        <w:t xml:space="preserve">. </w:t>
      </w:r>
      <w:r w:rsidRPr="008A1679">
        <w:rPr>
          <w:iCs/>
          <w:szCs w:val="22"/>
          <w:lang w:val="en-AU"/>
        </w:rPr>
        <w:t>Contact Dermatitis,</w:t>
      </w:r>
      <w:r w:rsidRPr="008A1679">
        <w:rPr>
          <w:szCs w:val="22"/>
          <w:lang w:val="en-AU"/>
        </w:rPr>
        <w:t xml:space="preserve"> 46:</w:t>
      </w:r>
      <w:r w:rsidRPr="008A1679">
        <w:rPr>
          <w:bCs/>
          <w:szCs w:val="22"/>
          <w:lang w:val="en-AU"/>
        </w:rPr>
        <w:t xml:space="preserve"> </w:t>
      </w:r>
      <w:r w:rsidRPr="008A1679">
        <w:rPr>
          <w:szCs w:val="22"/>
          <w:lang w:val="en-AU"/>
        </w:rPr>
        <w:t>197-206.</w:t>
      </w:r>
    </w:p>
    <w:p w:rsidR="003B1271" w:rsidRPr="008A1679" w:rsidRDefault="003B1271" w:rsidP="003B1271">
      <w:pPr>
        <w:pStyle w:val="BodyText"/>
        <w:ind w:left="567" w:hanging="567"/>
        <w:rPr>
          <w:bCs/>
          <w:szCs w:val="22"/>
          <w:lang w:val="en-AU"/>
        </w:rPr>
      </w:pPr>
      <w:proofErr w:type="spellStart"/>
      <w:r w:rsidRPr="008A1679">
        <w:rPr>
          <w:szCs w:val="22"/>
          <w:lang w:val="en-AU"/>
        </w:rPr>
        <w:lastRenderedPageBreak/>
        <w:t>Dickel</w:t>
      </w:r>
      <w:proofErr w:type="spellEnd"/>
      <w:r w:rsidRPr="008A1679">
        <w:rPr>
          <w:szCs w:val="22"/>
          <w:lang w:val="en-AU"/>
        </w:rPr>
        <w:t xml:space="preserve"> H, </w:t>
      </w:r>
      <w:proofErr w:type="spellStart"/>
      <w:r w:rsidRPr="008A1679">
        <w:rPr>
          <w:szCs w:val="22"/>
          <w:lang w:val="en-AU"/>
        </w:rPr>
        <w:t>Kuss</w:t>
      </w:r>
      <w:proofErr w:type="spellEnd"/>
      <w:r w:rsidRPr="008A1679">
        <w:rPr>
          <w:szCs w:val="22"/>
          <w:lang w:val="en-AU"/>
        </w:rPr>
        <w:t xml:space="preserve"> O, </w:t>
      </w:r>
      <w:proofErr w:type="spellStart"/>
      <w:r w:rsidRPr="008A1679">
        <w:rPr>
          <w:szCs w:val="22"/>
          <w:lang w:val="en-AU"/>
        </w:rPr>
        <w:t>Blesius</w:t>
      </w:r>
      <w:proofErr w:type="spellEnd"/>
      <w:r w:rsidRPr="008A1679">
        <w:rPr>
          <w:szCs w:val="22"/>
          <w:lang w:val="en-AU"/>
        </w:rPr>
        <w:t xml:space="preserve"> C</w:t>
      </w:r>
      <w:r w:rsidRPr="008A1679">
        <w:rPr>
          <w:lang w:val="en-AU"/>
        </w:rPr>
        <w:t xml:space="preserve"> </w:t>
      </w:r>
      <w:r w:rsidRPr="008A1679">
        <w:rPr>
          <w:szCs w:val="22"/>
          <w:lang w:val="en-AU"/>
        </w:rPr>
        <w:t xml:space="preserve">Schmidt A &amp; </w:t>
      </w:r>
      <w:proofErr w:type="spellStart"/>
      <w:r w:rsidRPr="008A1679">
        <w:rPr>
          <w:szCs w:val="22"/>
          <w:lang w:val="en-AU"/>
        </w:rPr>
        <w:t>Diepgen</w:t>
      </w:r>
      <w:proofErr w:type="spellEnd"/>
      <w:r w:rsidRPr="008A1679">
        <w:rPr>
          <w:szCs w:val="22"/>
          <w:lang w:val="en-AU"/>
        </w:rPr>
        <w:t xml:space="preserve"> TL</w:t>
      </w:r>
      <w:r w:rsidRPr="008A1679">
        <w:rPr>
          <w:lang w:val="en-AU"/>
        </w:rPr>
        <w:t xml:space="preserve"> (2001)</w:t>
      </w:r>
      <w:r w:rsidRPr="008A1679">
        <w:rPr>
          <w:szCs w:val="22"/>
          <w:lang w:val="en-AU"/>
        </w:rPr>
        <w:t xml:space="preserve">. </w:t>
      </w:r>
      <w:r w:rsidRPr="008A1679">
        <w:rPr>
          <w:i/>
          <w:szCs w:val="22"/>
          <w:lang w:val="en-AU"/>
        </w:rPr>
        <w:t>Report from the register of occupational skin diseases in northern Bavaria (</w:t>
      </w:r>
      <w:proofErr w:type="spellStart"/>
      <w:r w:rsidRPr="008A1679">
        <w:rPr>
          <w:i/>
          <w:szCs w:val="22"/>
          <w:lang w:val="en-AU"/>
        </w:rPr>
        <w:t>BKH</w:t>
      </w:r>
      <w:proofErr w:type="spellEnd"/>
      <w:r w:rsidRPr="008A1679">
        <w:rPr>
          <w:i/>
          <w:szCs w:val="22"/>
          <w:lang w:val="en-AU"/>
        </w:rPr>
        <w:t>-N)</w:t>
      </w:r>
      <w:r w:rsidRPr="008A1679">
        <w:rPr>
          <w:szCs w:val="22"/>
          <w:lang w:val="en-AU"/>
        </w:rPr>
        <w:t xml:space="preserve">, </w:t>
      </w:r>
      <w:r w:rsidRPr="008A1679">
        <w:rPr>
          <w:iCs/>
          <w:szCs w:val="22"/>
          <w:lang w:val="en-AU"/>
        </w:rPr>
        <w:t>Contact Dermatitis,</w:t>
      </w:r>
      <w:r w:rsidRPr="008A1679">
        <w:rPr>
          <w:szCs w:val="22"/>
          <w:lang w:val="en-AU"/>
        </w:rPr>
        <w:t xml:space="preserve"> 44:</w:t>
      </w:r>
      <w:r w:rsidRPr="008A1679">
        <w:rPr>
          <w:bCs/>
          <w:szCs w:val="22"/>
          <w:lang w:val="en-AU"/>
        </w:rPr>
        <w:t xml:space="preserve"> </w:t>
      </w:r>
      <w:r w:rsidRPr="008A1679">
        <w:rPr>
          <w:szCs w:val="22"/>
          <w:lang w:val="en-AU"/>
        </w:rPr>
        <w:t>258-259.</w:t>
      </w:r>
    </w:p>
    <w:p w:rsidR="003B1271" w:rsidRPr="008A1679" w:rsidRDefault="003B1271" w:rsidP="003B1271">
      <w:pPr>
        <w:pStyle w:val="BodyText"/>
        <w:ind w:left="567" w:hanging="567"/>
        <w:rPr>
          <w:bCs/>
          <w:szCs w:val="22"/>
          <w:lang w:val="en-AU"/>
        </w:rPr>
      </w:pPr>
      <w:proofErr w:type="spellStart"/>
      <w:r w:rsidRPr="008A1679">
        <w:rPr>
          <w:szCs w:val="22"/>
          <w:lang w:val="en-AU"/>
        </w:rPr>
        <w:t>Halkier</w:t>
      </w:r>
      <w:proofErr w:type="spellEnd"/>
      <w:r w:rsidRPr="008A1679">
        <w:rPr>
          <w:szCs w:val="22"/>
          <w:lang w:val="en-AU"/>
        </w:rPr>
        <w:t xml:space="preserve">-Sorensen L (1996). </w:t>
      </w:r>
      <w:r w:rsidRPr="008A1679">
        <w:rPr>
          <w:i/>
          <w:szCs w:val="22"/>
          <w:lang w:val="en-AU"/>
        </w:rPr>
        <w:t>Occupational skin diseases.</w:t>
      </w:r>
      <w:r w:rsidRPr="008A1679">
        <w:rPr>
          <w:szCs w:val="22"/>
          <w:lang w:val="en-AU"/>
        </w:rPr>
        <w:t xml:space="preserve"> </w:t>
      </w:r>
      <w:r w:rsidRPr="008A1679">
        <w:rPr>
          <w:iCs/>
          <w:szCs w:val="22"/>
          <w:lang w:val="en-AU"/>
        </w:rPr>
        <w:t>Contact Dermatitis,</w:t>
      </w:r>
      <w:r w:rsidRPr="008A1679">
        <w:rPr>
          <w:szCs w:val="22"/>
          <w:lang w:val="en-AU"/>
        </w:rPr>
        <w:t xml:space="preserve"> 35 (</w:t>
      </w:r>
      <w:proofErr w:type="spellStart"/>
      <w:r w:rsidRPr="008A1679">
        <w:rPr>
          <w:szCs w:val="22"/>
          <w:lang w:val="en-AU"/>
        </w:rPr>
        <w:t>Suppl</w:t>
      </w:r>
      <w:proofErr w:type="spellEnd"/>
      <w:r w:rsidRPr="008A1679">
        <w:rPr>
          <w:szCs w:val="22"/>
          <w:lang w:val="en-AU"/>
        </w:rPr>
        <w:t>):</w:t>
      </w:r>
      <w:r w:rsidRPr="008A1679">
        <w:rPr>
          <w:bCs/>
          <w:szCs w:val="22"/>
          <w:lang w:val="en-AU"/>
        </w:rPr>
        <w:t xml:space="preserve"> </w:t>
      </w:r>
      <w:r w:rsidRPr="008A1679">
        <w:rPr>
          <w:szCs w:val="22"/>
          <w:lang w:val="en-AU"/>
        </w:rPr>
        <w:t>1-120.</w:t>
      </w:r>
    </w:p>
    <w:p w:rsidR="003B1271" w:rsidRPr="008A1679" w:rsidRDefault="003B1271" w:rsidP="003B1271">
      <w:pPr>
        <w:pStyle w:val="BodyText"/>
        <w:ind w:left="567" w:hanging="567"/>
        <w:rPr>
          <w:bCs/>
          <w:szCs w:val="22"/>
          <w:lang w:val="en-AU"/>
        </w:rPr>
      </w:pPr>
      <w:proofErr w:type="spellStart"/>
      <w:r w:rsidRPr="008A1679">
        <w:rPr>
          <w:szCs w:val="22"/>
          <w:lang w:val="en-AU"/>
        </w:rPr>
        <w:t>Kanerva</w:t>
      </w:r>
      <w:proofErr w:type="spellEnd"/>
      <w:r w:rsidRPr="008A1679">
        <w:rPr>
          <w:szCs w:val="22"/>
          <w:lang w:val="en-AU"/>
        </w:rPr>
        <w:t xml:space="preserve"> L, </w:t>
      </w:r>
      <w:proofErr w:type="spellStart"/>
      <w:r w:rsidRPr="008A1679">
        <w:rPr>
          <w:szCs w:val="22"/>
          <w:lang w:val="en-AU"/>
        </w:rPr>
        <w:t>Jolanki</w:t>
      </w:r>
      <w:proofErr w:type="spellEnd"/>
      <w:r w:rsidRPr="008A1679">
        <w:rPr>
          <w:szCs w:val="22"/>
          <w:lang w:val="en-AU"/>
        </w:rPr>
        <w:t xml:space="preserve"> R, </w:t>
      </w:r>
      <w:proofErr w:type="spellStart"/>
      <w:r w:rsidRPr="008A1679">
        <w:rPr>
          <w:szCs w:val="22"/>
          <w:lang w:val="en-AU"/>
        </w:rPr>
        <w:t>Toikkanen</w:t>
      </w:r>
      <w:proofErr w:type="spellEnd"/>
      <w:r w:rsidRPr="008A1679">
        <w:rPr>
          <w:szCs w:val="22"/>
          <w:lang w:val="en-AU"/>
        </w:rPr>
        <w:t xml:space="preserve"> J, </w:t>
      </w:r>
      <w:proofErr w:type="spellStart"/>
      <w:r w:rsidRPr="008A1679">
        <w:rPr>
          <w:szCs w:val="22"/>
          <w:lang w:val="en-AU"/>
        </w:rPr>
        <w:t>Tarvainen</w:t>
      </w:r>
      <w:proofErr w:type="spellEnd"/>
      <w:r w:rsidRPr="008A1679">
        <w:rPr>
          <w:szCs w:val="22"/>
          <w:lang w:val="en-AU"/>
        </w:rPr>
        <w:t xml:space="preserve"> K &amp; </w:t>
      </w:r>
      <w:proofErr w:type="spellStart"/>
      <w:r w:rsidRPr="008A1679">
        <w:rPr>
          <w:szCs w:val="22"/>
          <w:lang w:val="en-AU"/>
        </w:rPr>
        <w:t>Estlander</w:t>
      </w:r>
      <w:proofErr w:type="spellEnd"/>
      <w:r w:rsidRPr="008A1679">
        <w:rPr>
          <w:szCs w:val="22"/>
          <w:lang w:val="en-AU"/>
        </w:rPr>
        <w:t xml:space="preserve"> T (1995). </w:t>
      </w:r>
      <w:r w:rsidRPr="008A1679">
        <w:rPr>
          <w:i/>
          <w:szCs w:val="22"/>
          <w:lang w:val="en-AU"/>
        </w:rPr>
        <w:t xml:space="preserve">Statistics on occupational </w:t>
      </w:r>
      <w:proofErr w:type="spellStart"/>
      <w:r w:rsidRPr="008A1679">
        <w:rPr>
          <w:i/>
          <w:szCs w:val="22"/>
          <w:lang w:val="en-AU"/>
        </w:rPr>
        <w:t>dermatoses</w:t>
      </w:r>
      <w:proofErr w:type="spellEnd"/>
      <w:r w:rsidRPr="008A1679">
        <w:rPr>
          <w:i/>
          <w:szCs w:val="22"/>
          <w:lang w:val="en-AU"/>
        </w:rPr>
        <w:t xml:space="preserve"> in Finland.</w:t>
      </w:r>
      <w:r w:rsidRPr="008A1679">
        <w:rPr>
          <w:szCs w:val="22"/>
          <w:lang w:val="en-AU"/>
        </w:rPr>
        <w:t xml:space="preserve"> In: </w:t>
      </w:r>
      <w:proofErr w:type="spellStart"/>
      <w:r w:rsidRPr="008A1679">
        <w:rPr>
          <w:szCs w:val="22"/>
          <w:lang w:val="en-AU"/>
        </w:rPr>
        <w:t>Elsner</w:t>
      </w:r>
      <w:proofErr w:type="spellEnd"/>
      <w:r w:rsidRPr="008A1679">
        <w:rPr>
          <w:szCs w:val="22"/>
          <w:lang w:val="en-AU"/>
        </w:rPr>
        <w:t xml:space="preserve"> P, </w:t>
      </w:r>
      <w:proofErr w:type="spellStart"/>
      <w:r w:rsidRPr="008A1679">
        <w:rPr>
          <w:szCs w:val="22"/>
          <w:lang w:val="en-AU"/>
        </w:rPr>
        <w:t>Maibach</w:t>
      </w:r>
      <w:proofErr w:type="spellEnd"/>
      <w:r w:rsidRPr="008A1679">
        <w:rPr>
          <w:szCs w:val="22"/>
          <w:lang w:val="en-AU"/>
        </w:rPr>
        <w:t xml:space="preserve"> HI (</w:t>
      </w:r>
      <w:proofErr w:type="spellStart"/>
      <w:r w:rsidRPr="008A1679">
        <w:rPr>
          <w:szCs w:val="22"/>
          <w:lang w:val="en-AU"/>
        </w:rPr>
        <w:t>Eds</w:t>
      </w:r>
      <w:proofErr w:type="spellEnd"/>
      <w:r w:rsidRPr="008A1679">
        <w:rPr>
          <w:szCs w:val="22"/>
          <w:lang w:val="en-AU"/>
        </w:rPr>
        <w:t xml:space="preserve">). </w:t>
      </w:r>
      <w:r w:rsidRPr="008A1679">
        <w:rPr>
          <w:iCs/>
          <w:szCs w:val="22"/>
          <w:lang w:val="en-AU"/>
        </w:rPr>
        <w:t>Irritant dermatitis. New Clinical and Experimental aspects. Current problems in Dermatology.</w:t>
      </w:r>
      <w:r w:rsidRPr="008A1679">
        <w:rPr>
          <w:szCs w:val="22"/>
          <w:lang w:val="en-AU"/>
        </w:rPr>
        <w:t xml:space="preserve"> Basel: </w:t>
      </w:r>
      <w:proofErr w:type="spellStart"/>
      <w:r w:rsidRPr="008A1679">
        <w:rPr>
          <w:szCs w:val="22"/>
          <w:lang w:val="en-AU"/>
        </w:rPr>
        <w:t>Karger</w:t>
      </w:r>
      <w:proofErr w:type="spellEnd"/>
      <w:r w:rsidRPr="008A1679">
        <w:rPr>
          <w:szCs w:val="22"/>
          <w:lang w:val="en-AU"/>
        </w:rPr>
        <w:t>.</w:t>
      </w:r>
    </w:p>
    <w:p w:rsidR="003B1271" w:rsidRPr="008A1679" w:rsidRDefault="003B1271" w:rsidP="003B1271">
      <w:pPr>
        <w:pStyle w:val="BodyText"/>
        <w:ind w:left="567" w:hanging="567"/>
        <w:rPr>
          <w:bCs/>
          <w:szCs w:val="22"/>
          <w:lang w:val="en-AU"/>
        </w:rPr>
      </w:pPr>
      <w:r w:rsidRPr="008A1679">
        <w:rPr>
          <w:szCs w:val="22"/>
          <w:lang w:val="en-AU"/>
        </w:rPr>
        <w:t xml:space="preserve">Keegel T, Moyle M, </w:t>
      </w:r>
      <w:proofErr w:type="spellStart"/>
      <w:r w:rsidRPr="008A1679">
        <w:rPr>
          <w:szCs w:val="22"/>
          <w:lang w:val="en-AU"/>
        </w:rPr>
        <w:t>Dharmage</w:t>
      </w:r>
      <w:proofErr w:type="spellEnd"/>
      <w:r w:rsidRPr="008A1679">
        <w:rPr>
          <w:szCs w:val="22"/>
          <w:lang w:val="en-AU"/>
        </w:rPr>
        <w:t xml:space="preserve"> S, </w:t>
      </w:r>
      <w:proofErr w:type="spellStart"/>
      <w:r w:rsidRPr="008A1679">
        <w:rPr>
          <w:szCs w:val="22"/>
          <w:lang w:val="en-AU"/>
        </w:rPr>
        <w:t>Frowen</w:t>
      </w:r>
      <w:proofErr w:type="spellEnd"/>
      <w:r w:rsidRPr="008A1679">
        <w:rPr>
          <w:szCs w:val="22"/>
          <w:lang w:val="en-AU"/>
        </w:rPr>
        <w:t xml:space="preserve"> K &amp; Nixon R (2009). </w:t>
      </w:r>
      <w:r w:rsidRPr="008A1679">
        <w:rPr>
          <w:i/>
          <w:szCs w:val="22"/>
          <w:lang w:val="en-AU"/>
        </w:rPr>
        <w:t>The epidemiology of occupational contact dermatitis (1990-2007): a systematic review.</w:t>
      </w:r>
      <w:r w:rsidRPr="008A1679">
        <w:rPr>
          <w:szCs w:val="22"/>
          <w:lang w:val="en-AU"/>
        </w:rPr>
        <w:t xml:space="preserve"> International Journal of Dermatology, 48: 571-578.</w:t>
      </w:r>
    </w:p>
    <w:p w:rsidR="003B1271" w:rsidRPr="008A1679" w:rsidRDefault="003B1271" w:rsidP="003B1271">
      <w:pPr>
        <w:pStyle w:val="BodyText"/>
        <w:ind w:left="567" w:hanging="567"/>
        <w:rPr>
          <w:szCs w:val="22"/>
          <w:lang w:val="en-AU"/>
        </w:rPr>
      </w:pPr>
      <w:r w:rsidRPr="008A1679">
        <w:rPr>
          <w:szCs w:val="22"/>
          <w:lang w:val="en-AU"/>
        </w:rPr>
        <w:t xml:space="preserve">Mathias CG (1989). </w:t>
      </w:r>
      <w:r w:rsidRPr="008A1679">
        <w:rPr>
          <w:i/>
          <w:szCs w:val="22"/>
          <w:lang w:val="en-AU"/>
        </w:rPr>
        <w:t>Contact dermatitis and workers' compensation: criteria for establishing occupational causation and aggravation.</w:t>
      </w:r>
      <w:r w:rsidRPr="008A1679">
        <w:rPr>
          <w:szCs w:val="22"/>
          <w:lang w:val="en-AU"/>
        </w:rPr>
        <w:t xml:space="preserve"> </w:t>
      </w:r>
      <w:r w:rsidRPr="008A1679">
        <w:rPr>
          <w:iCs/>
          <w:szCs w:val="22"/>
          <w:lang w:val="en-AU"/>
        </w:rPr>
        <w:t>Journal of the American Academy of Dermatology,</w:t>
      </w:r>
      <w:r w:rsidRPr="008A1679">
        <w:rPr>
          <w:szCs w:val="22"/>
          <w:lang w:val="en-AU"/>
        </w:rPr>
        <w:t xml:space="preserve"> </w:t>
      </w:r>
      <w:r w:rsidRPr="008A1679">
        <w:rPr>
          <w:bCs/>
          <w:szCs w:val="22"/>
          <w:lang w:val="en-AU"/>
        </w:rPr>
        <w:t>20:</w:t>
      </w:r>
      <w:r w:rsidRPr="008A1679">
        <w:rPr>
          <w:szCs w:val="22"/>
          <w:lang w:val="en-AU"/>
        </w:rPr>
        <w:t xml:space="preserve"> 842-848.</w:t>
      </w:r>
    </w:p>
    <w:p w:rsidR="003B1271" w:rsidRPr="008A1679" w:rsidRDefault="003B1271" w:rsidP="003B1271">
      <w:pPr>
        <w:pStyle w:val="BodyText"/>
        <w:ind w:left="567" w:hanging="567"/>
        <w:rPr>
          <w:bCs/>
          <w:szCs w:val="22"/>
          <w:lang w:val="en-AU"/>
        </w:rPr>
      </w:pPr>
      <w:proofErr w:type="spellStart"/>
      <w:r w:rsidRPr="008A1679">
        <w:rPr>
          <w:szCs w:val="22"/>
          <w:lang w:val="en-AU"/>
        </w:rPr>
        <w:t>Diepgen</w:t>
      </w:r>
      <w:proofErr w:type="spellEnd"/>
      <w:r w:rsidRPr="008A1679">
        <w:rPr>
          <w:szCs w:val="22"/>
          <w:lang w:val="en-AU"/>
        </w:rPr>
        <w:t xml:space="preserve"> TL &amp; </w:t>
      </w:r>
      <w:proofErr w:type="spellStart"/>
      <w:r w:rsidRPr="008A1679">
        <w:rPr>
          <w:szCs w:val="22"/>
          <w:lang w:val="en-AU"/>
        </w:rPr>
        <w:t>Coenraads</w:t>
      </w:r>
      <w:proofErr w:type="spellEnd"/>
      <w:r w:rsidRPr="008A1679">
        <w:rPr>
          <w:szCs w:val="22"/>
          <w:lang w:val="en-AU"/>
        </w:rPr>
        <w:t xml:space="preserve"> </w:t>
      </w:r>
      <w:proofErr w:type="spellStart"/>
      <w:r w:rsidRPr="008A1679">
        <w:rPr>
          <w:szCs w:val="22"/>
          <w:lang w:val="en-AU"/>
        </w:rPr>
        <w:t>PJ</w:t>
      </w:r>
      <w:proofErr w:type="spellEnd"/>
      <w:r w:rsidRPr="008A1679">
        <w:rPr>
          <w:szCs w:val="22"/>
          <w:lang w:val="en-AU"/>
        </w:rPr>
        <w:t xml:space="preserve"> (1999). </w:t>
      </w:r>
      <w:r w:rsidRPr="008A1679">
        <w:rPr>
          <w:i/>
          <w:szCs w:val="22"/>
          <w:lang w:val="en-AU"/>
        </w:rPr>
        <w:t>The epidemiology of contact dermatitis.</w:t>
      </w:r>
      <w:r w:rsidRPr="008A1679">
        <w:rPr>
          <w:szCs w:val="22"/>
          <w:lang w:val="en-AU"/>
        </w:rPr>
        <w:t xml:space="preserve"> International Archives of Occupational and Environmental Health, 72: 496-506.</w:t>
      </w:r>
    </w:p>
    <w:p w:rsidR="003B1271" w:rsidRPr="008A1679" w:rsidRDefault="003B1271" w:rsidP="003B1271">
      <w:pPr>
        <w:pStyle w:val="BodyText"/>
        <w:ind w:left="567" w:hanging="567"/>
        <w:rPr>
          <w:bCs/>
          <w:szCs w:val="22"/>
          <w:lang w:val="en-AU"/>
        </w:rPr>
      </w:pPr>
      <w:r w:rsidRPr="008A1679">
        <w:rPr>
          <w:szCs w:val="22"/>
          <w:lang w:val="en-AU"/>
        </w:rPr>
        <w:t xml:space="preserve">Keegel T, Cahill J, Noonan A, </w:t>
      </w:r>
      <w:proofErr w:type="spellStart"/>
      <w:r w:rsidRPr="008A1679">
        <w:rPr>
          <w:szCs w:val="22"/>
          <w:lang w:val="en-AU"/>
        </w:rPr>
        <w:t>Dharmage</w:t>
      </w:r>
      <w:proofErr w:type="spellEnd"/>
      <w:r w:rsidRPr="008A1679">
        <w:rPr>
          <w:szCs w:val="22"/>
          <w:lang w:val="en-AU"/>
        </w:rPr>
        <w:t xml:space="preserve"> S, Saunders H, </w:t>
      </w:r>
      <w:proofErr w:type="spellStart"/>
      <w:r w:rsidRPr="008A1679">
        <w:rPr>
          <w:szCs w:val="22"/>
          <w:lang w:val="en-AU"/>
        </w:rPr>
        <w:t>Frowen</w:t>
      </w:r>
      <w:proofErr w:type="spellEnd"/>
      <w:r w:rsidRPr="008A1679">
        <w:rPr>
          <w:szCs w:val="22"/>
          <w:lang w:val="en-AU"/>
        </w:rPr>
        <w:t xml:space="preserve"> K &amp; Nixon R (2005). </w:t>
      </w:r>
      <w:r w:rsidRPr="008A1679">
        <w:rPr>
          <w:i/>
          <w:szCs w:val="22"/>
          <w:lang w:val="en-AU"/>
        </w:rPr>
        <w:t xml:space="preserve">Incidence and prevalence rates for occupational contact dermatitis in an Australian suburban area. </w:t>
      </w:r>
      <w:r w:rsidRPr="008A1679">
        <w:rPr>
          <w:iCs/>
          <w:szCs w:val="22"/>
          <w:lang w:val="en-AU"/>
        </w:rPr>
        <w:t>Contact Dermatitis</w:t>
      </w:r>
      <w:r w:rsidRPr="008A1679">
        <w:rPr>
          <w:szCs w:val="22"/>
          <w:lang w:val="en-AU"/>
        </w:rPr>
        <w:t>, 52: 254-259.</w:t>
      </w:r>
    </w:p>
    <w:p w:rsidR="003B1271" w:rsidRPr="008A1679" w:rsidRDefault="003B1271" w:rsidP="003B1271">
      <w:pPr>
        <w:pStyle w:val="BodyText"/>
        <w:ind w:left="567" w:hanging="567"/>
        <w:rPr>
          <w:szCs w:val="22"/>
          <w:lang w:val="en-AU"/>
        </w:rPr>
      </w:pPr>
      <w:proofErr w:type="spellStart"/>
      <w:r w:rsidRPr="008A1679">
        <w:rPr>
          <w:szCs w:val="22"/>
          <w:lang w:val="en-AU"/>
        </w:rPr>
        <w:t>Lushniak</w:t>
      </w:r>
      <w:proofErr w:type="spellEnd"/>
      <w:r w:rsidRPr="008A1679">
        <w:rPr>
          <w:szCs w:val="22"/>
          <w:lang w:val="en-AU"/>
        </w:rPr>
        <w:t xml:space="preserve"> BD (2003). </w:t>
      </w:r>
      <w:r w:rsidRPr="008A1679">
        <w:rPr>
          <w:i/>
          <w:szCs w:val="22"/>
          <w:lang w:val="en-AU"/>
        </w:rPr>
        <w:t>The importance of occupational skin diseases in the United States.</w:t>
      </w:r>
      <w:r w:rsidRPr="008A1679">
        <w:rPr>
          <w:szCs w:val="22"/>
          <w:lang w:val="en-AU"/>
        </w:rPr>
        <w:t xml:space="preserve"> International Archives of Occupational and Environmental Health, 76:</w:t>
      </w:r>
      <w:r w:rsidRPr="008A1679">
        <w:rPr>
          <w:bCs/>
          <w:szCs w:val="22"/>
          <w:lang w:val="en-AU"/>
        </w:rPr>
        <w:t xml:space="preserve"> </w:t>
      </w:r>
      <w:r w:rsidRPr="008A1679">
        <w:rPr>
          <w:szCs w:val="22"/>
          <w:lang w:val="en-AU"/>
        </w:rPr>
        <w:t>325-330.</w:t>
      </w:r>
    </w:p>
    <w:p w:rsidR="003B1271" w:rsidRPr="008A1679" w:rsidRDefault="003B1271" w:rsidP="003B1271">
      <w:pPr>
        <w:pStyle w:val="BodyText"/>
        <w:ind w:left="567" w:hanging="567"/>
        <w:rPr>
          <w:szCs w:val="22"/>
          <w:lang w:val="en-AU"/>
        </w:rPr>
      </w:pPr>
      <w:r w:rsidRPr="008A1679">
        <w:rPr>
          <w:szCs w:val="22"/>
          <w:lang w:val="en-AU"/>
        </w:rPr>
        <w:t xml:space="preserve">Mathias </w:t>
      </w:r>
      <w:proofErr w:type="spellStart"/>
      <w:r w:rsidRPr="008A1679">
        <w:rPr>
          <w:szCs w:val="22"/>
          <w:lang w:val="en-AU"/>
        </w:rPr>
        <w:t>CGT</w:t>
      </w:r>
      <w:proofErr w:type="spellEnd"/>
      <w:r w:rsidRPr="008A1679">
        <w:rPr>
          <w:szCs w:val="22"/>
          <w:lang w:val="en-AU"/>
        </w:rPr>
        <w:t xml:space="preserve"> (1985). </w:t>
      </w:r>
      <w:r w:rsidRPr="008A1679">
        <w:rPr>
          <w:i/>
          <w:szCs w:val="22"/>
          <w:lang w:val="en-AU"/>
        </w:rPr>
        <w:t>The cost of occupational skin disease.</w:t>
      </w:r>
      <w:r w:rsidRPr="008A1679">
        <w:rPr>
          <w:szCs w:val="22"/>
          <w:lang w:val="en-AU"/>
        </w:rPr>
        <w:t xml:space="preserve"> </w:t>
      </w:r>
      <w:r w:rsidRPr="008A1679">
        <w:rPr>
          <w:iCs/>
          <w:szCs w:val="22"/>
          <w:lang w:val="en-AU"/>
        </w:rPr>
        <w:t>Archives of Dermatology,</w:t>
      </w:r>
      <w:r w:rsidRPr="008A1679">
        <w:rPr>
          <w:szCs w:val="22"/>
          <w:lang w:val="en-AU"/>
        </w:rPr>
        <w:t xml:space="preserve"> 121:</w:t>
      </w:r>
      <w:r w:rsidRPr="008A1679">
        <w:rPr>
          <w:bCs/>
          <w:szCs w:val="22"/>
          <w:lang w:val="en-AU"/>
        </w:rPr>
        <w:t xml:space="preserve"> </w:t>
      </w:r>
      <w:r w:rsidRPr="008A1679">
        <w:rPr>
          <w:szCs w:val="22"/>
          <w:lang w:val="en-AU"/>
        </w:rPr>
        <w:t>332-334.</w:t>
      </w:r>
    </w:p>
    <w:p w:rsidR="003B1271" w:rsidRPr="008A1679" w:rsidRDefault="003B1271" w:rsidP="003B1271">
      <w:pPr>
        <w:pStyle w:val="BodyText"/>
        <w:ind w:left="567" w:hanging="567"/>
        <w:rPr>
          <w:szCs w:val="22"/>
          <w:lang w:val="en-AU"/>
        </w:rPr>
      </w:pPr>
      <w:r w:rsidRPr="008A1679">
        <w:rPr>
          <w:szCs w:val="22"/>
          <w:lang w:val="en-AU"/>
        </w:rPr>
        <w:t xml:space="preserve">Burnett CA, </w:t>
      </w:r>
      <w:proofErr w:type="spellStart"/>
      <w:r w:rsidRPr="008A1679">
        <w:rPr>
          <w:szCs w:val="22"/>
          <w:lang w:val="en-AU"/>
        </w:rPr>
        <w:t>Lushniak</w:t>
      </w:r>
      <w:proofErr w:type="spellEnd"/>
      <w:r w:rsidRPr="008A1679">
        <w:rPr>
          <w:szCs w:val="22"/>
          <w:lang w:val="en-AU"/>
        </w:rPr>
        <w:t xml:space="preserve"> BD, McCarthy W &amp; Kaufman J (1998). </w:t>
      </w:r>
      <w:r w:rsidRPr="008A1679">
        <w:rPr>
          <w:i/>
          <w:szCs w:val="22"/>
          <w:lang w:val="en-AU"/>
        </w:rPr>
        <w:t>Occupational dermatitis causing days away from work in US private industry</w:t>
      </w:r>
      <w:r w:rsidRPr="008A1679">
        <w:rPr>
          <w:szCs w:val="22"/>
          <w:lang w:val="en-AU"/>
        </w:rPr>
        <w:t xml:space="preserve">. </w:t>
      </w:r>
      <w:r w:rsidRPr="008A1679">
        <w:rPr>
          <w:iCs/>
          <w:szCs w:val="22"/>
          <w:lang w:val="en-AU"/>
        </w:rPr>
        <w:t xml:space="preserve">American Journal of Industrial Medicine, </w:t>
      </w:r>
      <w:r w:rsidRPr="008A1679">
        <w:rPr>
          <w:szCs w:val="22"/>
          <w:lang w:val="en-AU"/>
        </w:rPr>
        <w:t>34:</w:t>
      </w:r>
      <w:r w:rsidRPr="008A1679">
        <w:rPr>
          <w:bCs/>
          <w:szCs w:val="22"/>
          <w:lang w:val="en-AU"/>
        </w:rPr>
        <w:t xml:space="preserve"> </w:t>
      </w:r>
      <w:r w:rsidRPr="008A1679">
        <w:rPr>
          <w:szCs w:val="22"/>
          <w:lang w:val="en-AU"/>
        </w:rPr>
        <w:t>568-573.</w:t>
      </w:r>
    </w:p>
    <w:p w:rsidR="003B1271" w:rsidRPr="008A1679" w:rsidRDefault="003B1271" w:rsidP="003B1271">
      <w:pPr>
        <w:pStyle w:val="BodyText"/>
        <w:ind w:left="567" w:hanging="567"/>
        <w:rPr>
          <w:szCs w:val="22"/>
          <w:lang w:val="en-AU"/>
        </w:rPr>
      </w:pPr>
      <w:proofErr w:type="spellStart"/>
      <w:r w:rsidRPr="008A1679">
        <w:rPr>
          <w:szCs w:val="22"/>
          <w:lang w:val="en-AU"/>
        </w:rPr>
        <w:t>Holness</w:t>
      </w:r>
      <w:proofErr w:type="spellEnd"/>
      <w:r w:rsidRPr="008A1679">
        <w:rPr>
          <w:szCs w:val="22"/>
          <w:lang w:val="en-AU"/>
        </w:rPr>
        <w:t xml:space="preserve"> DL &amp; </w:t>
      </w:r>
      <w:proofErr w:type="spellStart"/>
      <w:r w:rsidRPr="008A1679">
        <w:rPr>
          <w:szCs w:val="22"/>
          <w:lang w:val="en-AU"/>
        </w:rPr>
        <w:t>Nethercott</w:t>
      </w:r>
      <w:proofErr w:type="spellEnd"/>
      <w:r w:rsidRPr="008A1679">
        <w:rPr>
          <w:szCs w:val="22"/>
          <w:lang w:val="en-AU"/>
        </w:rPr>
        <w:t xml:space="preserve"> JR (1995). </w:t>
      </w:r>
      <w:r w:rsidRPr="008A1679">
        <w:rPr>
          <w:i/>
          <w:szCs w:val="22"/>
          <w:lang w:val="en-AU"/>
        </w:rPr>
        <w:t>Work outcome in workers with occupational skin disease.</w:t>
      </w:r>
      <w:r w:rsidRPr="008A1679">
        <w:rPr>
          <w:szCs w:val="22"/>
          <w:lang w:val="en-AU"/>
        </w:rPr>
        <w:t xml:space="preserve"> </w:t>
      </w:r>
      <w:r w:rsidRPr="008A1679">
        <w:rPr>
          <w:iCs/>
          <w:szCs w:val="22"/>
          <w:lang w:val="en-AU"/>
        </w:rPr>
        <w:t>American Journal of Industrial Medicine</w:t>
      </w:r>
      <w:r w:rsidRPr="008A1679">
        <w:rPr>
          <w:szCs w:val="22"/>
          <w:lang w:val="en-AU"/>
        </w:rPr>
        <w:t>, 22:</w:t>
      </w:r>
      <w:r w:rsidRPr="008A1679">
        <w:rPr>
          <w:bCs/>
          <w:szCs w:val="22"/>
          <w:lang w:val="en-AU"/>
        </w:rPr>
        <w:t xml:space="preserve"> </w:t>
      </w:r>
      <w:r w:rsidRPr="008A1679">
        <w:rPr>
          <w:szCs w:val="22"/>
          <w:lang w:val="en-AU"/>
        </w:rPr>
        <w:t>807-815</w:t>
      </w:r>
    </w:p>
    <w:p w:rsidR="003B1271" w:rsidRPr="008A1679" w:rsidDel="0098221E" w:rsidRDefault="003B1271" w:rsidP="003B1271">
      <w:pPr>
        <w:pStyle w:val="BodyText"/>
        <w:ind w:left="567" w:hanging="567"/>
        <w:rPr>
          <w:szCs w:val="22"/>
          <w:lang w:val="en-AU"/>
        </w:rPr>
      </w:pPr>
      <w:proofErr w:type="spellStart"/>
      <w:r w:rsidRPr="008A1679">
        <w:rPr>
          <w:szCs w:val="22"/>
          <w:lang w:val="en-AU"/>
        </w:rPr>
        <w:t>Coenraads</w:t>
      </w:r>
      <w:proofErr w:type="spellEnd"/>
      <w:r w:rsidRPr="008A1679">
        <w:rPr>
          <w:szCs w:val="22"/>
          <w:lang w:val="en-AU"/>
        </w:rPr>
        <w:t xml:space="preserve"> P-J &amp;</w:t>
      </w:r>
      <w:r w:rsidRPr="008A1679" w:rsidDel="0098221E">
        <w:rPr>
          <w:szCs w:val="22"/>
          <w:lang w:val="en-AU"/>
        </w:rPr>
        <w:t xml:space="preserve"> </w:t>
      </w:r>
      <w:proofErr w:type="spellStart"/>
      <w:r w:rsidRPr="008A1679" w:rsidDel="0098221E">
        <w:rPr>
          <w:szCs w:val="22"/>
          <w:lang w:val="en-AU"/>
        </w:rPr>
        <w:t>Diepgen</w:t>
      </w:r>
      <w:proofErr w:type="spellEnd"/>
      <w:r w:rsidRPr="008A1679" w:rsidDel="0098221E">
        <w:rPr>
          <w:szCs w:val="22"/>
          <w:lang w:val="en-AU"/>
        </w:rPr>
        <w:t xml:space="preserve"> TL</w:t>
      </w:r>
      <w:r w:rsidRPr="008A1679">
        <w:rPr>
          <w:szCs w:val="22"/>
          <w:lang w:val="en-AU"/>
        </w:rPr>
        <w:t xml:space="preserve"> (1998)</w:t>
      </w:r>
      <w:r w:rsidRPr="008A1679" w:rsidDel="0098221E">
        <w:rPr>
          <w:szCs w:val="22"/>
          <w:lang w:val="en-AU"/>
        </w:rPr>
        <w:t xml:space="preserve">. </w:t>
      </w:r>
      <w:r w:rsidRPr="008A1679" w:rsidDel="0098221E">
        <w:rPr>
          <w:i/>
          <w:szCs w:val="22"/>
          <w:lang w:val="en-AU"/>
        </w:rPr>
        <w:t>Risk for hand eczema in employees with past or present atopic dermatitis.</w:t>
      </w:r>
      <w:r w:rsidRPr="008A1679" w:rsidDel="0098221E">
        <w:rPr>
          <w:szCs w:val="22"/>
          <w:lang w:val="en-AU"/>
        </w:rPr>
        <w:t xml:space="preserve"> International Archives of Occupational</w:t>
      </w:r>
      <w:r w:rsidRPr="008A1679">
        <w:rPr>
          <w:szCs w:val="22"/>
          <w:lang w:val="en-AU"/>
        </w:rPr>
        <w:t xml:space="preserve"> and Environmental Health,</w:t>
      </w:r>
      <w:r w:rsidRPr="008A1679" w:rsidDel="0098221E">
        <w:rPr>
          <w:szCs w:val="22"/>
          <w:lang w:val="en-AU"/>
        </w:rPr>
        <w:t xml:space="preserve"> 71: 7-13.</w:t>
      </w:r>
    </w:p>
    <w:p w:rsidR="003B1271" w:rsidRPr="008A1679" w:rsidRDefault="003B1271" w:rsidP="003B1271">
      <w:pPr>
        <w:pStyle w:val="BodyText"/>
        <w:ind w:left="567" w:hanging="567"/>
        <w:rPr>
          <w:szCs w:val="22"/>
          <w:lang w:val="en-AU"/>
        </w:rPr>
      </w:pPr>
      <w:r w:rsidRPr="008A1679">
        <w:rPr>
          <w:szCs w:val="22"/>
          <w:lang w:val="en-AU"/>
        </w:rPr>
        <w:t xml:space="preserve">Cahill J, Keegel T &amp; Nixon R (2004). </w:t>
      </w:r>
      <w:r w:rsidRPr="008A1679">
        <w:rPr>
          <w:i/>
          <w:szCs w:val="22"/>
          <w:lang w:val="en-AU"/>
        </w:rPr>
        <w:t>The prognosis of occupational contact dermatitis in 2004.</w:t>
      </w:r>
      <w:r w:rsidRPr="008A1679">
        <w:rPr>
          <w:szCs w:val="22"/>
          <w:lang w:val="en-AU"/>
        </w:rPr>
        <w:t xml:space="preserve"> </w:t>
      </w:r>
      <w:r w:rsidRPr="008A1679">
        <w:rPr>
          <w:iCs/>
          <w:szCs w:val="22"/>
          <w:lang w:val="en-AU"/>
        </w:rPr>
        <w:t>Contact Dermatitis</w:t>
      </w:r>
      <w:r w:rsidRPr="008A1679">
        <w:rPr>
          <w:szCs w:val="22"/>
          <w:lang w:val="en-AU"/>
        </w:rPr>
        <w:t xml:space="preserve"> 51: 219-226.</w:t>
      </w:r>
    </w:p>
    <w:p w:rsidR="003B1271" w:rsidRPr="008A1679" w:rsidRDefault="003B1271" w:rsidP="003B1271">
      <w:pPr>
        <w:pStyle w:val="BodyText"/>
        <w:ind w:left="567" w:hanging="567"/>
        <w:rPr>
          <w:szCs w:val="22"/>
          <w:lang w:val="en-AU"/>
        </w:rPr>
      </w:pPr>
      <w:r w:rsidRPr="008A1679">
        <w:rPr>
          <w:szCs w:val="22"/>
          <w:lang w:val="en-AU"/>
        </w:rPr>
        <w:t xml:space="preserve">Hogan DJ (1994). </w:t>
      </w:r>
      <w:r w:rsidRPr="008A1679">
        <w:rPr>
          <w:i/>
          <w:szCs w:val="22"/>
          <w:lang w:val="en-AU"/>
        </w:rPr>
        <w:t>The prognosis of occupational contact dermatitis.</w:t>
      </w:r>
      <w:r w:rsidRPr="008A1679">
        <w:rPr>
          <w:szCs w:val="22"/>
          <w:lang w:val="en-AU"/>
        </w:rPr>
        <w:t xml:space="preserve"> </w:t>
      </w:r>
      <w:r w:rsidRPr="008A1679">
        <w:rPr>
          <w:iCs/>
          <w:szCs w:val="22"/>
          <w:lang w:val="en-AU"/>
        </w:rPr>
        <w:t>Occupational Medicine,</w:t>
      </w:r>
      <w:r w:rsidRPr="008A1679">
        <w:rPr>
          <w:szCs w:val="22"/>
          <w:lang w:val="en-AU"/>
        </w:rPr>
        <w:t xml:space="preserve"> 9:</w:t>
      </w:r>
      <w:r w:rsidRPr="008A1679">
        <w:rPr>
          <w:bCs/>
          <w:szCs w:val="22"/>
          <w:lang w:val="en-AU"/>
        </w:rPr>
        <w:t xml:space="preserve"> </w:t>
      </w:r>
      <w:r w:rsidRPr="008A1679">
        <w:rPr>
          <w:szCs w:val="22"/>
          <w:lang w:val="en-AU"/>
        </w:rPr>
        <w:t>53-58.</w:t>
      </w:r>
    </w:p>
    <w:p w:rsidR="003B1271" w:rsidRPr="008A1679" w:rsidRDefault="003B1271" w:rsidP="003B1271">
      <w:pPr>
        <w:pStyle w:val="BodyText"/>
        <w:ind w:left="567" w:hanging="567"/>
        <w:rPr>
          <w:szCs w:val="22"/>
          <w:lang w:val="en-AU"/>
        </w:rPr>
      </w:pPr>
      <w:r w:rsidRPr="008A1679">
        <w:rPr>
          <w:szCs w:val="22"/>
          <w:lang w:val="en-AU"/>
        </w:rPr>
        <w:t xml:space="preserve">Burrows D (1972). </w:t>
      </w:r>
      <w:r w:rsidRPr="008A1679">
        <w:rPr>
          <w:i/>
          <w:szCs w:val="22"/>
          <w:lang w:val="en-AU"/>
        </w:rPr>
        <w:t>Prognosis in industrial dermatitis.</w:t>
      </w:r>
      <w:r w:rsidRPr="008A1679">
        <w:rPr>
          <w:szCs w:val="22"/>
          <w:lang w:val="en-AU"/>
        </w:rPr>
        <w:t xml:space="preserve"> </w:t>
      </w:r>
      <w:r w:rsidRPr="008A1679">
        <w:rPr>
          <w:iCs/>
          <w:szCs w:val="22"/>
          <w:lang w:val="en-AU"/>
        </w:rPr>
        <w:t>British Journal of Dermatology,</w:t>
      </w:r>
      <w:r w:rsidRPr="008A1679">
        <w:rPr>
          <w:szCs w:val="22"/>
          <w:lang w:val="en-AU"/>
        </w:rPr>
        <w:t xml:space="preserve"> 87:</w:t>
      </w:r>
      <w:r w:rsidRPr="008A1679">
        <w:rPr>
          <w:bCs/>
          <w:szCs w:val="22"/>
          <w:lang w:val="en-AU"/>
        </w:rPr>
        <w:t xml:space="preserve"> </w:t>
      </w:r>
      <w:r w:rsidRPr="008A1679">
        <w:rPr>
          <w:szCs w:val="22"/>
          <w:lang w:val="en-AU"/>
        </w:rPr>
        <w:t>145-148.</w:t>
      </w:r>
    </w:p>
    <w:p w:rsidR="003B1271" w:rsidRPr="008A1679" w:rsidRDefault="00B967B9" w:rsidP="003B1271">
      <w:pPr>
        <w:pStyle w:val="BodyText"/>
        <w:ind w:left="567" w:hanging="567"/>
        <w:rPr>
          <w:szCs w:val="22"/>
          <w:lang w:val="en-AU"/>
        </w:rPr>
      </w:pPr>
      <w:hyperlink r:id="rId16" w:tooltip="Click to search for citations by this author." w:history="1">
        <w:r w:rsidR="003B1271" w:rsidRPr="008A1679">
          <w:rPr>
            <w:rStyle w:val="Hyperlink"/>
            <w:color w:val="auto"/>
            <w:szCs w:val="22"/>
            <w:u w:val="none"/>
            <w:lang w:val="en-AU"/>
          </w:rPr>
          <w:t>Adisesh A</w:t>
        </w:r>
      </w:hyperlink>
      <w:r w:rsidR="003B1271" w:rsidRPr="008A1679">
        <w:rPr>
          <w:szCs w:val="22"/>
          <w:lang w:val="en-AU"/>
        </w:rPr>
        <w:t xml:space="preserve">, </w:t>
      </w:r>
      <w:hyperlink r:id="rId17" w:tooltip="Click to search for citations by this author." w:history="1">
        <w:r w:rsidR="003B1271" w:rsidRPr="008A1679">
          <w:rPr>
            <w:rStyle w:val="Hyperlink"/>
            <w:color w:val="auto"/>
            <w:szCs w:val="22"/>
            <w:u w:val="none"/>
            <w:lang w:val="en-AU"/>
          </w:rPr>
          <w:t>Meyer JD</w:t>
        </w:r>
      </w:hyperlink>
      <w:r w:rsidR="003B1271" w:rsidRPr="008A1679">
        <w:rPr>
          <w:szCs w:val="22"/>
          <w:lang w:val="en-AU"/>
        </w:rPr>
        <w:t xml:space="preserve"> &amp; Cherry NM (2002). </w:t>
      </w:r>
      <w:r w:rsidR="003B1271" w:rsidRPr="008A1679">
        <w:rPr>
          <w:i/>
          <w:szCs w:val="22"/>
          <w:lang w:val="en-AU"/>
        </w:rPr>
        <w:t xml:space="preserve">Prognosis and work absence due to occupational contact dermatitis. </w:t>
      </w:r>
      <w:r w:rsidR="003B1271" w:rsidRPr="008A1679">
        <w:rPr>
          <w:iCs/>
          <w:szCs w:val="22"/>
          <w:lang w:val="en-AU"/>
        </w:rPr>
        <w:t>Contact Dermatitis</w:t>
      </w:r>
      <w:r w:rsidR="003B1271" w:rsidRPr="008A1679">
        <w:rPr>
          <w:szCs w:val="22"/>
          <w:lang w:val="en-AU"/>
        </w:rPr>
        <w:t>, 46: 273-279.</w:t>
      </w:r>
    </w:p>
    <w:p w:rsidR="003B1271" w:rsidRPr="008A1679" w:rsidRDefault="003B1271" w:rsidP="003B1271">
      <w:pPr>
        <w:pStyle w:val="BodyText"/>
        <w:ind w:left="567" w:hanging="567"/>
        <w:rPr>
          <w:szCs w:val="22"/>
          <w:lang w:val="en-AU"/>
        </w:rPr>
      </w:pPr>
      <w:r w:rsidRPr="008A1679">
        <w:rPr>
          <w:szCs w:val="22"/>
          <w:lang w:val="en-AU"/>
        </w:rPr>
        <w:t xml:space="preserve">Wall LM &amp; </w:t>
      </w:r>
      <w:proofErr w:type="spellStart"/>
      <w:r w:rsidRPr="008A1679">
        <w:rPr>
          <w:szCs w:val="22"/>
          <w:lang w:val="en-AU"/>
        </w:rPr>
        <w:t>Gebauer</w:t>
      </w:r>
      <w:proofErr w:type="spellEnd"/>
      <w:r w:rsidRPr="008A1679">
        <w:rPr>
          <w:szCs w:val="22"/>
          <w:lang w:val="en-AU"/>
        </w:rPr>
        <w:t xml:space="preserve"> KA (1991). </w:t>
      </w:r>
      <w:r w:rsidRPr="008A1679">
        <w:rPr>
          <w:i/>
          <w:szCs w:val="22"/>
          <w:lang w:val="en-AU"/>
        </w:rPr>
        <w:t>A follow-up study of occupational skin disease in Western Australia.</w:t>
      </w:r>
      <w:r w:rsidRPr="008A1679">
        <w:rPr>
          <w:szCs w:val="22"/>
          <w:lang w:val="en-AU"/>
        </w:rPr>
        <w:t xml:space="preserve"> </w:t>
      </w:r>
      <w:r w:rsidRPr="008A1679">
        <w:rPr>
          <w:iCs/>
          <w:szCs w:val="22"/>
          <w:lang w:val="en-AU"/>
        </w:rPr>
        <w:t>Contact Dermatitis</w:t>
      </w:r>
      <w:r w:rsidRPr="008A1679">
        <w:rPr>
          <w:szCs w:val="22"/>
          <w:lang w:val="en-AU"/>
        </w:rPr>
        <w:t>, 24: 241-243.</w:t>
      </w:r>
    </w:p>
    <w:p w:rsidR="003B1271" w:rsidRPr="008A1679" w:rsidRDefault="00B967B9" w:rsidP="003B1271">
      <w:pPr>
        <w:pStyle w:val="BodyText"/>
        <w:ind w:left="567" w:hanging="567"/>
        <w:rPr>
          <w:szCs w:val="22"/>
          <w:lang w:val="en-AU"/>
        </w:rPr>
      </w:pPr>
      <w:hyperlink r:id="rId18" w:tooltip="Click to search for citations by this author." w:history="1">
        <w:r w:rsidR="003B1271" w:rsidRPr="008A1679">
          <w:rPr>
            <w:rStyle w:val="Hyperlink"/>
            <w:color w:val="auto"/>
            <w:szCs w:val="22"/>
            <w:u w:val="none"/>
            <w:lang w:val="en-AU"/>
          </w:rPr>
          <w:t>Sajjachareonpong P</w:t>
        </w:r>
      </w:hyperlink>
      <w:r w:rsidR="003B1271" w:rsidRPr="008A1679">
        <w:rPr>
          <w:szCs w:val="22"/>
          <w:lang w:val="en-AU"/>
        </w:rPr>
        <w:t xml:space="preserve">, </w:t>
      </w:r>
      <w:hyperlink r:id="rId19" w:tooltip="Click to search for citations by this author." w:history="1">
        <w:r w:rsidR="003B1271" w:rsidRPr="008A1679">
          <w:rPr>
            <w:rStyle w:val="Hyperlink"/>
            <w:color w:val="auto"/>
            <w:szCs w:val="22"/>
            <w:u w:val="none"/>
            <w:lang w:val="en-AU"/>
          </w:rPr>
          <w:t>Cahill J</w:t>
        </w:r>
      </w:hyperlink>
      <w:r w:rsidR="003B1271" w:rsidRPr="008A1679">
        <w:rPr>
          <w:szCs w:val="22"/>
          <w:lang w:val="en-AU"/>
        </w:rPr>
        <w:t xml:space="preserve">, </w:t>
      </w:r>
      <w:hyperlink r:id="rId20" w:tooltip="Click to search for citations by this author." w:history="1">
        <w:r w:rsidR="003B1271" w:rsidRPr="008A1679">
          <w:rPr>
            <w:rStyle w:val="Hyperlink"/>
            <w:color w:val="auto"/>
            <w:szCs w:val="22"/>
            <w:u w:val="none"/>
            <w:lang w:val="en-AU"/>
          </w:rPr>
          <w:t>Keegel T</w:t>
        </w:r>
      </w:hyperlink>
      <w:r w:rsidR="003B1271" w:rsidRPr="008A1679">
        <w:rPr>
          <w:szCs w:val="22"/>
          <w:lang w:val="en-AU"/>
        </w:rPr>
        <w:t xml:space="preserve">, </w:t>
      </w:r>
      <w:hyperlink r:id="rId21" w:tooltip="Click to search for citations by this author." w:history="1">
        <w:r w:rsidR="003B1271" w:rsidRPr="008A1679">
          <w:rPr>
            <w:rStyle w:val="Hyperlink"/>
            <w:color w:val="auto"/>
            <w:szCs w:val="22"/>
            <w:u w:val="none"/>
            <w:lang w:val="en-AU"/>
          </w:rPr>
          <w:t>Saunders H</w:t>
        </w:r>
      </w:hyperlink>
      <w:r w:rsidR="003B1271" w:rsidRPr="008A1679">
        <w:rPr>
          <w:szCs w:val="22"/>
          <w:lang w:val="en-AU"/>
        </w:rPr>
        <w:t xml:space="preserve"> &amp; </w:t>
      </w:r>
      <w:hyperlink r:id="rId22" w:tooltip="Click to search for citations by this author." w:history="1">
        <w:r w:rsidR="003B1271" w:rsidRPr="008A1679">
          <w:rPr>
            <w:rStyle w:val="Hyperlink"/>
            <w:color w:val="auto"/>
            <w:szCs w:val="22"/>
            <w:u w:val="none"/>
            <w:lang w:val="en-AU"/>
          </w:rPr>
          <w:t>Nixon R</w:t>
        </w:r>
      </w:hyperlink>
      <w:r w:rsidR="003B1271" w:rsidRPr="008A1679">
        <w:rPr>
          <w:lang w:val="en-AU"/>
        </w:rPr>
        <w:t xml:space="preserve"> (2004)</w:t>
      </w:r>
      <w:r w:rsidR="003B1271" w:rsidRPr="008A1679">
        <w:rPr>
          <w:szCs w:val="22"/>
          <w:lang w:val="en-AU"/>
        </w:rPr>
        <w:t xml:space="preserve">. </w:t>
      </w:r>
      <w:r w:rsidR="003B1271" w:rsidRPr="008A1679">
        <w:rPr>
          <w:i/>
          <w:szCs w:val="22"/>
          <w:lang w:val="en-AU"/>
        </w:rPr>
        <w:t>Persistent post-occupational dermatitis.</w:t>
      </w:r>
      <w:r w:rsidR="003B1271" w:rsidRPr="008A1679">
        <w:rPr>
          <w:szCs w:val="22"/>
          <w:lang w:val="en-AU"/>
        </w:rPr>
        <w:t xml:space="preserve"> </w:t>
      </w:r>
      <w:r w:rsidR="003B1271" w:rsidRPr="008A1679">
        <w:rPr>
          <w:iCs/>
          <w:szCs w:val="22"/>
          <w:lang w:val="en-AU"/>
        </w:rPr>
        <w:t>Contact Dermatitis</w:t>
      </w:r>
      <w:r w:rsidR="003B1271" w:rsidRPr="008A1679">
        <w:rPr>
          <w:szCs w:val="22"/>
          <w:lang w:val="en-AU"/>
        </w:rPr>
        <w:t>, 51: 278-283.</w:t>
      </w:r>
    </w:p>
    <w:p w:rsidR="003B1271" w:rsidRPr="008A1679" w:rsidRDefault="003B1271" w:rsidP="003B1271">
      <w:pPr>
        <w:pStyle w:val="BodyText"/>
        <w:ind w:left="567" w:hanging="567"/>
        <w:rPr>
          <w:szCs w:val="22"/>
          <w:lang w:val="en-AU"/>
        </w:rPr>
      </w:pPr>
      <w:proofErr w:type="spellStart"/>
      <w:r w:rsidRPr="008A1679">
        <w:rPr>
          <w:szCs w:val="22"/>
          <w:lang w:val="en-AU"/>
        </w:rPr>
        <w:t>Lobel</w:t>
      </w:r>
      <w:proofErr w:type="spellEnd"/>
      <w:r w:rsidRPr="008A1679">
        <w:rPr>
          <w:szCs w:val="22"/>
          <w:lang w:val="en-AU"/>
        </w:rPr>
        <w:t xml:space="preserve"> E (1995). </w:t>
      </w:r>
      <w:r w:rsidRPr="008A1679">
        <w:rPr>
          <w:i/>
          <w:szCs w:val="22"/>
          <w:lang w:val="en-AU"/>
        </w:rPr>
        <w:t>Post-contact chronic eczema: pension or rehabilitation.</w:t>
      </w:r>
      <w:r w:rsidRPr="008A1679">
        <w:rPr>
          <w:szCs w:val="22"/>
          <w:lang w:val="en-AU"/>
        </w:rPr>
        <w:t xml:space="preserve"> </w:t>
      </w:r>
      <w:r w:rsidRPr="008A1679">
        <w:rPr>
          <w:iCs/>
          <w:szCs w:val="22"/>
          <w:lang w:val="en-AU"/>
        </w:rPr>
        <w:t>Australasian Journal of Dermatology</w:t>
      </w:r>
      <w:r w:rsidRPr="008A1679">
        <w:rPr>
          <w:szCs w:val="22"/>
          <w:lang w:val="en-AU"/>
        </w:rPr>
        <w:t>, 36: 59-62.</w:t>
      </w:r>
    </w:p>
    <w:p w:rsidR="003B1271" w:rsidRPr="008A1679" w:rsidRDefault="003B1271" w:rsidP="003B1271">
      <w:pPr>
        <w:pStyle w:val="BodyText"/>
        <w:ind w:left="567" w:hanging="567"/>
        <w:rPr>
          <w:szCs w:val="22"/>
          <w:lang w:val="en-AU"/>
        </w:rPr>
      </w:pPr>
      <w:proofErr w:type="spellStart"/>
      <w:r w:rsidRPr="008A1679">
        <w:rPr>
          <w:szCs w:val="22"/>
          <w:lang w:val="en-AU"/>
        </w:rPr>
        <w:lastRenderedPageBreak/>
        <w:t>NIOSH</w:t>
      </w:r>
      <w:proofErr w:type="spellEnd"/>
      <w:r w:rsidRPr="008A1679">
        <w:rPr>
          <w:szCs w:val="22"/>
          <w:lang w:val="en-AU"/>
        </w:rPr>
        <w:t xml:space="preserve"> (National Institute for Occupational Safety and Health) (1994). </w:t>
      </w:r>
      <w:r w:rsidRPr="008A1679">
        <w:rPr>
          <w:i/>
          <w:szCs w:val="22"/>
          <w:lang w:val="en-AU"/>
        </w:rPr>
        <w:t>Surveillance of occupational skin disease in the United Kingdom: the OCC-</w:t>
      </w:r>
      <w:proofErr w:type="spellStart"/>
      <w:r w:rsidRPr="008A1679">
        <w:rPr>
          <w:i/>
          <w:szCs w:val="22"/>
          <w:lang w:val="en-AU"/>
        </w:rPr>
        <w:t>DERM</w:t>
      </w:r>
      <w:proofErr w:type="spellEnd"/>
      <w:r w:rsidRPr="008A1679">
        <w:rPr>
          <w:i/>
          <w:szCs w:val="22"/>
          <w:lang w:val="en-AU"/>
        </w:rPr>
        <w:t xml:space="preserve"> project.</w:t>
      </w:r>
      <w:r w:rsidRPr="008A1679">
        <w:rPr>
          <w:szCs w:val="22"/>
          <w:lang w:val="en-AU"/>
        </w:rPr>
        <w:t xml:space="preserve"> </w:t>
      </w:r>
      <w:r w:rsidRPr="008A1679">
        <w:rPr>
          <w:i/>
          <w:iCs/>
          <w:szCs w:val="22"/>
          <w:lang w:val="en-AU"/>
        </w:rPr>
        <w:t>Proceedings of the 9</w:t>
      </w:r>
      <w:r w:rsidRPr="008A1679">
        <w:rPr>
          <w:i/>
          <w:iCs/>
          <w:szCs w:val="22"/>
          <w:vertAlign w:val="superscript"/>
          <w:lang w:val="en-AU"/>
        </w:rPr>
        <w:t>th</w:t>
      </w:r>
      <w:r w:rsidRPr="008A1679">
        <w:rPr>
          <w:i/>
          <w:iCs/>
          <w:szCs w:val="22"/>
          <w:lang w:val="en-AU"/>
        </w:rPr>
        <w:t xml:space="preserve"> International Symposium in Epidemiology in Occupational Health. </w:t>
      </w:r>
      <w:r w:rsidRPr="008A1679">
        <w:rPr>
          <w:szCs w:val="22"/>
          <w:lang w:val="en-AU"/>
        </w:rPr>
        <w:t>Cincinnati: US Department of Health and Human Services.</w:t>
      </w:r>
    </w:p>
    <w:p w:rsidR="003B1271" w:rsidRPr="008A1679" w:rsidRDefault="003B1271" w:rsidP="003B1271">
      <w:pPr>
        <w:pStyle w:val="BodyText"/>
        <w:ind w:left="567" w:hanging="567"/>
        <w:rPr>
          <w:szCs w:val="22"/>
          <w:lang w:val="en-AU"/>
        </w:rPr>
      </w:pPr>
      <w:r w:rsidRPr="008A1679">
        <w:rPr>
          <w:szCs w:val="22"/>
          <w:lang w:val="en-AU"/>
        </w:rPr>
        <w:t xml:space="preserve">Brown T (2004). </w:t>
      </w:r>
      <w:r w:rsidRPr="008A1679">
        <w:rPr>
          <w:i/>
          <w:szCs w:val="22"/>
          <w:lang w:val="en-AU"/>
        </w:rPr>
        <w:t>Strategies for prevention: occupational contact dermatitis.</w:t>
      </w:r>
      <w:r w:rsidRPr="008A1679">
        <w:rPr>
          <w:szCs w:val="22"/>
          <w:lang w:val="en-AU"/>
        </w:rPr>
        <w:t xml:space="preserve"> Contact Dermatitis, 54: 450-457.</w:t>
      </w:r>
    </w:p>
    <w:p w:rsidR="003B1271" w:rsidRPr="008A1679" w:rsidRDefault="003B1271" w:rsidP="003B1271">
      <w:pPr>
        <w:pStyle w:val="BodyText"/>
        <w:ind w:left="567" w:hanging="567"/>
        <w:rPr>
          <w:szCs w:val="22"/>
          <w:lang w:val="en-AU"/>
        </w:rPr>
      </w:pPr>
      <w:proofErr w:type="spellStart"/>
      <w:r w:rsidRPr="008A1679">
        <w:rPr>
          <w:szCs w:val="22"/>
          <w:lang w:val="en-AU"/>
        </w:rPr>
        <w:t>NIOSH</w:t>
      </w:r>
      <w:proofErr w:type="spellEnd"/>
      <w:r w:rsidRPr="008A1679">
        <w:rPr>
          <w:szCs w:val="22"/>
          <w:lang w:val="en-AU"/>
        </w:rPr>
        <w:t xml:space="preserve"> (National Institute for Occupational Safety and Health) (1988). </w:t>
      </w:r>
      <w:r w:rsidRPr="008A1679">
        <w:rPr>
          <w:i/>
          <w:szCs w:val="22"/>
          <w:lang w:val="en-AU"/>
        </w:rPr>
        <w:t>Proposed national strategy for the prevention of leading work-related diseases and injuries – dermatological conditions.</w:t>
      </w:r>
      <w:r w:rsidRPr="008A1679">
        <w:rPr>
          <w:szCs w:val="22"/>
          <w:lang w:val="en-AU"/>
        </w:rPr>
        <w:t xml:space="preserve"> Cincinnati, </w:t>
      </w:r>
      <w:proofErr w:type="spellStart"/>
      <w:r w:rsidRPr="008A1679">
        <w:rPr>
          <w:szCs w:val="22"/>
          <w:lang w:val="en-AU"/>
        </w:rPr>
        <w:t>OH</w:t>
      </w:r>
      <w:proofErr w:type="spellEnd"/>
      <w:r w:rsidRPr="008A1679">
        <w:rPr>
          <w:szCs w:val="22"/>
          <w:lang w:val="en-AU"/>
        </w:rPr>
        <w:t>: US Department of Health and Human Services.</w:t>
      </w:r>
    </w:p>
    <w:p w:rsidR="003B1271" w:rsidRPr="008A1679" w:rsidRDefault="003B1271" w:rsidP="003B1271">
      <w:pPr>
        <w:pStyle w:val="BodyText"/>
        <w:ind w:left="567" w:hanging="567"/>
        <w:rPr>
          <w:szCs w:val="22"/>
          <w:lang w:val="en-AU"/>
        </w:rPr>
      </w:pPr>
      <w:r w:rsidRPr="008A1679">
        <w:rPr>
          <w:szCs w:val="22"/>
          <w:lang w:val="en-AU"/>
        </w:rPr>
        <w:t xml:space="preserve">Bauer A, </w:t>
      </w:r>
      <w:proofErr w:type="spellStart"/>
      <w:r w:rsidRPr="008A1679">
        <w:rPr>
          <w:szCs w:val="22"/>
          <w:lang w:val="en-AU"/>
        </w:rPr>
        <w:t>Kelterer</w:t>
      </w:r>
      <w:proofErr w:type="spellEnd"/>
      <w:r w:rsidRPr="008A1679">
        <w:rPr>
          <w:szCs w:val="22"/>
          <w:lang w:val="en-AU"/>
        </w:rPr>
        <w:t xml:space="preserve"> D, </w:t>
      </w:r>
      <w:proofErr w:type="spellStart"/>
      <w:r w:rsidRPr="008A1679">
        <w:rPr>
          <w:szCs w:val="22"/>
          <w:lang w:val="en-AU"/>
        </w:rPr>
        <w:t>Bartsch</w:t>
      </w:r>
      <w:proofErr w:type="spellEnd"/>
      <w:r w:rsidRPr="008A1679">
        <w:rPr>
          <w:szCs w:val="22"/>
          <w:lang w:val="en-AU"/>
        </w:rPr>
        <w:t xml:space="preserve"> R, Schlegel A, Pearson J, </w:t>
      </w:r>
      <w:proofErr w:type="spellStart"/>
      <w:r w:rsidRPr="008A1679">
        <w:rPr>
          <w:szCs w:val="22"/>
          <w:lang w:val="en-AU"/>
        </w:rPr>
        <w:t>Stadeler</w:t>
      </w:r>
      <w:proofErr w:type="spellEnd"/>
      <w:r w:rsidRPr="008A1679">
        <w:rPr>
          <w:szCs w:val="22"/>
          <w:lang w:val="en-AU"/>
        </w:rPr>
        <w:t xml:space="preserve"> M, </w:t>
      </w:r>
      <w:proofErr w:type="spellStart"/>
      <w:r w:rsidRPr="008A1679">
        <w:rPr>
          <w:szCs w:val="22"/>
          <w:lang w:val="en-AU"/>
        </w:rPr>
        <w:t>Kleesz</w:t>
      </w:r>
      <w:proofErr w:type="spellEnd"/>
      <w:r w:rsidRPr="008A1679">
        <w:rPr>
          <w:szCs w:val="22"/>
          <w:lang w:val="en-AU"/>
        </w:rPr>
        <w:t xml:space="preserve"> P, </w:t>
      </w:r>
      <w:proofErr w:type="spellStart"/>
      <w:r w:rsidRPr="008A1679">
        <w:rPr>
          <w:szCs w:val="22"/>
          <w:lang w:val="en-AU"/>
        </w:rPr>
        <w:t>Grieshaber</w:t>
      </w:r>
      <w:proofErr w:type="spellEnd"/>
      <w:r w:rsidRPr="008A1679">
        <w:rPr>
          <w:szCs w:val="22"/>
          <w:lang w:val="en-AU"/>
        </w:rPr>
        <w:t xml:space="preserve"> R, </w:t>
      </w:r>
      <w:proofErr w:type="spellStart"/>
      <w:r w:rsidRPr="008A1679">
        <w:rPr>
          <w:szCs w:val="22"/>
          <w:lang w:val="en-AU"/>
        </w:rPr>
        <w:t>Schiele</w:t>
      </w:r>
      <w:proofErr w:type="spellEnd"/>
      <w:r w:rsidRPr="008A1679">
        <w:rPr>
          <w:szCs w:val="22"/>
          <w:lang w:val="en-AU"/>
        </w:rPr>
        <w:t xml:space="preserve"> R, </w:t>
      </w:r>
      <w:proofErr w:type="spellStart"/>
      <w:r w:rsidRPr="008A1679">
        <w:rPr>
          <w:szCs w:val="22"/>
          <w:lang w:val="en-AU"/>
        </w:rPr>
        <w:t>Elsner</w:t>
      </w:r>
      <w:proofErr w:type="spellEnd"/>
      <w:r w:rsidRPr="008A1679">
        <w:rPr>
          <w:szCs w:val="22"/>
          <w:lang w:val="en-AU"/>
        </w:rPr>
        <w:t xml:space="preserve"> P &amp; Williams H (2002). </w:t>
      </w:r>
      <w:r w:rsidRPr="008A1679">
        <w:rPr>
          <w:i/>
          <w:szCs w:val="22"/>
          <w:lang w:val="en-AU"/>
        </w:rPr>
        <w:t xml:space="preserve">Prevention of hand dermatitis in bakers' apprentices: different efficacy of skin protection measures and </w:t>
      </w:r>
      <w:proofErr w:type="spellStart"/>
      <w:r w:rsidRPr="008A1679">
        <w:rPr>
          <w:i/>
          <w:szCs w:val="22"/>
          <w:lang w:val="en-AU"/>
        </w:rPr>
        <w:t>UVB</w:t>
      </w:r>
      <w:proofErr w:type="spellEnd"/>
      <w:r w:rsidRPr="008A1679">
        <w:rPr>
          <w:i/>
          <w:szCs w:val="22"/>
          <w:lang w:val="en-AU"/>
        </w:rPr>
        <w:t xml:space="preserve"> hardening</w:t>
      </w:r>
      <w:r w:rsidRPr="008A1679">
        <w:rPr>
          <w:i/>
          <w:iCs/>
          <w:szCs w:val="22"/>
          <w:lang w:val="en-AU"/>
        </w:rPr>
        <w:t xml:space="preserve">. </w:t>
      </w:r>
      <w:r w:rsidRPr="008A1679">
        <w:rPr>
          <w:szCs w:val="22"/>
          <w:lang w:val="en-AU"/>
        </w:rPr>
        <w:t>International Archives of Occupational and Environmental Health, 75: 491-499.</w:t>
      </w:r>
    </w:p>
    <w:p w:rsidR="003B1271" w:rsidRPr="008A1679" w:rsidRDefault="003B1271" w:rsidP="003B1271">
      <w:pPr>
        <w:pStyle w:val="BodyText"/>
        <w:ind w:left="567" w:hanging="567"/>
        <w:rPr>
          <w:szCs w:val="22"/>
          <w:lang w:val="en-AU"/>
        </w:rPr>
      </w:pPr>
      <w:r w:rsidRPr="008A1679">
        <w:rPr>
          <w:szCs w:val="22"/>
          <w:lang w:val="en-AU"/>
        </w:rPr>
        <w:t xml:space="preserve">Loffler H &amp; </w:t>
      </w:r>
      <w:proofErr w:type="spellStart"/>
      <w:r w:rsidRPr="008A1679">
        <w:rPr>
          <w:szCs w:val="22"/>
          <w:lang w:val="en-AU"/>
        </w:rPr>
        <w:t>Effendy</w:t>
      </w:r>
      <w:proofErr w:type="spellEnd"/>
      <w:r w:rsidRPr="008A1679">
        <w:rPr>
          <w:szCs w:val="22"/>
          <w:lang w:val="en-AU"/>
        </w:rPr>
        <w:t xml:space="preserve"> I (2002). </w:t>
      </w:r>
      <w:r w:rsidRPr="008A1679">
        <w:rPr>
          <w:i/>
          <w:szCs w:val="22"/>
          <w:lang w:val="en-AU"/>
        </w:rPr>
        <w:t>Prevention of irritant contact dermatitis.</w:t>
      </w:r>
      <w:r w:rsidRPr="008A1679">
        <w:rPr>
          <w:szCs w:val="22"/>
          <w:lang w:val="en-AU"/>
        </w:rPr>
        <w:t xml:space="preserve"> </w:t>
      </w:r>
      <w:r w:rsidRPr="008A1679">
        <w:rPr>
          <w:iCs/>
          <w:szCs w:val="22"/>
          <w:lang w:val="en-AU"/>
        </w:rPr>
        <w:t>European Journal of Dermatol</w:t>
      </w:r>
      <w:r w:rsidRPr="008A1679">
        <w:rPr>
          <w:szCs w:val="22"/>
          <w:lang w:val="en-AU"/>
        </w:rPr>
        <w:t>ogy, 12: 4-9.</w:t>
      </w:r>
    </w:p>
    <w:p w:rsidR="003B1271" w:rsidRPr="008A1679" w:rsidRDefault="003B1271" w:rsidP="003B1271">
      <w:pPr>
        <w:pStyle w:val="BodyText"/>
        <w:ind w:left="567" w:hanging="567"/>
        <w:rPr>
          <w:szCs w:val="22"/>
          <w:lang w:val="en-AU"/>
        </w:rPr>
      </w:pPr>
      <w:proofErr w:type="spellStart"/>
      <w:r w:rsidRPr="008A1679">
        <w:rPr>
          <w:szCs w:val="22"/>
          <w:lang w:val="en-AU"/>
        </w:rPr>
        <w:t>Kalimo</w:t>
      </w:r>
      <w:proofErr w:type="spellEnd"/>
      <w:r w:rsidRPr="008A1679">
        <w:rPr>
          <w:szCs w:val="22"/>
          <w:lang w:val="en-AU"/>
        </w:rPr>
        <w:t xml:space="preserve"> K, </w:t>
      </w:r>
      <w:proofErr w:type="spellStart"/>
      <w:r w:rsidRPr="008A1679">
        <w:rPr>
          <w:szCs w:val="22"/>
          <w:lang w:val="en-AU"/>
        </w:rPr>
        <w:t>Kautiainen</w:t>
      </w:r>
      <w:proofErr w:type="spellEnd"/>
      <w:r w:rsidRPr="008A1679">
        <w:rPr>
          <w:szCs w:val="22"/>
          <w:lang w:val="en-AU"/>
        </w:rPr>
        <w:t xml:space="preserve"> H, </w:t>
      </w:r>
      <w:proofErr w:type="spellStart"/>
      <w:r w:rsidRPr="008A1679">
        <w:rPr>
          <w:szCs w:val="22"/>
          <w:lang w:val="en-AU"/>
        </w:rPr>
        <w:t>Niskanen</w:t>
      </w:r>
      <w:proofErr w:type="spellEnd"/>
      <w:r w:rsidRPr="008A1679">
        <w:rPr>
          <w:szCs w:val="22"/>
          <w:lang w:val="en-AU"/>
        </w:rPr>
        <w:t xml:space="preserve"> T &amp; </w:t>
      </w:r>
      <w:proofErr w:type="spellStart"/>
      <w:r w:rsidRPr="008A1679">
        <w:rPr>
          <w:szCs w:val="22"/>
          <w:lang w:val="en-AU"/>
        </w:rPr>
        <w:t>Niemi</w:t>
      </w:r>
      <w:proofErr w:type="spellEnd"/>
      <w:r w:rsidRPr="008A1679">
        <w:rPr>
          <w:szCs w:val="22"/>
          <w:lang w:val="en-AU"/>
        </w:rPr>
        <w:t xml:space="preserve"> L (1999). </w:t>
      </w:r>
      <w:r w:rsidRPr="008A1679">
        <w:rPr>
          <w:i/>
          <w:szCs w:val="22"/>
          <w:lang w:val="en-AU"/>
        </w:rPr>
        <w:t>'Eczema school' to improve compliance in an occupational dermatology clinic.</w:t>
      </w:r>
      <w:r w:rsidRPr="008A1679">
        <w:rPr>
          <w:szCs w:val="22"/>
          <w:lang w:val="en-AU"/>
        </w:rPr>
        <w:t xml:space="preserve"> Contact Dermatitis, 41: 315-319.</w:t>
      </w:r>
    </w:p>
    <w:p w:rsidR="003B1271" w:rsidRPr="008A1679" w:rsidRDefault="003B1271" w:rsidP="003B1271">
      <w:pPr>
        <w:pStyle w:val="BodyText"/>
        <w:ind w:left="567" w:hanging="567"/>
        <w:rPr>
          <w:szCs w:val="22"/>
          <w:lang w:val="en-AU"/>
        </w:rPr>
      </w:pPr>
      <w:r w:rsidRPr="008A1679">
        <w:rPr>
          <w:szCs w:val="22"/>
          <w:lang w:val="en-AU"/>
        </w:rPr>
        <w:t xml:space="preserve">Koch P (2001). </w:t>
      </w:r>
      <w:r w:rsidRPr="008A1679">
        <w:rPr>
          <w:i/>
          <w:szCs w:val="22"/>
          <w:lang w:val="en-AU"/>
        </w:rPr>
        <w:t>Occupational contact dermatitis. Recognition and management.</w:t>
      </w:r>
      <w:r w:rsidRPr="008A1679">
        <w:rPr>
          <w:szCs w:val="22"/>
          <w:lang w:val="en-AU"/>
        </w:rPr>
        <w:t xml:space="preserve"> </w:t>
      </w:r>
      <w:r w:rsidRPr="008A1679">
        <w:rPr>
          <w:iCs/>
          <w:szCs w:val="22"/>
          <w:lang w:val="en-AU"/>
        </w:rPr>
        <w:t>American Journal of Clinical Dermatology</w:t>
      </w:r>
      <w:r w:rsidRPr="008A1679">
        <w:rPr>
          <w:szCs w:val="22"/>
          <w:lang w:val="en-AU"/>
        </w:rPr>
        <w:t>, 2: 353-365.</w:t>
      </w:r>
    </w:p>
    <w:p w:rsidR="003B1271" w:rsidRPr="008A1679" w:rsidRDefault="003B1271" w:rsidP="003B1271">
      <w:pPr>
        <w:pStyle w:val="BodyText"/>
        <w:ind w:left="567" w:hanging="567"/>
        <w:rPr>
          <w:szCs w:val="22"/>
          <w:lang w:val="en-AU"/>
        </w:rPr>
      </w:pPr>
      <w:r w:rsidRPr="008A1679">
        <w:rPr>
          <w:szCs w:val="22"/>
          <w:lang w:val="en-AU"/>
        </w:rPr>
        <w:t xml:space="preserve">Lee A &amp; Nixon R (2001). </w:t>
      </w:r>
      <w:r w:rsidRPr="008A1679">
        <w:rPr>
          <w:i/>
          <w:szCs w:val="22"/>
          <w:lang w:val="en-AU"/>
        </w:rPr>
        <w:t>Occupational skin disease in hairdressers.</w:t>
      </w:r>
      <w:r w:rsidRPr="008A1679">
        <w:rPr>
          <w:szCs w:val="22"/>
          <w:lang w:val="en-AU"/>
        </w:rPr>
        <w:t xml:space="preserve"> </w:t>
      </w:r>
      <w:r w:rsidRPr="008A1679">
        <w:rPr>
          <w:iCs/>
          <w:szCs w:val="22"/>
          <w:lang w:val="en-AU"/>
        </w:rPr>
        <w:t>Australasian Journal of Dermatology</w:t>
      </w:r>
      <w:r w:rsidRPr="008A1679">
        <w:rPr>
          <w:szCs w:val="22"/>
          <w:lang w:val="en-AU"/>
        </w:rPr>
        <w:t>, 42: 1-6.</w:t>
      </w:r>
    </w:p>
    <w:p w:rsidR="003B1271" w:rsidRPr="008A1679" w:rsidRDefault="003B1271" w:rsidP="003B1271">
      <w:pPr>
        <w:pStyle w:val="BodyText"/>
        <w:ind w:left="567" w:hanging="567"/>
        <w:rPr>
          <w:szCs w:val="22"/>
          <w:lang w:val="en-AU"/>
        </w:rPr>
      </w:pPr>
      <w:proofErr w:type="spellStart"/>
      <w:r w:rsidRPr="008A1679">
        <w:rPr>
          <w:szCs w:val="22"/>
          <w:lang w:val="en-AU"/>
        </w:rPr>
        <w:t>Skudlik</w:t>
      </w:r>
      <w:proofErr w:type="spellEnd"/>
      <w:r w:rsidRPr="008A1679">
        <w:rPr>
          <w:szCs w:val="22"/>
          <w:lang w:val="en-AU"/>
        </w:rPr>
        <w:t xml:space="preserve"> C, </w:t>
      </w:r>
      <w:proofErr w:type="spellStart"/>
      <w:r w:rsidRPr="008A1679">
        <w:rPr>
          <w:szCs w:val="22"/>
          <w:lang w:val="en-AU"/>
        </w:rPr>
        <w:t>Wulfhorst</w:t>
      </w:r>
      <w:proofErr w:type="spellEnd"/>
      <w:r w:rsidRPr="008A1679">
        <w:rPr>
          <w:szCs w:val="22"/>
          <w:lang w:val="en-AU"/>
        </w:rPr>
        <w:t xml:space="preserve"> B, </w:t>
      </w:r>
      <w:proofErr w:type="spellStart"/>
      <w:r w:rsidRPr="008A1679">
        <w:rPr>
          <w:szCs w:val="22"/>
          <w:lang w:val="en-AU"/>
        </w:rPr>
        <w:t>Gediga</w:t>
      </w:r>
      <w:proofErr w:type="spellEnd"/>
      <w:r w:rsidRPr="008A1679">
        <w:rPr>
          <w:szCs w:val="22"/>
          <w:lang w:val="en-AU"/>
        </w:rPr>
        <w:t xml:space="preserve"> G, Bock M, </w:t>
      </w:r>
      <w:proofErr w:type="spellStart"/>
      <w:r w:rsidRPr="008A1679">
        <w:rPr>
          <w:szCs w:val="22"/>
          <w:lang w:val="en-AU"/>
        </w:rPr>
        <w:t>Allmers</w:t>
      </w:r>
      <w:proofErr w:type="spellEnd"/>
      <w:r w:rsidRPr="008A1679">
        <w:rPr>
          <w:szCs w:val="22"/>
          <w:lang w:val="en-AU"/>
        </w:rPr>
        <w:t xml:space="preserve"> H &amp; John SM (2008). </w:t>
      </w:r>
      <w:r w:rsidRPr="008A1679">
        <w:rPr>
          <w:i/>
          <w:szCs w:val="22"/>
          <w:lang w:val="en-AU"/>
        </w:rPr>
        <w:t>Tertiary individual prevention of occupational skin diseases- a decade of experience with recalcitrant occupational dermatitis.</w:t>
      </w:r>
      <w:r w:rsidRPr="008A1679">
        <w:rPr>
          <w:szCs w:val="22"/>
          <w:lang w:val="en-AU"/>
        </w:rPr>
        <w:t xml:space="preserve"> International Archives of Occupational and Environmental Health, 81: 1059-1064.</w:t>
      </w:r>
    </w:p>
    <w:p w:rsidR="003B1271" w:rsidRPr="008A1679" w:rsidRDefault="003B1271" w:rsidP="003B1271">
      <w:pPr>
        <w:pStyle w:val="BodyText"/>
        <w:ind w:left="567" w:hanging="567"/>
        <w:rPr>
          <w:szCs w:val="22"/>
          <w:lang w:val="en-AU"/>
        </w:rPr>
      </w:pPr>
      <w:proofErr w:type="spellStart"/>
      <w:r w:rsidRPr="008A1679">
        <w:rPr>
          <w:szCs w:val="22"/>
          <w:lang w:val="en-AU"/>
        </w:rPr>
        <w:t>Dickel</w:t>
      </w:r>
      <w:proofErr w:type="spellEnd"/>
      <w:r w:rsidRPr="008A1679">
        <w:rPr>
          <w:szCs w:val="22"/>
          <w:lang w:val="en-AU"/>
        </w:rPr>
        <w:t xml:space="preserve"> H, </w:t>
      </w:r>
      <w:proofErr w:type="spellStart"/>
      <w:r w:rsidRPr="008A1679">
        <w:rPr>
          <w:szCs w:val="22"/>
          <w:lang w:val="en-AU"/>
        </w:rPr>
        <w:t>Kuss</w:t>
      </w:r>
      <w:proofErr w:type="spellEnd"/>
      <w:r w:rsidRPr="008A1679">
        <w:rPr>
          <w:szCs w:val="22"/>
          <w:lang w:val="en-AU"/>
        </w:rPr>
        <w:t xml:space="preserve"> O, Schmidt A, </w:t>
      </w:r>
      <w:proofErr w:type="spellStart"/>
      <w:r w:rsidRPr="008A1679">
        <w:rPr>
          <w:szCs w:val="22"/>
          <w:lang w:val="en-AU"/>
        </w:rPr>
        <w:t>Kretz</w:t>
      </w:r>
      <w:proofErr w:type="spellEnd"/>
      <w:r w:rsidRPr="008A1679">
        <w:rPr>
          <w:szCs w:val="22"/>
          <w:lang w:val="en-AU"/>
        </w:rPr>
        <w:t xml:space="preserve"> J &amp; </w:t>
      </w:r>
      <w:proofErr w:type="spellStart"/>
      <w:r w:rsidRPr="008A1679">
        <w:rPr>
          <w:szCs w:val="22"/>
          <w:lang w:val="en-AU"/>
        </w:rPr>
        <w:t>Diepgen</w:t>
      </w:r>
      <w:proofErr w:type="spellEnd"/>
      <w:r w:rsidRPr="008A1679">
        <w:rPr>
          <w:szCs w:val="22"/>
          <w:lang w:val="en-AU"/>
        </w:rPr>
        <w:t xml:space="preserve"> TL (2002). </w:t>
      </w:r>
      <w:r w:rsidRPr="008A1679">
        <w:rPr>
          <w:i/>
          <w:szCs w:val="22"/>
          <w:lang w:val="en-AU"/>
        </w:rPr>
        <w:t>Importance of irritant contact dermatitis in occupational skin disease.</w:t>
      </w:r>
      <w:r w:rsidRPr="008A1679">
        <w:rPr>
          <w:szCs w:val="22"/>
          <w:lang w:val="en-AU"/>
        </w:rPr>
        <w:t xml:space="preserve"> </w:t>
      </w:r>
      <w:r w:rsidRPr="008A1679">
        <w:rPr>
          <w:iCs/>
          <w:szCs w:val="22"/>
          <w:lang w:val="en-AU"/>
        </w:rPr>
        <w:t>American Journal of Clinical Dermatol</w:t>
      </w:r>
      <w:r w:rsidRPr="008A1679">
        <w:rPr>
          <w:szCs w:val="22"/>
          <w:lang w:val="en-AU"/>
        </w:rPr>
        <w:t xml:space="preserve">ogy, </w:t>
      </w:r>
      <w:r w:rsidRPr="008A1679">
        <w:rPr>
          <w:bCs/>
          <w:szCs w:val="22"/>
          <w:lang w:val="en-AU"/>
        </w:rPr>
        <w:t>3:</w:t>
      </w:r>
      <w:r w:rsidRPr="008A1679">
        <w:rPr>
          <w:b/>
          <w:bCs/>
          <w:szCs w:val="22"/>
          <w:lang w:val="en-AU"/>
        </w:rPr>
        <w:t xml:space="preserve"> </w:t>
      </w:r>
      <w:r w:rsidRPr="008A1679">
        <w:rPr>
          <w:szCs w:val="22"/>
          <w:lang w:val="en-AU"/>
        </w:rPr>
        <w:t>283-289.</w:t>
      </w:r>
    </w:p>
    <w:p w:rsidR="003B1271" w:rsidRPr="008A1679" w:rsidRDefault="003B1271" w:rsidP="003B1271">
      <w:pPr>
        <w:pStyle w:val="BodyText"/>
        <w:ind w:left="567" w:hanging="567"/>
        <w:rPr>
          <w:szCs w:val="22"/>
          <w:lang w:val="en-AU"/>
        </w:rPr>
      </w:pPr>
      <w:proofErr w:type="spellStart"/>
      <w:r w:rsidRPr="008A1679">
        <w:rPr>
          <w:szCs w:val="22"/>
          <w:lang w:val="en-AU"/>
        </w:rPr>
        <w:t>Liden</w:t>
      </w:r>
      <w:proofErr w:type="spellEnd"/>
      <w:r w:rsidRPr="008A1679">
        <w:rPr>
          <w:szCs w:val="22"/>
          <w:lang w:val="en-AU"/>
        </w:rPr>
        <w:t xml:space="preserve"> C (2001). </w:t>
      </w:r>
      <w:r w:rsidRPr="008A1679">
        <w:rPr>
          <w:i/>
          <w:szCs w:val="22"/>
          <w:lang w:val="en-AU"/>
        </w:rPr>
        <w:t>Legislative and preventive measures related to contact dermatitis.</w:t>
      </w:r>
      <w:r w:rsidRPr="008A1679">
        <w:rPr>
          <w:szCs w:val="22"/>
          <w:lang w:val="en-AU"/>
        </w:rPr>
        <w:t xml:space="preserve"> </w:t>
      </w:r>
      <w:r w:rsidRPr="008A1679">
        <w:rPr>
          <w:iCs/>
          <w:szCs w:val="22"/>
          <w:lang w:val="en-AU"/>
        </w:rPr>
        <w:t>Contact Dermatitis</w:t>
      </w:r>
      <w:r w:rsidRPr="008A1679">
        <w:rPr>
          <w:szCs w:val="22"/>
          <w:lang w:val="en-AU"/>
        </w:rPr>
        <w:t>, 44: 65-69.</w:t>
      </w:r>
    </w:p>
    <w:p w:rsidR="003B1271" w:rsidRPr="008A1679" w:rsidRDefault="003B1271" w:rsidP="003B1271">
      <w:pPr>
        <w:pStyle w:val="BodyText"/>
        <w:ind w:left="567" w:hanging="567"/>
        <w:rPr>
          <w:szCs w:val="22"/>
          <w:lang w:val="en-AU"/>
        </w:rPr>
      </w:pPr>
      <w:proofErr w:type="spellStart"/>
      <w:r w:rsidRPr="008A1679">
        <w:rPr>
          <w:szCs w:val="22"/>
          <w:lang w:val="en-AU"/>
        </w:rPr>
        <w:t>Schnuch</w:t>
      </w:r>
      <w:proofErr w:type="spellEnd"/>
      <w:r w:rsidRPr="008A1679">
        <w:rPr>
          <w:szCs w:val="22"/>
          <w:lang w:val="en-AU"/>
        </w:rPr>
        <w:t xml:space="preserve"> A &amp; </w:t>
      </w:r>
      <w:proofErr w:type="spellStart"/>
      <w:r w:rsidRPr="008A1679">
        <w:rPr>
          <w:szCs w:val="22"/>
          <w:lang w:val="en-AU"/>
        </w:rPr>
        <w:t>Uter</w:t>
      </w:r>
      <w:proofErr w:type="spellEnd"/>
      <w:r w:rsidRPr="008A1679">
        <w:rPr>
          <w:szCs w:val="22"/>
          <w:lang w:val="en-AU"/>
        </w:rPr>
        <w:t xml:space="preserve"> W (2003). </w:t>
      </w:r>
      <w:r w:rsidRPr="008A1679">
        <w:rPr>
          <w:i/>
          <w:szCs w:val="22"/>
          <w:lang w:val="en-AU"/>
        </w:rPr>
        <w:t>Decrease in nickel allergy in Germany and regulatory interventions.</w:t>
      </w:r>
      <w:r w:rsidRPr="008A1679">
        <w:rPr>
          <w:szCs w:val="22"/>
          <w:lang w:val="en-AU"/>
        </w:rPr>
        <w:t xml:space="preserve"> </w:t>
      </w:r>
      <w:r w:rsidRPr="008A1679">
        <w:rPr>
          <w:iCs/>
          <w:szCs w:val="22"/>
          <w:lang w:val="en-AU"/>
        </w:rPr>
        <w:t>Contact Dermatitis</w:t>
      </w:r>
      <w:r w:rsidRPr="008A1679">
        <w:rPr>
          <w:szCs w:val="22"/>
          <w:lang w:val="en-AU"/>
        </w:rPr>
        <w:t>, 49: 107-108.</w:t>
      </w:r>
    </w:p>
    <w:p w:rsidR="003B1271" w:rsidRPr="008A1679" w:rsidRDefault="003B1271" w:rsidP="003B1271">
      <w:pPr>
        <w:pStyle w:val="BodyText"/>
        <w:ind w:left="567" w:hanging="567"/>
        <w:rPr>
          <w:szCs w:val="22"/>
          <w:lang w:val="en-AU"/>
        </w:rPr>
      </w:pPr>
      <w:r w:rsidRPr="008A1679">
        <w:rPr>
          <w:szCs w:val="22"/>
          <w:lang w:val="en-AU"/>
        </w:rPr>
        <w:t xml:space="preserve">Roto P, </w:t>
      </w:r>
      <w:proofErr w:type="spellStart"/>
      <w:r w:rsidRPr="008A1679">
        <w:rPr>
          <w:szCs w:val="22"/>
          <w:lang w:val="en-AU"/>
        </w:rPr>
        <w:t>Sainio</w:t>
      </w:r>
      <w:proofErr w:type="spellEnd"/>
      <w:r w:rsidRPr="008A1679">
        <w:rPr>
          <w:szCs w:val="22"/>
          <w:lang w:val="en-AU"/>
        </w:rPr>
        <w:t xml:space="preserve"> H, </w:t>
      </w:r>
      <w:proofErr w:type="spellStart"/>
      <w:r w:rsidRPr="008A1679">
        <w:rPr>
          <w:szCs w:val="22"/>
          <w:lang w:val="en-AU"/>
        </w:rPr>
        <w:t>Reunala</w:t>
      </w:r>
      <w:proofErr w:type="spellEnd"/>
      <w:r w:rsidRPr="008A1679">
        <w:rPr>
          <w:szCs w:val="22"/>
          <w:lang w:val="en-AU"/>
        </w:rPr>
        <w:t xml:space="preserve"> T &amp; </w:t>
      </w:r>
      <w:proofErr w:type="spellStart"/>
      <w:r w:rsidRPr="008A1679">
        <w:rPr>
          <w:szCs w:val="22"/>
          <w:lang w:val="en-AU"/>
        </w:rPr>
        <w:t>Laippala</w:t>
      </w:r>
      <w:proofErr w:type="spellEnd"/>
      <w:r w:rsidRPr="008A1679">
        <w:rPr>
          <w:szCs w:val="22"/>
          <w:lang w:val="en-AU"/>
        </w:rPr>
        <w:t xml:space="preserve"> P (1996). </w:t>
      </w:r>
      <w:r w:rsidRPr="008A1679">
        <w:rPr>
          <w:i/>
          <w:szCs w:val="22"/>
          <w:lang w:val="en-AU"/>
        </w:rPr>
        <w:t xml:space="preserve">Addition of ferrous </w:t>
      </w:r>
      <w:proofErr w:type="spellStart"/>
      <w:r w:rsidRPr="008A1679">
        <w:rPr>
          <w:i/>
          <w:szCs w:val="22"/>
          <w:lang w:val="en-AU"/>
        </w:rPr>
        <w:t>sulfate</w:t>
      </w:r>
      <w:proofErr w:type="spellEnd"/>
      <w:r w:rsidRPr="008A1679">
        <w:rPr>
          <w:i/>
          <w:szCs w:val="22"/>
          <w:lang w:val="en-AU"/>
        </w:rPr>
        <w:t xml:space="preserve"> to cement and risk of chromium dermatitis among construction workers.</w:t>
      </w:r>
      <w:r w:rsidRPr="008A1679">
        <w:rPr>
          <w:szCs w:val="22"/>
          <w:lang w:val="en-AU"/>
        </w:rPr>
        <w:t xml:space="preserve"> Contact Dermatitis, 34: 43-50.</w:t>
      </w:r>
    </w:p>
    <w:p w:rsidR="003B1271" w:rsidRPr="008A1679" w:rsidRDefault="003B1271" w:rsidP="003B1271">
      <w:pPr>
        <w:pStyle w:val="BodyText"/>
        <w:ind w:left="567" w:hanging="567"/>
        <w:rPr>
          <w:szCs w:val="22"/>
          <w:lang w:val="en-AU"/>
        </w:rPr>
      </w:pPr>
      <w:r w:rsidRPr="008A1679">
        <w:rPr>
          <w:szCs w:val="22"/>
          <w:lang w:val="en-AU"/>
        </w:rPr>
        <w:t xml:space="preserve">De </w:t>
      </w:r>
      <w:proofErr w:type="spellStart"/>
      <w:r w:rsidRPr="008A1679">
        <w:rPr>
          <w:szCs w:val="22"/>
          <w:lang w:val="en-AU"/>
        </w:rPr>
        <w:t>Groot</w:t>
      </w:r>
      <w:proofErr w:type="spellEnd"/>
      <w:r w:rsidRPr="008A1679">
        <w:rPr>
          <w:szCs w:val="22"/>
          <w:lang w:val="en-AU"/>
        </w:rPr>
        <w:t xml:space="preserve"> AC (1994). </w:t>
      </w:r>
      <w:r w:rsidRPr="008A1679">
        <w:rPr>
          <w:i/>
          <w:szCs w:val="22"/>
          <w:lang w:val="en-AU"/>
        </w:rPr>
        <w:t>Patch testing: Test concentrations and vehicles for 3700 chemicals (2</w:t>
      </w:r>
      <w:r w:rsidRPr="008A1679">
        <w:rPr>
          <w:i/>
          <w:szCs w:val="22"/>
          <w:vertAlign w:val="superscript"/>
          <w:lang w:val="en-AU"/>
        </w:rPr>
        <w:t>nd</w:t>
      </w:r>
      <w:r w:rsidRPr="008A1679">
        <w:rPr>
          <w:i/>
          <w:szCs w:val="22"/>
          <w:lang w:val="en-AU"/>
        </w:rPr>
        <w:t xml:space="preserve"> </w:t>
      </w:r>
      <w:proofErr w:type="spellStart"/>
      <w:r w:rsidRPr="008A1679">
        <w:rPr>
          <w:i/>
          <w:szCs w:val="22"/>
          <w:lang w:val="en-AU"/>
        </w:rPr>
        <w:t>edn</w:t>
      </w:r>
      <w:proofErr w:type="spellEnd"/>
      <w:r w:rsidRPr="008A1679">
        <w:rPr>
          <w:i/>
          <w:szCs w:val="22"/>
          <w:lang w:val="en-AU"/>
        </w:rPr>
        <w:t>).</w:t>
      </w:r>
      <w:r w:rsidRPr="008A1679">
        <w:rPr>
          <w:szCs w:val="22"/>
          <w:lang w:val="en-AU"/>
        </w:rPr>
        <w:t xml:space="preserve"> Amsterdam: Elsevier.</w:t>
      </w:r>
    </w:p>
    <w:p w:rsidR="003B1271" w:rsidRPr="008A1679" w:rsidRDefault="003B1271" w:rsidP="003B1271">
      <w:pPr>
        <w:pStyle w:val="BodyText"/>
        <w:ind w:left="567" w:hanging="567"/>
        <w:rPr>
          <w:szCs w:val="22"/>
          <w:lang w:val="en-AU"/>
        </w:rPr>
      </w:pPr>
      <w:r w:rsidRPr="008A1679">
        <w:rPr>
          <w:szCs w:val="22"/>
          <w:lang w:val="en-AU"/>
        </w:rPr>
        <w:t>ABS (</w:t>
      </w:r>
      <w:r w:rsidRPr="008A1679">
        <w:rPr>
          <w:iCs/>
          <w:szCs w:val="22"/>
          <w:lang w:val="en-AU"/>
        </w:rPr>
        <w:t>Australian Bureau of Statistics)</w:t>
      </w:r>
      <w:r w:rsidRPr="008A1679">
        <w:rPr>
          <w:i/>
          <w:iCs/>
          <w:szCs w:val="22"/>
          <w:lang w:val="en-AU"/>
        </w:rPr>
        <w:t xml:space="preserve"> (</w:t>
      </w:r>
      <w:r w:rsidRPr="008A1679">
        <w:rPr>
          <w:szCs w:val="22"/>
          <w:lang w:val="en-AU"/>
        </w:rPr>
        <w:t xml:space="preserve">1997). </w:t>
      </w:r>
      <w:r w:rsidRPr="008A1679">
        <w:rPr>
          <w:i/>
          <w:szCs w:val="22"/>
          <w:lang w:val="en-AU"/>
        </w:rPr>
        <w:t>Australian Standard Classification of Occupations</w:t>
      </w:r>
      <w:r w:rsidRPr="008A1679">
        <w:rPr>
          <w:i/>
          <w:iCs/>
          <w:szCs w:val="22"/>
          <w:lang w:val="en-AU"/>
        </w:rPr>
        <w:t xml:space="preserve">. </w:t>
      </w:r>
      <w:r w:rsidRPr="008A1679">
        <w:rPr>
          <w:iCs/>
          <w:szCs w:val="22"/>
          <w:lang w:val="en-AU"/>
        </w:rPr>
        <w:t>&lt;</w:t>
      </w:r>
      <w:hyperlink r:id="rId23" w:history="1">
        <w:r w:rsidRPr="008A1679">
          <w:rPr>
            <w:rStyle w:val="Hyperlink"/>
            <w:szCs w:val="22"/>
            <w:lang w:val="en-AU"/>
          </w:rPr>
          <w:t>http://www.abs.gov.au/ausstats/abs@.nsf/mf/1220.0</w:t>
        </w:r>
      </w:hyperlink>
      <w:r w:rsidRPr="008A1679">
        <w:rPr>
          <w:szCs w:val="22"/>
          <w:lang w:val="en-AU"/>
        </w:rPr>
        <w:t>&gt;. Viewed 10 October 2011.</w:t>
      </w:r>
    </w:p>
    <w:p w:rsidR="003B1271" w:rsidRPr="008A1679" w:rsidRDefault="003B1271" w:rsidP="003B1271">
      <w:pPr>
        <w:pStyle w:val="BodyText"/>
        <w:ind w:left="567" w:hanging="567"/>
        <w:rPr>
          <w:szCs w:val="22"/>
          <w:lang w:val="en-AU"/>
        </w:rPr>
      </w:pPr>
      <w:r w:rsidRPr="008A1679">
        <w:rPr>
          <w:szCs w:val="22"/>
          <w:lang w:val="en-AU"/>
        </w:rPr>
        <w:t>ABS (</w:t>
      </w:r>
      <w:r w:rsidRPr="008A1679">
        <w:rPr>
          <w:iCs/>
          <w:szCs w:val="22"/>
          <w:lang w:val="en-AU"/>
        </w:rPr>
        <w:t>Australian Bureau of Statistics</w:t>
      </w:r>
      <w:r w:rsidRPr="008A1679">
        <w:rPr>
          <w:szCs w:val="22"/>
          <w:lang w:val="en-AU"/>
        </w:rPr>
        <w:t xml:space="preserve">) (1993). </w:t>
      </w:r>
      <w:r w:rsidRPr="008A1679">
        <w:rPr>
          <w:i/>
          <w:szCs w:val="22"/>
          <w:lang w:val="en-AU"/>
        </w:rPr>
        <w:t>Australian and New Zealand Standard Industrial Classification.</w:t>
      </w:r>
      <w:r w:rsidRPr="008A1679">
        <w:rPr>
          <w:i/>
          <w:iCs/>
          <w:szCs w:val="22"/>
          <w:lang w:val="en-AU"/>
        </w:rPr>
        <w:t xml:space="preserve"> &lt;</w:t>
      </w:r>
      <w:hyperlink r:id="rId24" w:history="1">
        <w:r w:rsidRPr="008A1679">
          <w:rPr>
            <w:rStyle w:val="Hyperlink"/>
            <w:szCs w:val="22"/>
            <w:lang w:val="en-AU"/>
          </w:rPr>
          <w:t>http://www.abs.gov.au/ausstats/abs@.nsf/mf/1292.0</w:t>
        </w:r>
      </w:hyperlink>
      <w:r w:rsidRPr="008A1679">
        <w:rPr>
          <w:szCs w:val="22"/>
          <w:lang w:val="en-AU"/>
        </w:rPr>
        <w:t>&gt;. Viewed 10 October, 2011.</w:t>
      </w:r>
    </w:p>
    <w:p w:rsidR="003B1271" w:rsidRPr="008A1679" w:rsidRDefault="003B1271" w:rsidP="003B1271">
      <w:pPr>
        <w:pStyle w:val="BodyText"/>
        <w:ind w:left="567" w:hanging="567"/>
        <w:rPr>
          <w:szCs w:val="22"/>
          <w:lang w:val="en-AU"/>
        </w:rPr>
      </w:pPr>
      <w:proofErr w:type="spellStart"/>
      <w:r w:rsidRPr="008A1679">
        <w:rPr>
          <w:szCs w:val="22"/>
          <w:lang w:val="en-AU"/>
        </w:rPr>
        <w:lastRenderedPageBreak/>
        <w:t>Dickel</w:t>
      </w:r>
      <w:proofErr w:type="spellEnd"/>
      <w:r w:rsidRPr="008A1679">
        <w:rPr>
          <w:szCs w:val="22"/>
          <w:lang w:val="en-AU"/>
        </w:rPr>
        <w:t xml:space="preserve"> H, </w:t>
      </w:r>
      <w:proofErr w:type="spellStart"/>
      <w:r w:rsidRPr="008A1679">
        <w:rPr>
          <w:szCs w:val="22"/>
          <w:lang w:val="en-AU"/>
        </w:rPr>
        <w:t>Kuss</w:t>
      </w:r>
      <w:proofErr w:type="spellEnd"/>
      <w:r w:rsidRPr="008A1679">
        <w:rPr>
          <w:szCs w:val="22"/>
          <w:lang w:val="en-AU"/>
        </w:rPr>
        <w:t xml:space="preserve"> O, </w:t>
      </w:r>
      <w:proofErr w:type="spellStart"/>
      <w:r w:rsidRPr="008A1679">
        <w:rPr>
          <w:szCs w:val="22"/>
          <w:lang w:val="en-AU"/>
        </w:rPr>
        <w:t>Blesius</w:t>
      </w:r>
      <w:proofErr w:type="spellEnd"/>
      <w:r w:rsidRPr="008A1679">
        <w:rPr>
          <w:szCs w:val="22"/>
          <w:lang w:val="en-AU"/>
        </w:rPr>
        <w:t xml:space="preserve"> CR, Schmidt A &amp; </w:t>
      </w:r>
      <w:proofErr w:type="spellStart"/>
      <w:r w:rsidRPr="008A1679">
        <w:rPr>
          <w:szCs w:val="22"/>
          <w:lang w:val="en-AU"/>
        </w:rPr>
        <w:t>Diepgen</w:t>
      </w:r>
      <w:proofErr w:type="spellEnd"/>
      <w:r w:rsidRPr="008A1679">
        <w:rPr>
          <w:szCs w:val="22"/>
          <w:lang w:val="en-AU"/>
        </w:rPr>
        <w:t xml:space="preserve"> TL (2001). </w:t>
      </w:r>
      <w:r w:rsidRPr="008A1679">
        <w:rPr>
          <w:i/>
          <w:szCs w:val="22"/>
          <w:lang w:val="en-AU"/>
        </w:rPr>
        <w:t>Occupational skin diseases in Northern Bavaria between 1990 and 1999: a population-based study.</w:t>
      </w:r>
      <w:r w:rsidRPr="008A1679">
        <w:rPr>
          <w:szCs w:val="22"/>
          <w:lang w:val="en-AU"/>
        </w:rPr>
        <w:t xml:space="preserve"> </w:t>
      </w:r>
      <w:r w:rsidRPr="008A1679">
        <w:rPr>
          <w:iCs/>
          <w:szCs w:val="22"/>
          <w:lang w:val="en-AU"/>
        </w:rPr>
        <w:t>British Journal of Dermatol</w:t>
      </w:r>
      <w:r w:rsidRPr="008A1679">
        <w:rPr>
          <w:szCs w:val="22"/>
          <w:lang w:val="en-AU"/>
        </w:rPr>
        <w:t xml:space="preserve">ogy, </w:t>
      </w:r>
      <w:r w:rsidRPr="008A1679">
        <w:rPr>
          <w:bCs/>
          <w:szCs w:val="22"/>
          <w:lang w:val="en-AU"/>
        </w:rPr>
        <w:t>145:</w:t>
      </w:r>
      <w:r w:rsidRPr="008A1679">
        <w:rPr>
          <w:szCs w:val="22"/>
          <w:lang w:val="en-AU"/>
        </w:rPr>
        <w:t xml:space="preserve"> 453-462.</w:t>
      </w:r>
    </w:p>
    <w:p w:rsidR="003B1271" w:rsidRPr="008A1679" w:rsidRDefault="003B1271" w:rsidP="003B1271">
      <w:pPr>
        <w:pStyle w:val="BodyText"/>
        <w:ind w:left="567" w:hanging="567"/>
        <w:rPr>
          <w:szCs w:val="22"/>
          <w:lang w:val="en-AU"/>
        </w:rPr>
      </w:pPr>
      <w:r w:rsidRPr="008A1679">
        <w:rPr>
          <w:szCs w:val="22"/>
          <w:lang w:val="en-AU"/>
        </w:rPr>
        <w:t xml:space="preserve">McDonald </w:t>
      </w:r>
      <w:proofErr w:type="spellStart"/>
      <w:r w:rsidRPr="008A1679">
        <w:rPr>
          <w:szCs w:val="22"/>
          <w:lang w:val="en-AU"/>
        </w:rPr>
        <w:t>JC</w:t>
      </w:r>
      <w:proofErr w:type="spellEnd"/>
      <w:r w:rsidRPr="008A1679">
        <w:rPr>
          <w:szCs w:val="22"/>
          <w:lang w:val="en-AU"/>
        </w:rPr>
        <w:t xml:space="preserve">, Beck </w:t>
      </w:r>
      <w:proofErr w:type="spellStart"/>
      <w:r w:rsidRPr="008A1679">
        <w:rPr>
          <w:szCs w:val="22"/>
          <w:lang w:val="en-AU"/>
        </w:rPr>
        <w:t>MH</w:t>
      </w:r>
      <w:proofErr w:type="spellEnd"/>
      <w:r w:rsidRPr="008A1679">
        <w:rPr>
          <w:szCs w:val="22"/>
          <w:lang w:val="en-AU"/>
        </w:rPr>
        <w:t xml:space="preserve">, Chen Y &amp; Cherry NM (2006). </w:t>
      </w:r>
      <w:r w:rsidRPr="008A1679">
        <w:rPr>
          <w:i/>
          <w:szCs w:val="22"/>
          <w:lang w:val="en-AU"/>
        </w:rPr>
        <w:t>Incidence by occupation and industry of work-related skin diseases in the United Kingdom, 1996-2001.</w:t>
      </w:r>
      <w:r w:rsidRPr="008A1679">
        <w:rPr>
          <w:szCs w:val="22"/>
          <w:lang w:val="en-AU"/>
        </w:rPr>
        <w:t xml:space="preserve"> </w:t>
      </w:r>
      <w:proofErr w:type="gramStart"/>
      <w:r w:rsidRPr="008A1679">
        <w:rPr>
          <w:szCs w:val="22"/>
          <w:lang w:val="en-AU"/>
        </w:rPr>
        <w:t>Occupational  Medicine</w:t>
      </w:r>
      <w:proofErr w:type="gramEnd"/>
      <w:r w:rsidRPr="008A1679">
        <w:rPr>
          <w:szCs w:val="22"/>
          <w:lang w:val="en-AU"/>
        </w:rPr>
        <w:t>, 56:</w:t>
      </w:r>
      <w:r w:rsidRPr="008A1679">
        <w:rPr>
          <w:b/>
          <w:szCs w:val="22"/>
          <w:lang w:val="en-AU"/>
        </w:rPr>
        <w:t xml:space="preserve"> </w:t>
      </w:r>
      <w:r w:rsidRPr="008A1679">
        <w:rPr>
          <w:szCs w:val="22"/>
          <w:lang w:val="en-AU"/>
        </w:rPr>
        <w:t>398-405.</w:t>
      </w:r>
    </w:p>
    <w:p w:rsidR="003B1271" w:rsidRPr="008A1679" w:rsidRDefault="003B1271" w:rsidP="003B1271">
      <w:pPr>
        <w:pStyle w:val="BodyText"/>
        <w:ind w:left="567" w:hanging="567"/>
        <w:rPr>
          <w:szCs w:val="22"/>
          <w:lang w:val="en-AU"/>
        </w:rPr>
      </w:pPr>
      <w:proofErr w:type="spellStart"/>
      <w:r w:rsidRPr="008A1679">
        <w:rPr>
          <w:szCs w:val="22"/>
          <w:lang w:val="en-AU"/>
        </w:rPr>
        <w:t>Kucenic</w:t>
      </w:r>
      <w:proofErr w:type="spellEnd"/>
      <w:r w:rsidRPr="008A1679">
        <w:rPr>
          <w:szCs w:val="22"/>
          <w:lang w:val="en-AU"/>
        </w:rPr>
        <w:t xml:space="preserve"> </w:t>
      </w:r>
      <w:proofErr w:type="spellStart"/>
      <w:r w:rsidRPr="008A1679">
        <w:rPr>
          <w:szCs w:val="22"/>
          <w:lang w:val="en-AU"/>
        </w:rPr>
        <w:t>MJ</w:t>
      </w:r>
      <w:proofErr w:type="spellEnd"/>
      <w:r w:rsidRPr="008A1679">
        <w:rPr>
          <w:szCs w:val="22"/>
          <w:lang w:val="en-AU"/>
        </w:rPr>
        <w:t xml:space="preserve"> &amp; </w:t>
      </w:r>
      <w:proofErr w:type="spellStart"/>
      <w:r w:rsidRPr="008A1679">
        <w:rPr>
          <w:szCs w:val="22"/>
          <w:lang w:val="en-AU"/>
        </w:rPr>
        <w:t>Belsito</w:t>
      </w:r>
      <w:proofErr w:type="spellEnd"/>
      <w:r w:rsidRPr="008A1679">
        <w:rPr>
          <w:szCs w:val="22"/>
          <w:lang w:val="en-AU"/>
        </w:rPr>
        <w:t xml:space="preserve"> </w:t>
      </w:r>
      <w:proofErr w:type="spellStart"/>
      <w:r w:rsidRPr="008A1679">
        <w:rPr>
          <w:szCs w:val="22"/>
          <w:lang w:val="en-AU"/>
        </w:rPr>
        <w:t>DV</w:t>
      </w:r>
      <w:proofErr w:type="spellEnd"/>
      <w:r w:rsidRPr="008A1679">
        <w:rPr>
          <w:szCs w:val="22"/>
          <w:lang w:val="en-AU"/>
        </w:rPr>
        <w:t xml:space="preserve"> (2002). </w:t>
      </w:r>
      <w:r w:rsidRPr="008A1679">
        <w:rPr>
          <w:i/>
          <w:szCs w:val="22"/>
          <w:lang w:val="en-AU"/>
        </w:rPr>
        <w:t>Occupational allergic contact dermatitis is more prevalent than irritant contact dermatitis: A five-year study.</w:t>
      </w:r>
      <w:r w:rsidRPr="008A1679">
        <w:rPr>
          <w:szCs w:val="22"/>
          <w:lang w:val="en-AU"/>
        </w:rPr>
        <w:t xml:space="preserve"> </w:t>
      </w:r>
      <w:r w:rsidRPr="008A1679">
        <w:rPr>
          <w:iCs/>
          <w:szCs w:val="22"/>
          <w:lang w:val="en-AU"/>
        </w:rPr>
        <w:t>Journal of American Academy of Dermatol</w:t>
      </w:r>
      <w:r w:rsidRPr="008A1679">
        <w:rPr>
          <w:szCs w:val="22"/>
          <w:lang w:val="en-AU"/>
        </w:rPr>
        <w:t xml:space="preserve">ogy, </w:t>
      </w:r>
      <w:r w:rsidRPr="008A1679">
        <w:rPr>
          <w:bCs/>
          <w:szCs w:val="22"/>
          <w:lang w:val="en-AU"/>
        </w:rPr>
        <w:t>46:</w:t>
      </w:r>
      <w:r w:rsidRPr="008A1679">
        <w:rPr>
          <w:szCs w:val="22"/>
          <w:lang w:val="en-AU"/>
        </w:rPr>
        <w:t xml:space="preserve"> 695-699.</w:t>
      </w:r>
    </w:p>
    <w:p w:rsidR="003B1271" w:rsidRPr="008A1679" w:rsidRDefault="003B1271" w:rsidP="003B1271">
      <w:pPr>
        <w:pStyle w:val="BodyText"/>
        <w:ind w:left="567" w:hanging="567"/>
        <w:rPr>
          <w:szCs w:val="22"/>
          <w:lang w:val="en-AU"/>
        </w:rPr>
      </w:pPr>
      <w:r w:rsidRPr="008A1679">
        <w:rPr>
          <w:szCs w:val="22"/>
          <w:lang w:val="en-AU"/>
        </w:rPr>
        <w:t xml:space="preserve">Goon AT &amp; </w:t>
      </w:r>
      <w:proofErr w:type="spellStart"/>
      <w:r w:rsidRPr="008A1679">
        <w:rPr>
          <w:szCs w:val="22"/>
          <w:lang w:val="en-AU"/>
        </w:rPr>
        <w:t>Goh</w:t>
      </w:r>
      <w:proofErr w:type="spellEnd"/>
      <w:r w:rsidRPr="008A1679">
        <w:rPr>
          <w:szCs w:val="22"/>
          <w:lang w:val="en-AU"/>
        </w:rPr>
        <w:t xml:space="preserve"> CL (2000). </w:t>
      </w:r>
      <w:r w:rsidRPr="008A1679">
        <w:rPr>
          <w:i/>
          <w:szCs w:val="22"/>
          <w:lang w:val="en-AU"/>
        </w:rPr>
        <w:t>Epidemiology of occupational skin disease in Singapore 1989-1998.</w:t>
      </w:r>
      <w:r w:rsidRPr="008A1679">
        <w:rPr>
          <w:szCs w:val="22"/>
          <w:lang w:val="en-AU"/>
        </w:rPr>
        <w:t xml:space="preserve"> </w:t>
      </w:r>
      <w:r w:rsidRPr="008A1679">
        <w:rPr>
          <w:iCs/>
          <w:szCs w:val="22"/>
          <w:lang w:val="en-AU"/>
        </w:rPr>
        <w:t>Contact Dermatitis</w:t>
      </w:r>
      <w:r w:rsidRPr="008A1679">
        <w:rPr>
          <w:szCs w:val="22"/>
          <w:lang w:val="en-AU"/>
        </w:rPr>
        <w:t xml:space="preserve">, </w:t>
      </w:r>
      <w:r w:rsidRPr="008A1679">
        <w:rPr>
          <w:bCs/>
          <w:szCs w:val="22"/>
          <w:lang w:val="en-AU"/>
        </w:rPr>
        <w:t>43:</w:t>
      </w:r>
      <w:r w:rsidRPr="008A1679">
        <w:rPr>
          <w:szCs w:val="22"/>
          <w:lang w:val="en-AU"/>
        </w:rPr>
        <w:t xml:space="preserve"> 133-136.</w:t>
      </w:r>
    </w:p>
    <w:p w:rsidR="003B1271" w:rsidRPr="008A1679" w:rsidRDefault="003B1271" w:rsidP="003B1271">
      <w:pPr>
        <w:pStyle w:val="BodyText"/>
        <w:ind w:left="567" w:hanging="567"/>
        <w:rPr>
          <w:szCs w:val="22"/>
          <w:lang w:val="en-AU"/>
        </w:rPr>
      </w:pPr>
      <w:r w:rsidRPr="008A1679">
        <w:rPr>
          <w:szCs w:val="22"/>
          <w:lang w:val="en-AU"/>
        </w:rPr>
        <w:t xml:space="preserve"> </w:t>
      </w:r>
      <w:proofErr w:type="spellStart"/>
      <w:r w:rsidRPr="008A1679">
        <w:rPr>
          <w:szCs w:val="22"/>
          <w:lang w:val="en-AU"/>
        </w:rPr>
        <w:t>Rietschel</w:t>
      </w:r>
      <w:proofErr w:type="spellEnd"/>
      <w:r w:rsidRPr="008A1679">
        <w:rPr>
          <w:szCs w:val="22"/>
          <w:lang w:val="en-AU"/>
        </w:rPr>
        <w:t xml:space="preserve"> </w:t>
      </w:r>
      <w:proofErr w:type="spellStart"/>
      <w:r w:rsidRPr="008A1679">
        <w:rPr>
          <w:szCs w:val="22"/>
          <w:lang w:val="en-AU"/>
        </w:rPr>
        <w:t>RL</w:t>
      </w:r>
      <w:proofErr w:type="spellEnd"/>
      <w:r w:rsidRPr="008A1679">
        <w:rPr>
          <w:szCs w:val="22"/>
          <w:lang w:val="en-AU"/>
        </w:rPr>
        <w:t xml:space="preserve">, Mathias CG, Fowler </w:t>
      </w:r>
      <w:proofErr w:type="spellStart"/>
      <w:r w:rsidRPr="008A1679">
        <w:rPr>
          <w:szCs w:val="22"/>
          <w:lang w:val="en-AU"/>
        </w:rPr>
        <w:t>JF</w:t>
      </w:r>
      <w:proofErr w:type="spellEnd"/>
      <w:r w:rsidRPr="008A1679">
        <w:rPr>
          <w:szCs w:val="22"/>
          <w:lang w:val="en-AU"/>
        </w:rPr>
        <w:t xml:space="preserve"> </w:t>
      </w:r>
      <w:proofErr w:type="spellStart"/>
      <w:r w:rsidRPr="008A1679">
        <w:rPr>
          <w:szCs w:val="22"/>
          <w:lang w:val="en-AU"/>
        </w:rPr>
        <w:t>Jr</w:t>
      </w:r>
      <w:proofErr w:type="spellEnd"/>
      <w:r w:rsidRPr="008A1679">
        <w:rPr>
          <w:szCs w:val="22"/>
          <w:lang w:val="en-AU"/>
        </w:rPr>
        <w:t xml:space="preserve">, Pratt M, Taylor JS, </w:t>
      </w:r>
      <w:proofErr w:type="spellStart"/>
      <w:r w:rsidRPr="008A1679">
        <w:rPr>
          <w:szCs w:val="22"/>
          <w:lang w:val="en-AU"/>
        </w:rPr>
        <w:t>Sherertz</w:t>
      </w:r>
      <w:proofErr w:type="spellEnd"/>
      <w:r w:rsidRPr="008A1679">
        <w:rPr>
          <w:szCs w:val="22"/>
          <w:lang w:val="en-AU"/>
        </w:rPr>
        <w:t xml:space="preserve"> </w:t>
      </w:r>
      <w:proofErr w:type="spellStart"/>
      <w:r w:rsidRPr="008A1679">
        <w:rPr>
          <w:szCs w:val="22"/>
          <w:lang w:val="en-AU"/>
        </w:rPr>
        <w:t>EF</w:t>
      </w:r>
      <w:proofErr w:type="spellEnd"/>
      <w:r w:rsidRPr="008A1679">
        <w:rPr>
          <w:szCs w:val="22"/>
          <w:lang w:val="en-AU"/>
        </w:rPr>
        <w:t xml:space="preserve">, Marks JG </w:t>
      </w:r>
      <w:proofErr w:type="spellStart"/>
      <w:r w:rsidRPr="008A1679">
        <w:rPr>
          <w:szCs w:val="22"/>
          <w:lang w:val="en-AU"/>
        </w:rPr>
        <w:t>Jr</w:t>
      </w:r>
      <w:proofErr w:type="spellEnd"/>
      <w:r w:rsidRPr="008A1679">
        <w:rPr>
          <w:szCs w:val="22"/>
          <w:lang w:val="en-AU"/>
        </w:rPr>
        <w:t xml:space="preserve">, </w:t>
      </w:r>
      <w:proofErr w:type="spellStart"/>
      <w:r w:rsidRPr="008A1679">
        <w:rPr>
          <w:szCs w:val="22"/>
          <w:lang w:val="en-AU"/>
        </w:rPr>
        <w:t>Belsito</w:t>
      </w:r>
      <w:proofErr w:type="spellEnd"/>
      <w:r w:rsidRPr="008A1679">
        <w:rPr>
          <w:szCs w:val="22"/>
          <w:lang w:val="en-AU"/>
        </w:rPr>
        <w:t xml:space="preserve"> </w:t>
      </w:r>
      <w:proofErr w:type="spellStart"/>
      <w:r w:rsidRPr="008A1679">
        <w:rPr>
          <w:szCs w:val="22"/>
          <w:lang w:val="en-AU"/>
        </w:rPr>
        <w:t>DV</w:t>
      </w:r>
      <w:proofErr w:type="spellEnd"/>
      <w:r w:rsidRPr="008A1679">
        <w:rPr>
          <w:szCs w:val="22"/>
          <w:lang w:val="en-AU"/>
        </w:rPr>
        <w:t xml:space="preserve">, Storrs </w:t>
      </w:r>
      <w:proofErr w:type="spellStart"/>
      <w:r w:rsidRPr="008A1679">
        <w:rPr>
          <w:szCs w:val="22"/>
          <w:lang w:val="en-AU"/>
        </w:rPr>
        <w:t>FJ</w:t>
      </w:r>
      <w:proofErr w:type="spellEnd"/>
      <w:r w:rsidRPr="008A1679">
        <w:rPr>
          <w:szCs w:val="22"/>
          <w:lang w:val="en-AU"/>
        </w:rPr>
        <w:t xml:space="preserve">, </w:t>
      </w:r>
      <w:proofErr w:type="spellStart"/>
      <w:r w:rsidRPr="008A1679">
        <w:rPr>
          <w:szCs w:val="22"/>
          <w:lang w:val="en-AU"/>
        </w:rPr>
        <w:t>Maibach</w:t>
      </w:r>
      <w:proofErr w:type="spellEnd"/>
      <w:r w:rsidRPr="008A1679">
        <w:rPr>
          <w:szCs w:val="22"/>
          <w:lang w:val="en-AU"/>
        </w:rPr>
        <w:t xml:space="preserve"> HI, </w:t>
      </w:r>
      <w:proofErr w:type="spellStart"/>
      <w:r w:rsidRPr="008A1679">
        <w:rPr>
          <w:szCs w:val="22"/>
          <w:lang w:val="en-AU"/>
        </w:rPr>
        <w:t>Fransway</w:t>
      </w:r>
      <w:proofErr w:type="spellEnd"/>
      <w:r w:rsidRPr="008A1679">
        <w:rPr>
          <w:szCs w:val="22"/>
          <w:lang w:val="en-AU"/>
        </w:rPr>
        <w:t xml:space="preserve"> AF &amp; </w:t>
      </w:r>
      <w:proofErr w:type="spellStart"/>
      <w:r w:rsidRPr="008A1679">
        <w:rPr>
          <w:szCs w:val="22"/>
          <w:lang w:val="en-AU"/>
        </w:rPr>
        <w:t>Deleo</w:t>
      </w:r>
      <w:proofErr w:type="spellEnd"/>
      <w:r w:rsidRPr="008A1679">
        <w:rPr>
          <w:szCs w:val="22"/>
          <w:lang w:val="en-AU"/>
        </w:rPr>
        <w:t xml:space="preserve"> </w:t>
      </w:r>
      <w:proofErr w:type="spellStart"/>
      <w:r w:rsidRPr="008A1679">
        <w:rPr>
          <w:szCs w:val="22"/>
          <w:lang w:val="en-AU"/>
        </w:rPr>
        <w:t>VA</w:t>
      </w:r>
      <w:proofErr w:type="spellEnd"/>
      <w:r w:rsidRPr="008A1679">
        <w:rPr>
          <w:szCs w:val="22"/>
          <w:lang w:val="en-AU"/>
        </w:rPr>
        <w:t xml:space="preserve"> (2002). </w:t>
      </w:r>
      <w:r w:rsidRPr="008A1679">
        <w:rPr>
          <w:i/>
          <w:szCs w:val="22"/>
          <w:lang w:val="en-AU"/>
        </w:rPr>
        <w:t>Relationship of occupation to contact dermatitis: evaluation in patients tested from 1998 to 2000.</w:t>
      </w:r>
      <w:r w:rsidRPr="008A1679">
        <w:rPr>
          <w:szCs w:val="22"/>
          <w:lang w:val="en-AU"/>
        </w:rPr>
        <w:t xml:space="preserve"> </w:t>
      </w:r>
      <w:r w:rsidRPr="008A1679">
        <w:rPr>
          <w:iCs/>
          <w:szCs w:val="22"/>
          <w:lang w:val="en-AU"/>
        </w:rPr>
        <w:t>American Journal of Contact Dermatitis</w:t>
      </w:r>
      <w:r w:rsidRPr="008A1679">
        <w:rPr>
          <w:szCs w:val="22"/>
          <w:lang w:val="en-AU"/>
        </w:rPr>
        <w:t xml:space="preserve">, </w:t>
      </w:r>
      <w:r w:rsidRPr="008A1679">
        <w:rPr>
          <w:bCs/>
          <w:szCs w:val="22"/>
          <w:lang w:val="en-AU"/>
        </w:rPr>
        <w:t>13:</w:t>
      </w:r>
      <w:r w:rsidRPr="008A1679">
        <w:rPr>
          <w:szCs w:val="22"/>
          <w:lang w:val="en-AU"/>
        </w:rPr>
        <w:t xml:space="preserve"> 170-176. </w:t>
      </w:r>
    </w:p>
    <w:p w:rsidR="003B1271" w:rsidRPr="008A1679" w:rsidRDefault="003B1271" w:rsidP="003B1271">
      <w:pPr>
        <w:pStyle w:val="BodyText"/>
        <w:ind w:left="567" w:hanging="567"/>
        <w:rPr>
          <w:lang w:val="en-AU"/>
        </w:rPr>
      </w:pPr>
      <w:r w:rsidRPr="008A1679">
        <w:rPr>
          <w:lang w:val="en-AU"/>
        </w:rPr>
        <w:t xml:space="preserve">Rosen RH &amp; Freeman S (1992). </w:t>
      </w:r>
      <w:r w:rsidRPr="008A1679">
        <w:rPr>
          <w:i/>
          <w:lang w:val="en-AU"/>
        </w:rPr>
        <w:t>Occupational contact dermatitis in New South Wales.</w:t>
      </w:r>
      <w:r w:rsidRPr="008A1679">
        <w:rPr>
          <w:lang w:val="en-AU"/>
        </w:rPr>
        <w:t xml:space="preserve"> Australasian Journal of Dermatology</w:t>
      </w:r>
      <w:r w:rsidRPr="008A1679">
        <w:rPr>
          <w:i/>
          <w:lang w:val="en-AU"/>
        </w:rPr>
        <w:t>,</w:t>
      </w:r>
      <w:r w:rsidRPr="008A1679">
        <w:rPr>
          <w:lang w:val="en-AU"/>
        </w:rPr>
        <w:t xml:space="preserve"> 33:</w:t>
      </w:r>
      <w:r w:rsidRPr="008A1679">
        <w:rPr>
          <w:b/>
          <w:lang w:val="en-AU"/>
        </w:rPr>
        <w:t xml:space="preserve"> </w:t>
      </w:r>
      <w:r w:rsidRPr="008A1679">
        <w:rPr>
          <w:lang w:val="en-AU"/>
        </w:rPr>
        <w:t>1-10.</w:t>
      </w:r>
    </w:p>
    <w:p w:rsidR="003B1271" w:rsidRPr="008A1679" w:rsidRDefault="003B1271" w:rsidP="003B1271">
      <w:pPr>
        <w:pStyle w:val="BodyText"/>
        <w:ind w:left="567" w:hanging="567"/>
        <w:rPr>
          <w:szCs w:val="22"/>
          <w:lang w:val="en-AU"/>
        </w:rPr>
      </w:pPr>
      <w:proofErr w:type="spellStart"/>
      <w:r w:rsidRPr="008A1679">
        <w:rPr>
          <w:szCs w:val="22"/>
          <w:lang w:val="en-AU"/>
        </w:rPr>
        <w:t>Dickel</w:t>
      </w:r>
      <w:proofErr w:type="spellEnd"/>
      <w:r w:rsidRPr="008A1679">
        <w:rPr>
          <w:szCs w:val="22"/>
          <w:lang w:val="en-AU"/>
        </w:rPr>
        <w:t xml:space="preserve"> H, Bruckner TM, Schmidt A &amp; </w:t>
      </w:r>
      <w:proofErr w:type="spellStart"/>
      <w:r w:rsidRPr="008A1679">
        <w:rPr>
          <w:szCs w:val="22"/>
          <w:lang w:val="en-AU"/>
        </w:rPr>
        <w:t>Diepgen</w:t>
      </w:r>
      <w:proofErr w:type="spellEnd"/>
      <w:r w:rsidRPr="008A1679">
        <w:rPr>
          <w:szCs w:val="22"/>
          <w:lang w:val="en-AU"/>
        </w:rPr>
        <w:t xml:space="preserve"> TL (2003). </w:t>
      </w:r>
      <w:r w:rsidRPr="008A1679">
        <w:rPr>
          <w:i/>
          <w:szCs w:val="22"/>
          <w:lang w:val="en-AU"/>
        </w:rPr>
        <w:t>Impact of atopic diathesis on occupational skin disease incidence in a working population.</w:t>
      </w:r>
      <w:r w:rsidRPr="008A1679">
        <w:rPr>
          <w:szCs w:val="22"/>
          <w:lang w:val="en-AU"/>
        </w:rPr>
        <w:t xml:space="preserve"> </w:t>
      </w:r>
      <w:r w:rsidRPr="008A1679">
        <w:rPr>
          <w:iCs/>
          <w:szCs w:val="22"/>
          <w:lang w:val="en-AU"/>
        </w:rPr>
        <w:t>Journal of Investigative Dermatol</w:t>
      </w:r>
      <w:r w:rsidRPr="008A1679">
        <w:rPr>
          <w:szCs w:val="22"/>
          <w:lang w:val="en-AU"/>
        </w:rPr>
        <w:t xml:space="preserve">ogy, </w:t>
      </w:r>
      <w:r w:rsidRPr="008A1679">
        <w:rPr>
          <w:bCs/>
          <w:szCs w:val="22"/>
          <w:lang w:val="en-AU"/>
        </w:rPr>
        <w:t>121:</w:t>
      </w:r>
      <w:r w:rsidRPr="008A1679">
        <w:rPr>
          <w:szCs w:val="22"/>
          <w:lang w:val="en-AU"/>
        </w:rPr>
        <w:t xml:space="preserve"> 37-40.</w:t>
      </w:r>
    </w:p>
    <w:p w:rsidR="003B1271" w:rsidRPr="008A1679" w:rsidRDefault="003B1271" w:rsidP="003B1271"/>
    <w:sectPr w:rsidR="003B1271" w:rsidRPr="008A1679" w:rsidSect="0077422A">
      <w:footerReference w:type="default" r:id="rId25"/>
      <w:pgSz w:w="11907" w:h="16840"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3869" w:rsidRDefault="00203869">
      <w:r>
        <w:separator/>
      </w:r>
    </w:p>
  </w:endnote>
  <w:endnote w:type="continuationSeparator" w:id="0">
    <w:p w:rsidR="00203869" w:rsidRDefault="002038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rsidP="00ED0AFE">
    <w:pPr>
      <w:pStyle w:val="Footer"/>
      <w:rPr>
        <w:sz w:val="20"/>
        <w:szCs w:val="20"/>
      </w:rPr>
    </w:pPr>
    <w:r>
      <w:rPr>
        <w:sz w:val="20"/>
        <w:szCs w:val="20"/>
      </w:rPr>
      <w:t>Occupational Contact Dermatitis: A review of occupational dermatology clinic data</w:t>
    </w:r>
    <w:r>
      <w:rPr>
        <w:sz w:val="20"/>
        <w:szCs w:val="20"/>
      </w:rPr>
      <w:tab/>
    </w:r>
    <w:r w:rsidR="00B967B9" w:rsidRPr="00ED0AFE">
      <w:rPr>
        <w:sz w:val="20"/>
        <w:szCs w:val="20"/>
      </w:rPr>
      <w:fldChar w:fldCharType="begin"/>
    </w:r>
    <w:r w:rsidRPr="00ED0AFE">
      <w:rPr>
        <w:sz w:val="20"/>
        <w:szCs w:val="20"/>
      </w:rPr>
      <w:instrText xml:space="preserve"> PAGE   \* MERGEFORMAT </w:instrText>
    </w:r>
    <w:r w:rsidR="00B967B9" w:rsidRPr="00ED0AFE">
      <w:rPr>
        <w:sz w:val="20"/>
        <w:szCs w:val="20"/>
      </w:rPr>
      <w:fldChar w:fldCharType="separate"/>
    </w:r>
    <w:r w:rsidR="00E875DF">
      <w:rPr>
        <w:noProof/>
        <w:sz w:val="20"/>
        <w:szCs w:val="20"/>
      </w:rPr>
      <w:t>9</w:t>
    </w:r>
    <w:r w:rsidR="00B967B9" w:rsidRPr="00ED0AFE">
      <w:rPr>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rsidP="00ED0AFE">
    <w:pPr>
      <w:pStyle w:val="Footer"/>
      <w:rPr>
        <w:sz w:val="20"/>
        <w:szCs w:val="20"/>
      </w:rPr>
    </w:pPr>
    <w:r>
      <w:rPr>
        <w:sz w:val="20"/>
        <w:szCs w:val="20"/>
      </w:rPr>
      <w:t>Occupational Contact Dermatitis: A review of occupational dermatology clinic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967B9" w:rsidRPr="00ED0AFE">
      <w:rPr>
        <w:sz w:val="20"/>
        <w:szCs w:val="20"/>
      </w:rPr>
      <w:fldChar w:fldCharType="begin"/>
    </w:r>
    <w:r w:rsidRPr="00ED0AFE">
      <w:rPr>
        <w:sz w:val="20"/>
        <w:szCs w:val="20"/>
      </w:rPr>
      <w:instrText xml:space="preserve"> PAGE   \* MERGEFORMAT </w:instrText>
    </w:r>
    <w:r w:rsidR="00B967B9" w:rsidRPr="00ED0AFE">
      <w:rPr>
        <w:sz w:val="20"/>
        <w:szCs w:val="20"/>
      </w:rPr>
      <w:fldChar w:fldCharType="separate"/>
    </w:r>
    <w:r w:rsidR="00E875DF">
      <w:rPr>
        <w:noProof/>
        <w:sz w:val="20"/>
        <w:szCs w:val="20"/>
      </w:rPr>
      <w:t>11</w:t>
    </w:r>
    <w:r w:rsidR="00B967B9" w:rsidRPr="00ED0AFE">
      <w:rPr>
        <w:sz w:val="20"/>
        <w:szCs w:val="2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rsidP="00ED0AFE">
    <w:pPr>
      <w:pStyle w:val="Footer"/>
      <w:rPr>
        <w:sz w:val="20"/>
        <w:szCs w:val="20"/>
      </w:rPr>
    </w:pPr>
    <w:r>
      <w:rPr>
        <w:sz w:val="20"/>
        <w:szCs w:val="20"/>
      </w:rPr>
      <w:t>Occupational Contact Dermatitis: A review of occupational dermatology clinic data</w:t>
    </w:r>
    <w:r>
      <w:rPr>
        <w:sz w:val="20"/>
        <w:szCs w:val="20"/>
      </w:rPr>
      <w:tab/>
    </w:r>
    <w:r w:rsidR="00B967B9" w:rsidRPr="00ED0AFE">
      <w:rPr>
        <w:sz w:val="20"/>
        <w:szCs w:val="20"/>
      </w:rPr>
      <w:fldChar w:fldCharType="begin"/>
    </w:r>
    <w:r w:rsidRPr="00ED0AFE">
      <w:rPr>
        <w:sz w:val="20"/>
        <w:szCs w:val="20"/>
      </w:rPr>
      <w:instrText xml:space="preserve"> PAGE   \* MERGEFORMAT </w:instrText>
    </w:r>
    <w:r w:rsidR="00B967B9" w:rsidRPr="00ED0AFE">
      <w:rPr>
        <w:sz w:val="20"/>
        <w:szCs w:val="20"/>
      </w:rPr>
      <w:fldChar w:fldCharType="separate"/>
    </w:r>
    <w:r w:rsidR="00E875DF">
      <w:rPr>
        <w:noProof/>
        <w:sz w:val="20"/>
        <w:szCs w:val="20"/>
      </w:rPr>
      <w:t>12</w:t>
    </w:r>
    <w:r w:rsidR="00B967B9" w:rsidRPr="00ED0AFE">
      <w:rPr>
        <w:sz w:val="20"/>
        <w:szCs w:val="2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rsidP="00ED0AFE">
    <w:pPr>
      <w:pStyle w:val="Footer"/>
      <w:rPr>
        <w:sz w:val="20"/>
        <w:szCs w:val="20"/>
      </w:rPr>
    </w:pPr>
    <w:r>
      <w:rPr>
        <w:sz w:val="20"/>
        <w:szCs w:val="20"/>
      </w:rPr>
      <w:t>Occupational Contact Dermatitis: A review of occupational dermatology clinic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B967B9" w:rsidRPr="00ED0AFE">
      <w:rPr>
        <w:sz w:val="20"/>
        <w:szCs w:val="20"/>
      </w:rPr>
      <w:fldChar w:fldCharType="begin"/>
    </w:r>
    <w:r w:rsidRPr="00ED0AFE">
      <w:rPr>
        <w:sz w:val="20"/>
        <w:szCs w:val="20"/>
      </w:rPr>
      <w:instrText xml:space="preserve"> PAGE   \* MERGEFORMAT </w:instrText>
    </w:r>
    <w:r w:rsidR="00B967B9" w:rsidRPr="00ED0AFE">
      <w:rPr>
        <w:sz w:val="20"/>
        <w:szCs w:val="20"/>
      </w:rPr>
      <w:fldChar w:fldCharType="separate"/>
    </w:r>
    <w:r w:rsidR="00E875DF">
      <w:rPr>
        <w:noProof/>
        <w:sz w:val="20"/>
        <w:szCs w:val="20"/>
      </w:rPr>
      <w:t>13</w:t>
    </w:r>
    <w:r w:rsidR="00B967B9" w:rsidRPr="00ED0AFE">
      <w:rPr>
        <w:sz w:val="20"/>
        <w:szCs w:val="2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rsidP="00ED0AFE">
    <w:pPr>
      <w:pStyle w:val="Footer"/>
      <w:rPr>
        <w:sz w:val="20"/>
        <w:szCs w:val="20"/>
      </w:rPr>
    </w:pPr>
    <w:r>
      <w:rPr>
        <w:sz w:val="20"/>
        <w:szCs w:val="20"/>
      </w:rPr>
      <w:t>Occupational Contact Dermatitis: A review of occupational dermatology clinic data</w:t>
    </w:r>
    <w:r>
      <w:rPr>
        <w:sz w:val="20"/>
        <w:szCs w:val="20"/>
      </w:rPr>
      <w:tab/>
    </w:r>
    <w:r w:rsidR="00B967B9" w:rsidRPr="00ED0AFE">
      <w:rPr>
        <w:sz w:val="20"/>
        <w:szCs w:val="20"/>
      </w:rPr>
      <w:fldChar w:fldCharType="begin"/>
    </w:r>
    <w:r w:rsidRPr="00ED0AFE">
      <w:rPr>
        <w:sz w:val="20"/>
        <w:szCs w:val="20"/>
      </w:rPr>
      <w:instrText xml:space="preserve"> PAGE   \* MERGEFORMAT </w:instrText>
    </w:r>
    <w:r w:rsidR="00B967B9" w:rsidRPr="00ED0AFE">
      <w:rPr>
        <w:sz w:val="20"/>
        <w:szCs w:val="20"/>
      </w:rPr>
      <w:fldChar w:fldCharType="separate"/>
    </w:r>
    <w:r w:rsidR="00E875DF">
      <w:rPr>
        <w:noProof/>
        <w:sz w:val="20"/>
        <w:szCs w:val="20"/>
      </w:rPr>
      <w:t>19</w:t>
    </w:r>
    <w:r w:rsidR="00B967B9" w:rsidRPr="00ED0AFE">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3869" w:rsidRDefault="00203869">
      <w:r>
        <w:separator/>
      </w:r>
    </w:p>
  </w:footnote>
  <w:footnote w:type="continuationSeparator" w:id="0">
    <w:p w:rsidR="00203869" w:rsidRDefault="00203869">
      <w:r>
        <w:continuationSeparator/>
      </w:r>
    </w:p>
  </w:footnote>
  <w:footnote w:id="1">
    <w:p w:rsidR="00203869" w:rsidRPr="008949F0" w:rsidRDefault="00203869">
      <w:pPr>
        <w:pStyle w:val="FootnoteText"/>
        <w:rPr>
          <w:sz w:val="18"/>
          <w:szCs w:val="18"/>
        </w:rPr>
      </w:pPr>
      <w:r w:rsidRPr="008949F0">
        <w:rPr>
          <w:rStyle w:val="FootnoteReference"/>
          <w:b/>
          <w:sz w:val="22"/>
          <w:szCs w:val="22"/>
        </w:rPr>
        <w:footnoteRef/>
      </w:r>
      <w:r>
        <w:t>h</w:t>
      </w:r>
      <w:r w:rsidRPr="008949F0">
        <w:rPr>
          <w:sz w:val="18"/>
          <w:szCs w:val="18"/>
        </w:rPr>
        <w:t>ttp://www.safeworkaustralia.gov.au/AboutSafeWorkAustralia/WhatWeDo/Publications/Documents/230/NationalOHSStrategy_2002-2012.pdf</w:t>
      </w:r>
    </w:p>
  </w:footnote>
  <w:footnote w:id="2">
    <w:p w:rsidR="00203869" w:rsidRPr="008949F0" w:rsidRDefault="00203869">
      <w:pPr>
        <w:pStyle w:val="FootnoteText"/>
        <w:rPr>
          <w:sz w:val="18"/>
          <w:szCs w:val="18"/>
        </w:rPr>
      </w:pPr>
      <w:r w:rsidRPr="008949F0">
        <w:rPr>
          <w:rStyle w:val="FootnoteReference"/>
          <w:b/>
          <w:sz w:val="22"/>
          <w:szCs w:val="22"/>
        </w:rPr>
        <w:footnoteRef/>
      </w:r>
      <w:r w:rsidRPr="008949F0">
        <w:rPr>
          <w:sz w:val="18"/>
          <w:szCs w:val="18"/>
        </w:rPr>
        <w:t>Refer to the Safe Work Australia website for research publications relating to occupational skin disease: http://www.safeworkaustralia.gov.au/AboutSafeWorkAustralia/WhatWeDo/Publications/Pages/Publication.aspx</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3869" w:rsidRDefault="00203869">
    <w:pPr>
      <w:pStyle w:val="Heade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B3A95"/>
    <w:multiLevelType w:val="hybridMultilevel"/>
    <w:tmpl w:val="15548B64"/>
    <w:lvl w:ilvl="0" w:tplc="81A621B4">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1">
    <w:nsid w:val="407F7E6F"/>
    <w:multiLevelType w:val="hybridMultilevel"/>
    <w:tmpl w:val="BD4819F2"/>
    <w:lvl w:ilvl="0" w:tplc="2A820A76">
      <w:start w:val="4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1D6769E"/>
    <w:multiLevelType w:val="hybridMultilevel"/>
    <w:tmpl w:val="5596AF34"/>
    <w:lvl w:ilvl="0" w:tplc="A93CF166">
      <w:start w:val="4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3930FFA"/>
    <w:multiLevelType w:val="hybridMultilevel"/>
    <w:tmpl w:val="15548B64"/>
    <w:lvl w:ilvl="0" w:tplc="81A621B4">
      <w:start w:val="1"/>
      <w:numFmt w:val="decimal"/>
      <w:lvlText w:val="%1."/>
      <w:lvlJc w:val="left"/>
      <w:pPr>
        <w:tabs>
          <w:tab w:val="num" w:pos="990"/>
        </w:tabs>
        <w:ind w:left="990" w:hanging="360"/>
      </w:pPr>
      <w:rPr>
        <w:rFonts w:hint="default"/>
      </w:rPr>
    </w:lvl>
    <w:lvl w:ilvl="1" w:tplc="04090019" w:tentative="1">
      <w:start w:val="1"/>
      <w:numFmt w:val="lowerLetter"/>
      <w:lvlText w:val="%2."/>
      <w:lvlJc w:val="left"/>
      <w:pPr>
        <w:tabs>
          <w:tab w:val="num" w:pos="1298"/>
        </w:tabs>
        <w:ind w:left="1298" w:hanging="360"/>
      </w:pPr>
    </w:lvl>
    <w:lvl w:ilvl="2" w:tplc="0409001B" w:tentative="1">
      <w:start w:val="1"/>
      <w:numFmt w:val="lowerRoman"/>
      <w:lvlText w:val="%3."/>
      <w:lvlJc w:val="right"/>
      <w:pPr>
        <w:tabs>
          <w:tab w:val="num" w:pos="2018"/>
        </w:tabs>
        <w:ind w:left="2018" w:hanging="180"/>
      </w:pPr>
    </w:lvl>
    <w:lvl w:ilvl="3" w:tplc="0409000F" w:tentative="1">
      <w:start w:val="1"/>
      <w:numFmt w:val="decimal"/>
      <w:lvlText w:val="%4."/>
      <w:lvlJc w:val="left"/>
      <w:pPr>
        <w:tabs>
          <w:tab w:val="num" w:pos="2738"/>
        </w:tabs>
        <w:ind w:left="2738" w:hanging="360"/>
      </w:pPr>
    </w:lvl>
    <w:lvl w:ilvl="4" w:tplc="04090019" w:tentative="1">
      <w:start w:val="1"/>
      <w:numFmt w:val="lowerLetter"/>
      <w:lvlText w:val="%5."/>
      <w:lvlJc w:val="left"/>
      <w:pPr>
        <w:tabs>
          <w:tab w:val="num" w:pos="3458"/>
        </w:tabs>
        <w:ind w:left="3458" w:hanging="360"/>
      </w:pPr>
    </w:lvl>
    <w:lvl w:ilvl="5" w:tplc="0409001B" w:tentative="1">
      <w:start w:val="1"/>
      <w:numFmt w:val="lowerRoman"/>
      <w:lvlText w:val="%6."/>
      <w:lvlJc w:val="right"/>
      <w:pPr>
        <w:tabs>
          <w:tab w:val="num" w:pos="4178"/>
        </w:tabs>
        <w:ind w:left="4178" w:hanging="180"/>
      </w:pPr>
    </w:lvl>
    <w:lvl w:ilvl="6" w:tplc="0409000F" w:tentative="1">
      <w:start w:val="1"/>
      <w:numFmt w:val="decimal"/>
      <w:lvlText w:val="%7."/>
      <w:lvlJc w:val="left"/>
      <w:pPr>
        <w:tabs>
          <w:tab w:val="num" w:pos="4898"/>
        </w:tabs>
        <w:ind w:left="4898" w:hanging="360"/>
      </w:pPr>
    </w:lvl>
    <w:lvl w:ilvl="7" w:tplc="04090019" w:tentative="1">
      <w:start w:val="1"/>
      <w:numFmt w:val="lowerLetter"/>
      <w:lvlText w:val="%8."/>
      <w:lvlJc w:val="left"/>
      <w:pPr>
        <w:tabs>
          <w:tab w:val="num" w:pos="5618"/>
        </w:tabs>
        <w:ind w:left="5618" w:hanging="360"/>
      </w:pPr>
    </w:lvl>
    <w:lvl w:ilvl="8" w:tplc="0409001B" w:tentative="1">
      <w:start w:val="1"/>
      <w:numFmt w:val="lowerRoman"/>
      <w:lvlText w:val="%9."/>
      <w:lvlJc w:val="right"/>
      <w:pPr>
        <w:tabs>
          <w:tab w:val="num" w:pos="6338"/>
        </w:tabs>
        <w:ind w:left="6338" w:hanging="180"/>
      </w:pPr>
    </w:lvl>
  </w:abstractNum>
  <w:abstractNum w:abstractNumId="4">
    <w:nsid w:val="526E06CC"/>
    <w:multiLevelType w:val="hybridMultilevel"/>
    <w:tmpl w:val="C36473E2"/>
    <w:lvl w:ilvl="0" w:tplc="4CD643C2">
      <w:start w:val="4"/>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D26072B"/>
    <w:multiLevelType w:val="hybridMultilevel"/>
    <w:tmpl w:val="5E1CEFEE"/>
    <w:lvl w:ilvl="0" w:tplc="48CE9E3C">
      <w:start w:val="1"/>
      <w:numFmt w:val="decimal"/>
      <w:pStyle w:val="BodyText"/>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3"/>
  </w:num>
  <w:num w:numId="2">
    <w:abstractNumId w:val="0"/>
  </w:num>
  <w:num w:numId="3">
    <w:abstractNumId w:val="2"/>
  </w:num>
  <w:num w:numId="4">
    <w:abstractNumId w:val="1"/>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activeWritingStyle w:appName="MSWord" w:lang="en-AU"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AU" w:vendorID="64" w:dllVersion="131077" w:nlCheck="1" w:checkStyle="1"/>
  <w:activeWritingStyle w:appName="MSWord" w:lang="en-US" w:vendorID="64" w:dllVersion="131077" w:nlCheck="1" w:checkStyle="1"/>
  <w:activeWritingStyle w:appName="MSWord" w:lang="es-ES" w:vendorID="64" w:dllVersion="131078" w:nlCheck="1" w:checkStyle="1"/>
  <w:proofState w:spelling="clean" w:grammar="clean"/>
  <w:stylePaneFormatFilter w:val="3F01"/>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rsids>
    <w:rsidRoot w:val="00B942BC"/>
    <w:rsid w:val="00001B91"/>
    <w:rsid w:val="000047DA"/>
    <w:rsid w:val="00004874"/>
    <w:rsid w:val="00004C97"/>
    <w:rsid w:val="00004E1E"/>
    <w:rsid w:val="00007356"/>
    <w:rsid w:val="00010938"/>
    <w:rsid w:val="00013192"/>
    <w:rsid w:val="00016A79"/>
    <w:rsid w:val="00022FAA"/>
    <w:rsid w:val="00023BBA"/>
    <w:rsid w:val="00032604"/>
    <w:rsid w:val="000334DC"/>
    <w:rsid w:val="00041527"/>
    <w:rsid w:val="00044820"/>
    <w:rsid w:val="00056702"/>
    <w:rsid w:val="0006145A"/>
    <w:rsid w:val="00066F49"/>
    <w:rsid w:val="000823CD"/>
    <w:rsid w:val="00083D76"/>
    <w:rsid w:val="000876CB"/>
    <w:rsid w:val="00090539"/>
    <w:rsid w:val="00091A2D"/>
    <w:rsid w:val="00096C32"/>
    <w:rsid w:val="00096F88"/>
    <w:rsid w:val="000970CE"/>
    <w:rsid w:val="000A31F0"/>
    <w:rsid w:val="000A34F7"/>
    <w:rsid w:val="000A5BB3"/>
    <w:rsid w:val="000A5C18"/>
    <w:rsid w:val="000A70B7"/>
    <w:rsid w:val="000B19B8"/>
    <w:rsid w:val="000B2A00"/>
    <w:rsid w:val="000C1246"/>
    <w:rsid w:val="000C4431"/>
    <w:rsid w:val="000C5834"/>
    <w:rsid w:val="000D5B5F"/>
    <w:rsid w:val="000D5DE4"/>
    <w:rsid w:val="000D66F3"/>
    <w:rsid w:val="000E3F77"/>
    <w:rsid w:val="000E7621"/>
    <w:rsid w:val="000F175D"/>
    <w:rsid w:val="000F55F9"/>
    <w:rsid w:val="000F7E61"/>
    <w:rsid w:val="00100580"/>
    <w:rsid w:val="00111C25"/>
    <w:rsid w:val="00112177"/>
    <w:rsid w:val="00114AAF"/>
    <w:rsid w:val="00116C9A"/>
    <w:rsid w:val="00117E2D"/>
    <w:rsid w:val="00124FB1"/>
    <w:rsid w:val="00131C9B"/>
    <w:rsid w:val="00136701"/>
    <w:rsid w:val="00140D5E"/>
    <w:rsid w:val="00151152"/>
    <w:rsid w:val="001511D7"/>
    <w:rsid w:val="00163ADE"/>
    <w:rsid w:val="00183B82"/>
    <w:rsid w:val="00183FC1"/>
    <w:rsid w:val="00187C7D"/>
    <w:rsid w:val="00193287"/>
    <w:rsid w:val="001A0FF3"/>
    <w:rsid w:val="001A40D4"/>
    <w:rsid w:val="001A4255"/>
    <w:rsid w:val="001A62CA"/>
    <w:rsid w:val="001B0C1F"/>
    <w:rsid w:val="001B1209"/>
    <w:rsid w:val="001B6A4B"/>
    <w:rsid w:val="001D072B"/>
    <w:rsid w:val="001D157E"/>
    <w:rsid w:val="00201C45"/>
    <w:rsid w:val="00203869"/>
    <w:rsid w:val="00207D8F"/>
    <w:rsid w:val="00215B1B"/>
    <w:rsid w:val="002212C2"/>
    <w:rsid w:val="00226B97"/>
    <w:rsid w:val="0024297C"/>
    <w:rsid w:val="0025226E"/>
    <w:rsid w:val="00260030"/>
    <w:rsid w:val="002666D4"/>
    <w:rsid w:val="00270225"/>
    <w:rsid w:val="002721C8"/>
    <w:rsid w:val="0027243A"/>
    <w:rsid w:val="00272EEE"/>
    <w:rsid w:val="0027315E"/>
    <w:rsid w:val="00280799"/>
    <w:rsid w:val="00281D54"/>
    <w:rsid w:val="00283092"/>
    <w:rsid w:val="002834C4"/>
    <w:rsid w:val="00286D5F"/>
    <w:rsid w:val="002873FF"/>
    <w:rsid w:val="0029427E"/>
    <w:rsid w:val="00297BB3"/>
    <w:rsid w:val="002A58F4"/>
    <w:rsid w:val="002A64F5"/>
    <w:rsid w:val="002B48DC"/>
    <w:rsid w:val="002C10D0"/>
    <w:rsid w:val="002C152F"/>
    <w:rsid w:val="002C4CBD"/>
    <w:rsid w:val="002C6244"/>
    <w:rsid w:val="002D1E8D"/>
    <w:rsid w:val="002D2820"/>
    <w:rsid w:val="002D4C26"/>
    <w:rsid w:val="002D7441"/>
    <w:rsid w:val="002E4A41"/>
    <w:rsid w:val="002F6B92"/>
    <w:rsid w:val="003000F8"/>
    <w:rsid w:val="00304399"/>
    <w:rsid w:val="0030507B"/>
    <w:rsid w:val="0031083E"/>
    <w:rsid w:val="003163E1"/>
    <w:rsid w:val="00326505"/>
    <w:rsid w:val="00332D33"/>
    <w:rsid w:val="00335364"/>
    <w:rsid w:val="00340743"/>
    <w:rsid w:val="00343B39"/>
    <w:rsid w:val="0034530E"/>
    <w:rsid w:val="00353374"/>
    <w:rsid w:val="00354926"/>
    <w:rsid w:val="0035576C"/>
    <w:rsid w:val="00356023"/>
    <w:rsid w:val="00363DD7"/>
    <w:rsid w:val="00367D20"/>
    <w:rsid w:val="00375129"/>
    <w:rsid w:val="00376859"/>
    <w:rsid w:val="00382525"/>
    <w:rsid w:val="0038296B"/>
    <w:rsid w:val="00390B8A"/>
    <w:rsid w:val="0039319D"/>
    <w:rsid w:val="00393B94"/>
    <w:rsid w:val="00394369"/>
    <w:rsid w:val="003A042A"/>
    <w:rsid w:val="003A0CF4"/>
    <w:rsid w:val="003A4687"/>
    <w:rsid w:val="003A477A"/>
    <w:rsid w:val="003A7B69"/>
    <w:rsid w:val="003B0464"/>
    <w:rsid w:val="003B1271"/>
    <w:rsid w:val="003B4B94"/>
    <w:rsid w:val="003C2653"/>
    <w:rsid w:val="003C5009"/>
    <w:rsid w:val="003D280C"/>
    <w:rsid w:val="003D37B6"/>
    <w:rsid w:val="003E2A21"/>
    <w:rsid w:val="003E51E9"/>
    <w:rsid w:val="003F0270"/>
    <w:rsid w:val="003F0F7F"/>
    <w:rsid w:val="00401F1E"/>
    <w:rsid w:val="00401F43"/>
    <w:rsid w:val="004027E8"/>
    <w:rsid w:val="0040468B"/>
    <w:rsid w:val="00413E26"/>
    <w:rsid w:val="00416B87"/>
    <w:rsid w:val="004218C5"/>
    <w:rsid w:val="004218FC"/>
    <w:rsid w:val="00422E13"/>
    <w:rsid w:val="004254EF"/>
    <w:rsid w:val="004338C7"/>
    <w:rsid w:val="00434E11"/>
    <w:rsid w:val="00435E3B"/>
    <w:rsid w:val="004408EC"/>
    <w:rsid w:val="00442686"/>
    <w:rsid w:val="004432E4"/>
    <w:rsid w:val="004454FE"/>
    <w:rsid w:val="00445A40"/>
    <w:rsid w:val="0045062F"/>
    <w:rsid w:val="004573E8"/>
    <w:rsid w:val="004613DF"/>
    <w:rsid w:val="004619C4"/>
    <w:rsid w:val="00465FC4"/>
    <w:rsid w:val="004726A6"/>
    <w:rsid w:val="00472FB2"/>
    <w:rsid w:val="00480AE3"/>
    <w:rsid w:val="00486BDD"/>
    <w:rsid w:val="00487B1F"/>
    <w:rsid w:val="00494A27"/>
    <w:rsid w:val="0049552E"/>
    <w:rsid w:val="00495B37"/>
    <w:rsid w:val="004B3121"/>
    <w:rsid w:val="004B45A8"/>
    <w:rsid w:val="004C2346"/>
    <w:rsid w:val="004C4F88"/>
    <w:rsid w:val="004D3A33"/>
    <w:rsid w:val="004E1F07"/>
    <w:rsid w:val="004E2504"/>
    <w:rsid w:val="004F7193"/>
    <w:rsid w:val="005002CD"/>
    <w:rsid w:val="005002CE"/>
    <w:rsid w:val="005017FA"/>
    <w:rsid w:val="00513520"/>
    <w:rsid w:val="00522819"/>
    <w:rsid w:val="0052389F"/>
    <w:rsid w:val="005248C0"/>
    <w:rsid w:val="005302E6"/>
    <w:rsid w:val="00532919"/>
    <w:rsid w:val="005406BD"/>
    <w:rsid w:val="00542A90"/>
    <w:rsid w:val="005507CC"/>
    <w:rsid w:val="005521F7"/>
    <w:rsid w:val="005602B8"/>
    <w:rsid w:val="005673A0"/>
    <w:rsid w:val="00572652"/>
    <w:rsid w:val="00586CEE"/>
    <w:rsid w:val="00587220"/>
    <w:rsid w:val="00591889"/>
    <w:rsid w:val="00593E62"/>
    <w:rsid w:val="00594CFD"/>
    <w:rsid w:val="00594DEE"/>
    <w:rsid w:val="00594E5D"/>
    <w:rsid w:val="00594FD0"/>
    <w:rsid w:val="005A3AC6"/>
    <w:rsid w:val="005A73D9"/>
    <w:rsid w:val="005B25CE"/>
    <w:rsid w:val="005B27E0"/>
    <w:rsid w:val="005B30C5"/>
    <w:rsid w:val="005B6F2F"/>
    <w:rsid w:val="005C1931"/>
    <w:rsid w:val="005C235D"/>
    <w:rsid w:val="005C3556"/>
    <w:rsid w:val="005C56D7"/>
    <w:rsid w:val="005C771A"/>
    <w:rsid w:val="005E4EC8"/>
    <w:rsid w:val="005F205F"/>
    <w:rsid w:val="00602143"/>
    <w:rsid w:val="0061283F"/>
    <w:rsid w:val="00613513"/>
    <w:rsid w:val="00625D5A"/>
    <w:rsid w:val="00634FFF"/>
    <w:rsid w:val="00637D33"/>
    <w:rsid w:val="00640FD2"/>
    <w:rsid w:val="00641665"/>
    <w:rsid w:val="006431EC"/>
    <w:rsid w:val="00653246"/>
    <w:rsid w:val="006556A3"/>
    <w:rsid w:val="00656BAE"/>
    <w:rsid w:val="0066232C"/>
    <w:rsid w:val="00666FBB"/>
    <w:rsid w:val="006753AD"/>
    <w:rsid w:val="0067563B"/>
    <w:rsid w:val="00677AD1"/>
    <w:rsid w:val="0068008F"/>
    <w:rsid w:val="00683043"/>
    <w:rsid w:val="006866FE"/>
    <w:rsid w:val="006974B6"/>
    <w:rsid w:val="006B090B"/>
    <w:rsid w:val="006B5B9D"/>
    <w:rsid w:val="006C5B59"/>
    <w:rsid w:val="006C6DBF"/>
    <w:rsid w:val="006D1B85"/>
    <w:rsid w:val="006D31EC"/>
    <w:rsid w:val="006D41F2"/>
    <w:rsid w:val="006D6A1E"/>
    <w:rsid w:val="006F0B7E"/>
    <w:rsid w:val="006F3C19"/>
    <w:rsid w:val="006F4666"/>
    <w:rsid w:val="00700919"/>
    <w:rsid w:val="00705CA7"/>
    <w:rsid w:val="00705F7F"/>
    <w:rsid w:val="007101FD"/>
    <w:rsid w:val="00712E26"/>
    <w:rsid w:val="00714169"/>
    <w:rsid w:val="007268C5"/>
    <w:rsid w:val="00735902"/>
    <w:rsid w:val="0074231D"/>
    <w:rsid w:val="00750163"/>
    <w:rsid w:val="007510BC"/>
    <w:rsid w:val="007555CF"/>
    <w:rsid w:val="0077266B"/>
    <w:rsid w:val="0077329F"/>
    <w:rsid w:val="0077422A"/>
    <w:rsid w:val="00774502"/>
    <w:rsid w:val="00782463"/>
    <w:rsid w:val="00791C9B"/>
    <w:rsid w:val="0079543E"/>
    <w:rsid w:val="007966BF"/>
    <w:rsid w:val="007A47C0"/>
    <w:rsid w:val="007B3C1D"/>
    <w:rsid w:val="007B4D2B"/>
    <w:rsid w:val="007B5735"/>
    <w:rsid w:val="007C15C0"/>
    <w:rsid w:val="007C5B7B"/>
    <w:rsid w:val="007C5CE4"/>
    <w:rsid w:val="007D4EB9"/>
    <w:rsid w:val="007D54E2"/>
    <w:rsid w:val="007E15CB"/>
    <w:rsid w:val="007F6AB1"/>
    <w:rsid w:val="007F7B93"/>
    <w:rsid w:val="0080600E"/>
    <w:rsid w:val="00807421"/>
    <w:rsid w:val="00807A08"/>
    <w:rsid w:val="0083172A"/>
    <w:rsid w:val="008319BC"/>
    <w:rsid w:val="00833E60"/>
    <w:rsid w:val="00836E8F"/>
    <w:rsid w:val="00845725"/>
    <w:rsid w:val="008474CD"/>
    <w:rsid w:val="00847CD1"/>
    <w:rsid w:val="00852027"/>
    <w:rsid w:val="00860862"/>
    <w:rsid w:val="00861472"/>
    <w:rsid w:val="00861D52"/>
    <w:rsid w:val="00862051"/>
    <w:rsid w:val="00865915"/>
    <w:rsid w:val="00870A14"/>
    <w:rsid w:val="0088255F"/>
    <w:rsid w:val="00883350"/>
    <w:rsid w:val="00885AB4"/>
    <w:rsid w:val="00885F46"/>
    <w:rsid w:val="008949F0"/>
    <w:rsid w:val="008A1679"/>
    <w:rsid w:val="008B1218"/>
    <w:rsid w:val="008B213A"/>
    <w:rsid w:val="008B5789"/>
    <w:rsid w:val="008C7C1F"/>
    <w:rsid w:val="008D2052"/>
    <w:rsid w:val="008D62FF"/>
    <w:rsid w:val="008D7D66"/>
    <w:rsid w:val="008E4A87"/>
    <w:rsid w:val="008E7783"/>
    <w:rsid w:val="008F2343"/>
    <w:rsid w:val="008F4533"/>
    <w:rsid w:val="008F7470"/>
    <w:rsid w:val="00901F8F"/>
    <w:rsid w:val="0090283A"/>
    <w:rsid w:val="00905AA3"/>
    <w:rsid w:val="00905F4D"/>
    <w:rsid w:val="00911E28"/>
    <w:rsid w:val="00912681"/>
    <w:rsid w:val="00923F25"/>
    <w:rsid w:val="00930902"/>
    <w:rsid w:val="00937A66"/>
    <w:rsid w:val="00940916"/>
    <w:rsid w:val="009426DD"/>
    <w:rsid w:val="00942849"/>
    <w:rsid w:val="00945A6D"/>
    <w:rsid w:val="00945AD4"/>
    <w:rsid w:val="009540E1"/>
    <w:rsid w:val="00956B66"/>
    <w:rsid w:val="00960ACF"/>
    <w:rsid w:val="00961050"/>
    <w:rsid w:val="009617A8"/>
    <w:rsid w:val="00965510"/>
    <w:rsid w:val="00967327"/>
    <w:rsid w:val="00970DD2"/>
    <w:rsid w:val="00971249"/>
    <w:rsid w:val="00981CDF"/>
    <w:rsid w:val="0098221E"/>
    <w:rsid w:val="0098441C"/>
    <w:rsid w:val="009954B7"/>
    <w:rsid w:val="0099568D"/>
    <w:rsid w:val="009A2110"/>
    <w:rsid w:val="009B12CF"/>
    <w:rsid w:val="009C6BB3"/>
    <w:rsid w:val="009C7450"/>
    <w:rsid w:val="009C7DD5"/>
    <w:rsid w:val="009D2E02"/>
    <w:rsid w:val="009D4D21"/>
    <w:rsid w:val="009D75DF"/>
    <w:rsid w:val="009E523A"/>
    <w:rsid w:val="009E7429"/>
    <w:rsid w:val="009F1345"/>
    <w:rsid w:val="00A01B4F"/>
    <w:rsid w:val="00A06D5B"/>
    <w:rsid w:val="00A10D13"/>
    <w:rsid w:val="00A11605"/>
    <w:rsid w:val="00A12627"/>
    <w:rsid w:val="00A26C0A"/>
    <w:rsid w:val="00A42FDA"/>
    <w:rsid w:val="00A454D5"/>
    <w:rsid w:val="00A46DE8"/>
    <w:rsid w:val="00A50883"/>
    <w:rsid w:val="00A50C72"/>
    <w:rsid w:val="00A5207A"/>
    <w:rsid w:val="00A5374A"/>
    <w:rsid w:val="00A751AA"/>
    <w:rsid w:val="00A8173D"/>
    <w:rsid w:val="00A853B9"/>
    <w:rsid w:val="00A90868"/>
    <w:rsid w:val="00A9328A"/>
    <w:rsid w:val="00A935FB"/>
    <w:rsid w:val="00A96878"/>
    <w:rsid w:val="00AA1D34"/>
    <w:rsid w:val="00AA36E1"/>
    <w:rsid w:val="00AA49A4"/>
    <w:rsid w:val="00AA5EEC"/>
    <w:rsid w:val="00AA6653"/>
    <w:rsid w:val="00AB4140"/>
    <w:rsid w:val="00AB70F3"/>
    <w:rsid w:val="00AC0A57"/>
    <w:rsid w:val="00AE6868"/>
    <w:rsid w:val="00AE7486"/>
    <w:rsid w:val="00AF39E8"/>
    <w:rsid w:val="00B01515"/>
    <w:rsid w:val="00B01C93"/>
    <w:rsid w:val="00B10E79"/>
    <w:rsid w:val="00B214D5"/>
    <w:rsid w:val="00B2241A"/>
    <w:rsid w:val="00B26A36"/>
    <w:rsid w:val="00B26AFC"/>
    <w:rsid w:val="00B36886"/>
    <w:rsid w:val="00B36E6F"/>
    <w:rsid w:val="00B45C0D"/>
    <w:rsid w:val="00B4760B"/>
    <w:rsid w:val="00B51703"/>
    <w:rsid w:val="00B54007"/>
    <w:rsid w:val="00B60FD1"/>
    <w:rsid w:val="00B61D88"/>
    <w:rsid w:val="00B6457D"/>
    <w:rsid w:val="00B771E0"/>
    <w:rsid w:val="00B817AA"/>
    <w:rsid w:val="00B84912"/>
    <w:rsid w:val="00B92FDB"/>
    <w:rsid w:val="00B942BC"/>
    <w:rsid w:val="00B96584"/>
    <w:rsid w:val="00B967B9"/>
    <w:rsid w:val="00BA41D6"/>
    <w:rsid w:val="00BA4233"/>
    <w:rsid w:val="00BA5423"/>
    <w:rsid w:val="00BA6151"/>
    <w:rsid w:val="00BA68D0"/>
    <w:rsid w:val="00BA7798"/>
    <w:rsid w:val="00BA7929"/>
    <w:rsid w:val="00BB2DE1"/>
    <w:rsid w:val="00BB3C33"/>
    <w:rsid w:val="00BC7B47"/>
    <w:rsid w:val="00BD28F5"/>
    <w:rsid w:val="00BD616E"/>
    <w:rsid w:val="00BE26CB"/>
    <w:rsid w:val="00BE2DD4"/>
    <w:rsid w:val="00BE38B1"/>
    <w:rsid w:val="00BE7BBA"/>
    <w:rsid w:val="00BF236B"/>
    <w:rsid w:val="00BF2821"/>
    <w:rsid w:val="00BF28C1"/>
    <w:rsid w:val="00BF3FA6"/>
    <w:rsid w:val="00C00C2B"/>
    <w:rsid w:val="00C02522"/>
    <w:rsid w:val="00C240EE"/>
    <w:rsid w:val="00C361C4"/>
    <w:rsid w:val="00C41233"/>
    <w:rsid w:val="00C42273"/>
    <w:rsid w:val="00C6776C"/>
    <w:rsid w:val="00C73C6E"/>
    <w:rsid w:val="00C8028E"/>
    <w:rsid w:val="00C81B54"/>
    <w:rsid w:val="00C90EBA"/>
    <w:rsid w:val="00C92B66"/>
    <w:rsid w:val="00C93272"/>
    <w:rsid w:val="00C949D7"/>
    <w:rsid w:val="00C96DBF"/>
    <w:rsid w:val="00CA44E5"/>
    <w:rsid w:val="00CB2E54"/>
    <w:rsid w:val="00CB3BB4"/>
    <w:rsid w:val="00CC452B"/>
    <w:rsid w:val="00CC5AB1"/>
    <w:rsid w:val="00CD1F88"/>
    <w:rsid w:val="00CD2D33"/>
    <w:rsid w:val="00CD6478"/>
    <w:rsid w:val="00CD6CE2"/>
    <w:rsid w:val="00CF75E8"/>
    <w:rsid w:val="00D0310D"/>
    <w:rsid w:val="00D11F29"/>
    <w:rsid w:val="00D14D9D"/>
    <w:rsid w:val="00D154EB"/>
    <w:rsid w:val="00D15F3A"/>
    <w:rsid w:val="00D30141"/>
    <w:rsid w:val="00D41933"/>
    <w:rsid w:val="00D452FD"/>
    <w:rsid w:val="00D52EBC"/>
    <w:rsid w:val="00D54457"/>
    <w:rsid w:val="00D544A1"/>
    <w:rsid w:val="00D54930"/>
    <w:rsid w:val="00D55577"/>
    <w:rsid w:val="00D5648D"/>
    <w:rsid w:val="00D7028B"/>
    <w:rsid w:val="00D72429"/>
    <w:rsid w:val="00D727C4"/>
    <w:rsid w:val="00D77EB9"/>
    <w:rsid w:val="00D8710B"/>
    <w:rsid w:val="00D872EA"/>
    <w:rsid w:val="00D879C0"/>
    <w:rsid w:val="00D922C1"/>
    <w:rsid w:val="00DA11D5"/>
    <w:rsid w:val="00DA3E37"/>
    <w:rsid w:val="00DA4FCA"/>
    <w:rsid w:val="00DB4331"/>
    <w:rsid w:val="00DB44E4"/>
    <w:rsid w:val="00DB7CDB"/>
    <w:rsid w:val="00DD2857"/>
    <w:rsid w:val="00DE5F35"/>
    <w:rsid w:val="00DF238F"/>
    <w:rsid w:val="00E0189D"/>
    <w:rsid w:val="00E117F3"/>
    <w:rsid w:val="00E1198C"/>
    <w:rsid w:val="00E11D10"/>
    <w:rsid w:val="00E17114"/>
    <w:rsid w:val="00E212BF"/>
    <w:rsid w:val="00E23347"/>
    <w:rsid w:val="00E26A16"/>
    <w:rsid w:val="00E27527"/>
    <w:rsid w:val="00E30E4E"/>
    <w:rsid w:val="00E33250"/>
    <w:rsid w:val="00E36661"/>
    <w:rsid w:val="00E367C3"/>
    <w:rsid w:val="00E373DC"/>
    <w:rsid w:val="00E42C1C"/>
    <w:rsid w:val="00E432F4"/>
    <w:rsid w:val="00E53BF2"/>
    <w:rsid w:val="00E57575"/>
    <w:rsid w:val="00E575F4"/>
    <w:rsid w:val="00E57901"/>
    <w:rsid w:val="00E609CB"/>
    <w:rsid w:val="00E638F8"/>
    <w:rsid w:val="00E679E4"/>
    <w:rsid w:val="00E74B90"/>
    <w:rsid w:val="00E83BAF"/>
    <w:rsid w:val="00E843A5"/>
    <w:rsid w:val="00E875DF"/>
    <w:rsid w:val="00E955A6"/>
    <w:rsid w:val="00E96042"/>
    <w:rsid w:val="00EA1481"/>
    <w:rsid w:val="00EA5878"/>
    <w:rsid w:val="00EB51E2"/>
    <w:rsid w:val="00EC4DF1"/>
    <w:rsid w:val="00EC774D"/>
    <w:rsid w:val="00ED0AFE"/>
    <w:rsid w:val="00ED47B3"/>
    <w:rsid w:val="00ED68C3"/>
    <w:rsid w:val="00EE542C"/>
    <w:rsid w:val="00EE69FD"/>
    <w:rsid w:val="00F01204"/>
    <w:rsid w:val="00F0501F"/>
    <w:rsid w:val="00F120F8"/>
    <w:rsid w:val="00F12140"/>
    <w:rsid w:val="00F13CF5"/>
    <w:rsid w:val="00F15CF3"/>
    <w:rsid w:val="00F4568B"/>
    <w:rsid w:val="00F5073D"/>
    <w:rsid w:val="00F53D90"/>
    <w:rsid w:val="00F5428A"/>
    <w:rsid w:val="00F62FE8"/>
    <w:rsid w:val="00F70157"/>
    <w:rsid w:val="00F7150B"/>
    <w:rsid w:val="00F80215"/>
    <w:rsid w:val="00F871D3"/>
    <w:rsid w:val="00F93849"/>
    <w:rsid w:val="00FA25D7"/>
    <w:rsid w:val="00FA59C4"/>
    <w:rsid w:val="00FB145B"/>
    <w:rsid w:val="00FB4C9D"/>
    <w:rsid w:val="00FB6DB7"/>
    <w:rsid w:val="00FC39E4"/>
    <w:rsid w:val="00FD7881"/>
    <w:rsid w:val="00FE71FC"/>
    <w:rsid w:val="00FF31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4A41"/>
    <w:rPr>
      <w:rFonts w:ascii="Calibri" w:eastAsiaTheme="minorHAnsi" w:hAnsi="Calibri" w:cs="Calibri"/>
      <w:sz w:val="22"/>
      <w:szCs w:val="22"/>
      <w:lang w:val="en-AU" w:eastAsia="en-AU"/>
    </w:rPr>
  </w:style>
  <w:style w:type="paragraph" w:styleId="Heading1">
    <w:name w:val="heading 1"/>
    <w:basedOn w:val="Normal"/>
    <w:next w:val="Normal"/>
    <w:link w:val="Heading1Char"/>
    <w:qFormat/>
    <w:rsid w:val="00945AD4"/>
    <w:pPr>
      <w:keepNext/>
      <w:spacing w:before="240" w:after="240"/>
      <w:outlineLvl w:val="0"/>
    </w:pPr>
    <w:rPr>
      <w:rFonts w:ascii="Arial" w:eastAsia="Times New Roman" w:hAnsi="Arial" w:cs="Times New Roman"/>
      <w:b/>
      <w:sz w:val="28"/>
      <w:szCs w:val="24"/>
      <w:lang w:eastAsia="en-US"/>
    </w:rPr>
  </w:style>
  <w:style w:type="paragraph" w:styleId="Heading2">
    <w:name w:val="heading 2"/>
    <w:basedOn w:val="Normal"/>
    <w:next w:val="Normal"/>
    <w:qFormat/>
    <w:rsid w:val="00945AD4"/>
    <w:pPr>
      <w:keepNext/>
      <w:spacing w:before="120" w:after="120"/>
      <w:outlineLvl w:val="1"/>
    </w:pPr>
    <w:rPr>
      <w:rFonts w:ascii="Arial" w:eastAsia="Times New Roman" w:hAnsi="Arial" w:cs="Times New Roman"/>
      <w:b/>
      <w:bCs/>
      <w:sz w:val="24"/>
      <w:szCs w:val="24"/>
      <w:lang w:eastAsia="en-US"/>
    </w:rPr>
  </w:style>
  <w:style w:type="paragraph" w:styleId="Heading3">
    <w:name w:val="heading 3"/>
    <w:basedOn w:val="Normal"/>
    <w:next w:val="Normal"/>
    <w:qFormat/>
    <w:rsid w:val="00066F49"/>
    <w:pPr>
      <w:keepNext/>
      <w:spacing w:after="120"/>
      <w:jc w:val="both"/>
      <w:outlineLvl w:val="2"/>
    </w:pPr>
    <w:rPr>
      <w:rFonts w:ascii="Arial" w:eastAsia="Times New Roman" w:hAnsi="Arial"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66F49"/>
    <w:pPr>
      <w:tabs>
        <w:tab w:val="center" w:pos="4320"/>
        <w:tab w:val="right" w:pos="8640"/>
      </w:tabs>
      <w:spacing w:after="120"/>
    </w:pPr>
    <w:rPr>
      <w:rFonts w:ascii="Arial" w:eastAsia="Times New Roman" w:hAnsi="Arial" w:cs="Times New Roman"/>
      <w:szCs w:val="24"/>
      <w:lang w:eastAsia="en-US"/>
    </w:rPr>
  </w:style>
  <w:style w:type="paragraph" w:styleId="Footer">
    <w:name w:val="footer"/>
    <w:basedOn w:val="Normal"/>
    <w:rsid w:val="00066F49"/>
    <w:pPr>
      <w:tabs>
        <w:tab w:val="center" w:pos="4320"/>
        <w:tab w:val="right" w:pos="8640"/>
      </w:tabs>
      <w:spacing w:after="120"/>
    </w:pPr>
    <w:rPr>
      <w:rFonts w:ascii="Arial" w:eastAsia="Times New Roman" w:hAnsi="Arial" w:cs="Times New Roman"/>
      <w:szCs w:val="24"/>
      <w:lang w:eastAsia="en-US"/>
    </w:rPr>
  </w:style>
  <w:style w:type="character" w:styleId="PageNumber">
    <w:name w:val="page number"/>
    <w:basedOn w:val="DefaultParagraphFont"/>
    <w:rsid w:val="00066F49"/>
  </w:style>
  <w:style w:type="paragraph" w:styleId="BalloonText">
    <w:name w:val="Balloon Text"/>
    <w:basedOn w:val="Normal"/>
    <w:semiHidden/>
    <w:rsid w:val="00066F49"/>
    <w:pPr>
      <w:spacing w:after="120"/>
    </w:pPr>
    <w:rPr>
      <w:rFonts w:ascii="Tahoma" w:eastAsia="Times New Roman" w:hAnsi="Tahoma" w:cs="Tahoma"/>
      <w:sz w:val="16"/>
      <w:szCs w:val="16"/>
      <w:lang w:eastAsia="en-US"/>
    </w:rPr>
  </w:style>
  <w:style w:type="paragraph" w:styleId="DocumentMap">
    <w:name w:val="Document Map"/>
    <w:basedOn w:val="Normal"/>
    <w:semiHidden/>
    <w:rsid w:val="00066F49"/>
    <w:pPr>
      <w:shd w:val="clear" w:color="auto" w:fill="000080"/>
    </w:pPr>
    <w:rPr>
      <w:rFonts w:ascii="Tahoma" w:hAnsi="Tahoma" w:cs="Tahoma"/>
    </w:rPr>
  </w:style>
  <w:style w:type="paragraph" w:styleId="Title">
    <w:name w:val="Title"/>
    <w:basedOn w:val="Normal"/>
    <w:link w:val="TitleChar"/>
    <w:qFormat/>
    <w:rsid w:val="000970CE"/>
    <w:pPr>
      <w:spacing w:after="120"/>
      <w:jc w:val="center"/>
    </w:pPr>
    <w:rPr>
      <w:rFonts w:ascii="Arial" w:eastAsia="Times New Roman" w:hAnsi="Arial" w:cs="Arial"/>
      <w:b/>
      <w:bCs/>
      <w:sz w:val="32"/>
      <w:szCs w:val="24"/>
      <w:lang w:val="en-US" w:eastAsia="en-US"/>
    </w:rPr>
  </w:style>
  <w:style w:type="paragraph" w:styleId="Subtitle">
    <w:name w:val="Subtitle"/>
    <w:basedOn w:val="Normal"/>
    <w:qFormat/>
    <w:rsid w:val="000970CE"/>
    <w:pPr>
      <w:spacing w:after="120" w:line="480" w:lineRule="auto"/>
    </w:pPr>
    <w:rPr>
      <w:rFonts w:ascii="Arial" w:eastAsia="Times New Roman" w:hAnsi="Arial" w:cs="Arial"/>
      <w:b/>
      <w:bCs/>
      <w:sz w:val="28"/>
      <w:szCs w:val="24"/>
      <w:lang w:val="en-US" w:eastAsia="en-US"/>
    </w:rPr>
  </w:style>
  <w:style w:type="paragraph" w:styleId="BodyText">
    <w:name w:val="Body Text"/>
    <w:aliases w:val="Reference list"/>
    <w:basedOn w:val="Normal"/>
    <w:next w:val="Normal"/>
    <w:link w:val="BodyTextChar"/>
    <w:rsid w:val="00007356"/>
    <w:pPr>
      <w:numPr>
        <w:numId w:val="5"/>
      </w:numPr>
      <w:spacing w:after="120"/>
    </w:pPr>
    <w:rPr>
      <w:rFonts w:ascii="Arial" w:eastAsia="Times New Roman" w:hAnsi="Arial" w:cs="Arial"/>
      <w:szCs w:val="24"/>
      <w:lang w:val="en-US" w:eastAsia="en-US"/>
    </w:rPr>
  </w:style>
  <w:style w:type="paragraph" w:styleId="BodyText2">
    <w:name w:val="Body Text 2"/>
    <w:basedOn w:val="Normal"/>
    <w:rsid w:val="00066F49"/>
    <w:pPr>
      <w:spacing w:after="120" w:line="480" w:lineRule="auto"/>
      <w:jc w:val="center"/>
    </w:pPr>
    <w:rPr>
      <w:rFonts w:ascii="Arial" w:eastAsia="Times New Roman" w:hAnsi="Arial" w:cs="Arial"/>
      <w:szCs w:val="24"/>
      <w:lang w:val="en-US" w:eastAsia="en-US"/>
    </w:rPr>
  </w:style>
  <w:style w:type="character" w:styleId="Hyperlink">
    <w:name w:val="Hyperlink"/>
    <w:basedOn w:val="DefaultParagraphFont"/>
    <w:uiPriority w:val="99"/>
    <w:rsid w:val="00066F49"/>
    <w:rPr>
      <w:color w:val="0000FF"/>
      <w:u w:val="single"/>
    </w:rPr>
  </w:style>
  <w:style w:type="character" w:styleId="HTMLTypewriter">
    <w:name w:val="HTML Typewriter"/>
    <w:basedOn w:val="DefaultParagraphFont"/>
    <w:rsid w:val="00066F49"/>
    <w:rPr>
      <w:rFonts w:ascii="Courier New" w:eastAsia="Times New Roman" w:hAnsi="Courier New" w:cs="Courier New"/>
      <w:sz w:val="20"/>
      <w:szCs w:val="20"/>
    </w:rPr>
  </w:style>
  <w:style w:type="character" w:styleId="FollowedHyperlink">
    <w:name w:val="FollowedHyperlink"/>
    <w:basedOn w:val="DefaultParagraphFont"/>
    <w:rsid w:val="00066F49"/>
    <w:rPr>
      <w:color w:val="800080"/>
      <w:u w:val="single"/>
    </w:rPr>
  </w:style>
  <w:style w:type="paragraph" w:styleId="BodyText3">
    <w:name w:val="Body Text 3"/>
    <w:basedOn w:val="Normal"/>
    <w:rsid w:val="00066F49"/>
    <w:pPr>
      <w:spacing w:after="120"/>
      <w:jc w:val="center"/>
    </w:pPr>
    <w:rPr>
      <w:rFonts w:ascii="Arial" w:eastAsia="Times New Roman" w:hAnsi="Arial" w:cs="Times New Roman"/>
      <w:b/>
      <w:sz w:val="28"/>
      <w:szCs w:val="28"/>
      <w:lang w:eastAsia="en-US"/>
    </w:rPr>
  </w:style>
  <w:style w:type="character" w:styleId="CommentReference">
    <w:name w:val="annotation reference"/>
    <w:basedOn w:val="DefaultParagraphFont"/>
    <w:semiHidden/>
    <w:rsid w:val="00066F49"/>
    <w:rPr>
      <w:sz w:val="16"/>
      <w:szCs w:val="16"/>
    </w:rPr>
  </w:style>
  <w:style w:type="paragraph" w:styleId="CommentText">
    <w:name w:val="annotation text"/>
    <w:basedOn w:val="Normal"/>
    <w:semiHidden/>
    <w:rsid w:val="00066F49"/>
    <w:rPr>
      <w:sz w:val="20"/>
      <w:szCs w:val="20"/>
    </w:rPr>
  </w:style>
  <w:style w:type="paragraph" w:styleId="CommentSubject">
    <w:name w:val="annotation subject"/>
    <w:basedOn w:val="CommentText"/>
    <w:next w:val="CommentText"/>
    <w:semiHidden/>
    <w:rsid w:val="00066F49"/>
    <w:rPr>
      <w:b/>
      <w:bCs/>
    </w:rPr>
  </w:style>
  <w:style w:type="table" w:styleId="TableGrid">
    <w:name w:val="Table Grid"/>
    <w:basedOn w:val="TableNormal"/>
    <w:uiPriority w:val="59"/>
    <w:rsid w:val="0010058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aliases w:val="Reference list Char"/>
    <w:basedOn w:val="DefaultParagraphFont"/>
    <w:link w:val="BodyText"/>
    <w:rsid w:val="00007356"/>
    <w:rPr>
      <w:rFonts w:ascii="Arial" w:hAnsi="Arial" w:cs="Arial"/>
      <w:sz w:val="22"/>
      <w:szCs w:val="24"/>
    </w:rPr>
  </w:style>
  <w:style w:type="paragraph" w:styleId="TOCHeading">
    <w:name w:val="TOC Heading"/>
    <w:basedOn w:val="Heading1"/>
    <w:next w:val="Normal"/>
    <w:uiPriority w:val="39"/>
    <w:semiHidden/>
    <w:unhideWhenUsed/>
    <w:qFormat/>
    <w:rsid w:val="00445A40"/>
    <w:pPr>
      <w:keepLines/>
      <w:spacing w:before="480" w:after="0" w:line="276" w:lineRule="auto"/>
      <w:outlineLvl w:val="9"/>
    </w:pPr>
    <w:rPr>
      <w:rFonts w:asciiTheme="majorHAnsi" w:eastAsiaTheme="majorEastAsia" w:hAnsiTheme="majorHAnsi" w:cstheme="majorBidi"/>
      <w:bCs/>
      <w:color w:val="365F91" w:themeColor="accent1" w:themeShade="BF"/>
      <w:szCs w:val="28"/>
      <w:lang w:val="en-US"/>
    </w:rPr>
  </w:style>
  <w:style w:type="paragraph" w:styleId="TOC1">
    <w:name w:val="toc 1"/>
    <w:basedOn w:val="Normal"/>
    <w:next w:val="Normal"/>
    <w:autoRedefine/>
    <w:uiPriority w:val="39"/>
    <w:rsid w:val="00445A40"/>
    <w:pPr>
      <w:spacing w:after="100"/>
    </w:pPr>
    <w:rPr>
      <w:rFonts w:ascii="Arial" w:eastAsia="Times New Roman" w:hAnsi="Arial" w:cs="Times New Roman"/>
      <w:szCs w:val="24"/>
      <w:lang w:eastAsia="en-US"/>
    </w:rPr>
  </w:style>
  <w:style w:type="paragraph" w:styleId="TOC2">
    <w:name w:val="toc 2"/>
    <w:basedOn w:val="Normal"/>
    <w:next w:val="Normal"/>
    <w:autoRedefine/>
    <w:uiPriority w:val="39"/>
    <w:rsid w:val="00445A40"/>
    <w:pPr>
      <w:spacing w:after="100"/>
      <w:ind w:left="220"/>
    </w:pPr>
    <w:rPr>
      <w:rFonts w:ascii="Arial" w:eastAsia="Times New Roman" w:hAnsi="Arial" w:cs="Times New Roman"/>
      <w:szCs w:val="24"/>
      <w:lang w:eastAsia="en-US"/>
    </w:rPr>
  </w:style>
  <w:style w:type="paragraph" w:styleId="Caption">
    <w:name w:val="caption"/>
    <w:basedOn w:val="Normal"/>
    <w:next w:val="Normal"/>
    <w:unhideWhenUsed/>
    <w:qFormat/>
    <w:rsid w:val="00BA41D6"/>
    <w:pPr>
      <w:spacing w:after="120"/>
    </w:pPr>
    <w:rPr>
      <w:rFonts w:ascii="Arial" w:eastAsia="Times New Roman" w:hAnsi="Arial" w:cs="Times New Roman"/>
      <w:b/>
      <w:bCs/>
      <w:szCs w:val="18"/>
      <w:lang w:eastAsia="en-US"/>
    </w:rPr>
  </w:style>
  <w:style w:type="paragraph" w:styleId="ListParagraph">
    <w:name w:val="List Paragraph"/>
    <w:basedOn w:val="Normal"/>
    <w:uiPriority w:val="34"/>
    <w:qFormat/>
    <w:rsid w:val="0077422A"/>
    <w:pPr>
      <w:spacing w:after="120"/>
      <w:ind w:left="720"/>
      <w:contextualSpacing/>
    </w:pPr>
    <w:rPr>
      <w:rFonts w:ascii="Arial" w:eastAsia="Times New Roman" w:hAnsi="Arial" w:cs="Times New Roman"/>
      <w:szCs w:val="24"/>
      <w:lang w:eastAsia="en-US"/>
    </w:rPr>
  </w:style>
  <w:style w:type="paragraph" w:styleId="TableofFigures">
    <w:name w:val="table of figures"/>
    <w:basedOn w:val="Normal"/>
    <w:next w:val="Normal"/>
    <w:uiPriority w:val="99"/>
    <w:rsid w:val="00090539"/>
    <w:pPr>
      <w:spacing w:after="120"/>
      <w:ind w:left="851" w:hanging="851"/>
    </w:pPr>
    <w:rPr>
      <w:rFonts w:ascii="Arial" w:eastAsia="Times New Roman" w:hAnsi="Arial" w:cstheme="minorHAnsi"/>
      <w:bCs/>
      <w:szCs w:val="20"/>
      <w:lang w:eastAsia="en-US"/>
    </w:rPr>
  </w:style>
  <w:style w:type="paragraph" w:styleId="FootnoteText">
    <w:name w:val="footnote text"/>
    <w:basedOn w:val="Normal"/>
    <w:link w:val="FootnoteTextChar"/>
    <w:rsid w:val="00201C45"/>
    <w:rPr>
      <w:rFonts w:ascii="Arial" w:eastAsia="Times New Roman" w:hAnsi="Arial" w:cs="Times New Roman"/>
      <w:sz w:val="20"/>
      <w:szCs w:val="20"/>
      <w:lang w:eastAsia="en-US"/>
    </w:rPr>
  </w:style>
  <w:style w:type="character" w:customStyle="1" w:styleId="FootnoteTextChar">
    <w:name w:val="Footnote Text Char"/>
    <w:basedOn w:val="DefaultParagraphFont"/>
    <w:link w:val="FootnoteText"/>
    <w:rsid w:val="00201C45"/>
    <w:rPr>
      <w:rFonts w:ascii="Arial" w:hAnsi="Arial"/>
      <w:lang w:val="en-AU"/>
    </w:rPr>
  </w:style>
  <w:style w:type="character" w:styleId="FootnoteReference">
    <w:name w:val="footnote reference"/>
    <w:basedOn w:val="DefaultParagraphFont"/>
    <w:rsid w:val="00201C45"/>
    <w:rPr>
      <w:vertAlign w:val="superscript"/>
    </w:rPr>
  </w:style>
  <w:style w:type="character" w:customStyle="1" w:styleId="Heading1Char">
    <w:name w:val="Heading 1 Char"/>
    <w:link w:val="Heading1"/>
    <w:rsid w:val="00F93849"/>
    <w:rPr>
      <w:rFonts w:ascii="Arial" w:hAnsi="Arial"/>
      <w:b/>
      <w:sz w:val="28"/>
      <w:szCs w:val="24"/>
      <w:lang w:val="en-AU"/>
    </w:rPr>
  </w:style>
  <w:style w:type="character" w:customStyle="1" w:styleId="TitleChar">
    <w:name w:val="Title Char"/>
    <w:basedOn w:val="DefaultParagraphFont"/>
    <w:link w:val="Title"/>
    <w:rsid w:val="00F93849"/>
    <w:rPr>
      <w:rFonts w:ascii="Arial" w:hAnsi="Arial" w:cs="Arial"/>
      <w:b/>
      <w:bCs/>
      <w:sz w:val="32"/>
      <w:szCs w:val="24"/>
    </w:rPr>
  </w:style>
  <w:style w:type="paragraph" w:customStyle="1" w:styleId="Default">
    <w:name w:val="Default"/>
    <w:rsid w:val="00F93849"/>
    <w:pPr>
      <w:autoSpaceDE w:val="0"/>
      <w:autoSpaceDN w:val="0"/>
      <w:adjustRightInd w:val="0"/>
    </w:pPr>
    <w:rPr>
      <w:rFonts w:ascii="Arial" w:hAnsi="Arial" w:cs="Arial"/>
      <w:color w:val="000000"/>
      <w:sz w:val="24"/>
      <w:szCs w:val="24"/>
      <w:lang w:val="en-AU" w:eastAsia="en-AU"/>
    </w:rPr>
  </w:style>
</w:styles>
</file>

<file path=word/webSettings.xml><?xml version="1.0" encoding="utf-8"?>
<w:webSettings xmlns:r="http://schemas.openxmlformats.org/officeDocument/2006/relationships" xmlns:w="http://schemas.openxmlformats.org/wordprocessingml/2006/main">
  <w:divs>
    <w:div w:id="59520871">
      <w:bodyDiv w:val="1"/>
      <w:marLeft w:val="0"/>
      <w:marRight w:val="0"/>
      <w:marTop w:val="0"/>
      <w:marBottom w:val="0"/>
      <w:divBdr>
        <w:top w:val="none" w:sz="0" w:space="0" w:color="auto"/>
        <w:left w:val="none" w:sz="0" w:space="0" w:color="auto"/>
        <w:bottom w:val="none" w:sz="0" w:space="0" w:color="auto"/>
        <w:right w:val="none" w:sz="0" w:space="0" w:color="auto"/>
      </w:divBdr>
    </w:div>
    <w:div w:id="1429542354">
      <w:bodyDiv w:val="1"/>
      <w:marLeft w:val="0"/>
      <w:marRight w:val="0"/>
      <w:marTop w:val="0"/>
      <w:marBottom w:val="0"/>
      <w:divBdr>
        <w:top w:val="none" w:sz="0" w:space="0" w:color="auto"/>
        <w:left w:val="none" w:sz="0" w:space="0" w:color="auto"/>
        <w:bottom w:val="none" w:sz="0" w:space="0" w:color="auto"/>
        <w:right w:val="none" w:sz="0" w:space="0" w:color="auto"/>
      </w:divBdr>
    </w:div>
    <w:div w:id="170363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ncbi.nlm.nih.gov/entrez/query.fcgi?db=pubmed&amp;cmd=Search&amp;term=%22Sajjachareonpong+P%22%5BAuthor%5D"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ncbi.nlm.nih.gov/entrez/query.fcgi?db=pubmed&amp;cmd=Search&amp;term=%22Saunders+H%22%5BAuthor%5D" TargetMode="Externa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ncbi.nlm.nih.gov/entrez/query.fcgi?db=pubmed&amp;cmd=Search&amp;term=%22Meyer+JD%22%5BAuthor%5D"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www.ncbi.nlm.nih.gov/entrez/query.fcgi?db=pubmed&amp;cmd=Search&amp;term=%22Adisesh+A%22%5BAuthor%5D" TargetMode="External"/><Relationship Id="rId20" Type="http://schemas.openxmlformats.org/officeDocument/2006/relationships/hyperlink" Target="http://www.ncbi.nlm.nih.gov/entrez/query.fcgi?db=pubmed&amp;cmd=Search&amp;term=%22Keegel+T%22%5BAuthor%5D"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www.abs.gov.au/ausstats/abs@.nsf/mf/1292.0"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www.abs.gov.au/ausstats/abs@.nsf/mf/1220.0" TargetMode="External"/><Relationship Id="rId28" Type="http://schemas.openxmlformats.org/officeDocument/2006/relationships/customXml" Target="../customXml/item2.xml"/><Relationship Id="rId10" Type="http://schemas.openxmlformats.org/officeDocument/2006/relationships/footer" Target="footer1.xml"/><Relationship Id="rId19" Type="http://schemas.openxmlformats.org/officeDocument/2006/relationships/hyperlink" Target="http://www.ncbi.nlm.nih.gov/entrez/query.fcgi?db=pubmed&amp;cmd=Search&amp;term=%22Cahill+J%22%5BAuthor%5D"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ncbi.nlm.nih.gov/entrez/query.fcgi?db=pubmed&amp;cmd=Search&amp;term=%22Nixon+R%22%5BAuthor%5D"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jburgess\Desktop\Rosemary%20Nixon_JB_revised\Jenny%20Cahill\Copy%202%20of%20jcahillextract%20with%20allergens%20June%2027.csv"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AU"/>
  <c:chart>
    <c:plotArea>
      <c:layout/>
      <c:barChart>
        <c:barDir val="bar"/>
        <c:grouping val="clustered"/>
        <c:ser>
          <c:idx val="0"/>
          <c:order val="0"/>
          <c:tx>
            <c:strRef>
              <c:f>'Copy 2 of jcahillextract with a'!$WV$22</c:f>
              <c:strCache>
                <c:ptCount val="1"/>
                <c:pt idx="0">
                  <c:v>Total responses</c:v>
                </c:pt>
              </c:strCache>
            </c:strRef>
          </c:tx>
          <c:cat>
            <c:strRef>
              <c:f>'Copy 2 of jcahillextract with a'!$WW$21:$XP$21</c:f>
              <c:strCache>
                <c:ptCount val="20"/>
                <c:pt idx="0">
                  <c:v>Ethyleneglycol dimethacrylate</c:v>
                </c:pt>
                <c:pt idx="1">
                  <c:v>Colophony</c:v>
                </c:pt>
                <c:pt idx="2">
                  <c:v>2-Hydroxyethyl methacrylate</c:v>
                </c:pt>
                <c:pt idx="3">
                  <c:v>Kathon CG</c:v>
                </c:pt>
                <c:pt idx="4">
                  <c:v>Basic Red 46</c:v>
                </c:pt>
                <c:pt idx="5">
                  <c:v>2-Nitro-4-phenylenediamine</c:v>
                </c:pt>
                <c:pt idx="6">
                  <c:v>Nickel sulfate</c:v>
                </c:pt>
                <c:pt idx="7">
                  <c:v>Coconut diethanolamide</c:v>
                </c:pt>
                <c:pt idx="8">
                  <c:v>Glyceryl monothioglycolate (GMTG)</c:v>
                </c:pt>
                <c:pt idx="9">
                  <c:v>Fragrance mix</c:v>
                </c:pt>
                <c:pt idx="10">
                  <c:v>2,5-Diaminotoluene sulfate</c:v>
                </c:pt>
                <c:pt idx="11">
                  <c:v>Formalin</c:v>
                </c:pt>
                <c:pt idx="12">
                  <c:v>Epoxy resin (araldite)</c:v>
                </c:pt>
                <c:pt idx="13">
                  <c:v>Tetramethylthiuram disulfide</c:v>
                </c:pt>
                <c:pt idx="14">
                  <c:v>4-Phenylenediamine base</c:v>
                </c:pt>
                <c:pt idx="15">
                  <c:v>Potassium dichromate</c:v>
                </c:pt>
                <c:pt idx="16">
                  <c:v>Tetramethylthiuram monosulfide</c:v>
                </c:pt>
                <c:pt idx="17">
                  <c:v>Thiuram mix</c:v>
                </c:pt>
                <c:pt idx="18">
                  <c:v>Ammonium persulfate</c:v>
                </c:pt>
                <c:pt idx="19">
                  <c:v>Tetraethylthiuram disulfide</c:v>
                </c:pt>
              </c:strCache>
            </c:strRef>
          </c:cat>
          <c:val>
            <c:numRef>
              <c:f>'Copy 2 of jcahillextract with a'!$WW$22:$XP$22</c:f>
              <c:numCache>
                <c:formatCode>General</c:formatCode>
                <c:ptCount val="20"/>
                <c:pt idx="0">
                  <c:v>26</c:v>
                </c:pt>
                <c:pt idx="1">
                  <c:v>82</c:v>
                </c:pt>
                <c:pt idx="2">
                  <c:v>27</c:v>
                </c:pt>
                <c:pt idx="3">
                  <c:v>57</c:v>
                </c:pt>
                <c:pt idx="4">
                  <c:v>29</c:v>
                </c:pt>
                <c:pt idx="5">
                  <c:v>31</c:v>
                </c:pt>
                <c:pt idx="6">
                  <c:v>231</c:v>
                </c:pt>
                <c:pt idx="7">
                  <c:v>40</c:v>
                </c:pt>
                <c:pt idx="8">
                  <c:v>31</c:v>
                </c:pt>
                <c:pt idx="9">
                  <c:v>104</c:v>
                </c:pt>
                <c:pt idx="10">
                  <c:v>36</c:v>
                </c:pt>
                <c:pt idx="11">
                  <c:v>69</c:v>
                </c:pt>
                <c:pt idx="12">
                  <c:v>51</c:v>
                </c:pt>
                <c:pt idx="13">
                  <c:v>65</c:v>
                </c:pt>
                <c:pt idx="14">
                  <c:v>63</c:v>
                </c:pt>
                <c:pt idx="15">
                  <c:v>82</c:v>
                </c:pt>
                <c:pt idx="16">
                  <c:v>83</c:v>
                </c:pt>
                <c:pt idx="17">
                  <c:v>99</c:v>
                </c:pt>
                <c:pt idx="18">
                  <c:v>91</c:v>
                </c:pt>
                <c:pt idx="19">
                  <c:v>121</c:v>
                </c:pt>
              </c:numCache>
            </c:numRef>
          </c:val>
        </c:ser>
        <c:ser>
          <c:idx val="1"/>
          <c:order val="1"/>
          <c:tx>
            <c:strRef>
              <c:f>'Copy 2 of jcahillextract with a'!$WV$23</c:f>
              <c:strCache>
                <c:ptCount val="1"/>
                <c:pt idx="0">
                  <c:v>Occupationally relevant responses</c:v>
                </c:pt>
              </c:strCache>
            </c:strRef>
          </c:tx>
          <c:cat>
            <c:strRef>
              <c:f>'Copy 2 of jcahillextract with a'!$WW$21:$XP$21</c:f>
              <c:strCache>
                <c:ptCount val="20"/>
                <c:pt idx="0">
                  <c:v>Ethyleneglycol dimethacrylate</c:v>
                </c:pt>
                <c:pt idx="1">
                  <c:v>Colophony</c:v>
                </c:pt>
                <c:pt idx="2">
                  <c:v>2-Hydroxyethyl methacrylate</c:v>
                </c:pt>
                <c:pt idx="3">
                  <c:v>Kathon CG</c:v>
                </c:pt>
                <c:pt idx="4">
                  <c:v>Basic Red 46</c:v>
                </c:pt>
                <c:pt idx="5">
                  <c:v>2-Nitro-4-phenylenediamine</c:v>
                </c:pt>
                <c:pt idx="6">
                  <c:v>Nickel sulfate</c:v>
                </c:pt>
                <c:pt idx="7">
                  <c:v>Coconut diethanolamide</c:v>
                </c:pt>
                <c:pt idx="8">
                  <c:v>Glyceryl monothioglycolate (GMTG)</c:v>
                </c:pt>
                <c:pt idx="9">
                  <c:v>Fragrance mix</c:v>
                </c:pt>
                <c:pt idx="10">
                  <c:v>2,5-Diaminotoluene sulfate</c:v>
                </c:pt>
                <c:pt idx="11">
                  <c:v>Formalin</c:v>
                </c:pt>
                <c:pt idx="12">
                  <c:v>Epoxy resin (araldite)</c:v>
                </c:pt>
                <c:pt idx="13">
                  <c:v>Tetramethylthiuram disulfide</c:v>
                </c:pt>
                <c:pt idx="14">
                  <c:v>4-Phenylenediamine base</c:v>
                </c:pt>
                <c:pt idx="15">
                  <c:v>Potassium dichromate</c:v>
                </c:pt>
                <c:pt idx="16">
                  <c:v>Tetramethylthiuram monosulfide</c:v>
                </c:pt>
                <c:pt idx="17">
                  <c:v>Thiuram mix</c:v>
                </c:pt>
                <c:pt idx="18">
                  <c:v>Ammonium persulfate</c:v>
                </c:pt>
                <c:pt idx="19">
                  <c:v>Tetraethylthiuram disulfide</c:v>
                </c:pt>
              </c:strCache>
            </c:strRef>
          </c:cat>
          <c:val>
            <c:numRef>
              <c:f>'Copy 2 of jcahillextract with a'!$WW$23:$XP$23</c:f>
              <c:numCache>
                <c:formatCode>General</c:formatCode>
                <c:ptCount val="20"/>
                <c:pt idx="0">
                  <c:v>22</c:v>
                </c:pt>
                <c:pt idx="1">
                  <c:v>22</c:v>
                </c:pt>
                <c:pt idx="2">
                  <c:v>23</c:v>
                </c:pt>
                <c:pt idx="3">
                  <c:v>25</c:v>
                </c:pt>
                <c:pt idx="4">
                  <c:v>25</c:v>
                </c:pt>
                <c:pt idx="5">
                  <c:v>26</c:v>
                </c:pt>
                <c:pt idx="6">
                  <c:v>27</c:v>
                </c:pt>
                <c:pt idx="7">
                  <c:v>29</c:v>
                </c:pt>
                <c:pt idx="8">
                  <c:v>30</c:v>
                </c:pt>
                <c:pt idx="9">
                  <c:v>30</c:v>
                </c:pt>
                <c:pt idx="10">
                  <c:v>31</c:v>
                </c:pt>
                <c:pt idx="11">
                  <c:v>33</c:v>
                </c:pt>
                <c:pt idx="12">
                  <c:v>43</c:v>
                </c:pt>
                <c:pt idx="13">
                  <c:v>46</c:v>
                </c:pt>
                <c:pt idx="14">
                  <c:v>49</c:v>
                </c:pt>
                <c:pt idx="15">
                  <c:v>52</c:v>
                </c:pt>
                <c:pt idx="16">
                  <c:v>56</c:v>
                </c:pt>
                <c:pt idx="17">
                  <c:v>66</c:v>
                </c:pt>
                <c:pt idx="18">
                  <c:v>76</c:v>
                </c:pt>
                <c:pt idx="19">
                  <c:v>90</c:v>
                </c:pt>
              </c:numCache>
            </c:numRef>
          </c:val>
        </c:ser>
        <c:axId val="234238720"/>
        <c:axId val="234241024"/>
      </c:barChart>
      <c:catAx>
        <c:axId val="234238720"/>
        <c:scaling>
          <c:orientation val="minMax"/>
        </c:scaling>
        <c:axPos val="l"/>
        <c:tickLblPos val="nextTo"/>
        <c:crossAx val="234241024"/>
        <c:crosses val="autoZero"/>
        <c:auto val="1"/>
        <c:lblAlgn val="ctr"/>
        <c:lblOffset val="100"/>
      </c:catAx>
      <c:valAx>
        <c:axId val="234241024"/>
        <c:scaling>
          <c:orientation val="minMax"/>
        </c:scaling>
        <c:axPos val="b"/>
        <c:majorGridlines>
          <c:spPr>
            <a:ln>
              <a:prstDash val="sysDot"/>
            </a:ln>
          </c:spPr>
        </c:majorGridlines>
        <c:title>
          <c:tx>
            <c:rich>
              <a:bodyPr/>
              <a:lstStyle/>
              <a:p>
                <a:pPr>
                  <a:defRPr/>
                </a:pPr>
                <a:r>
                  <a:rPr lang="en-US" sz="1100"/>
                  <a:t>Frequency</a:t>
                </a:r>
                <a:r>
                  <a:rPr lang="en-US" sz="1100" baseline="0"/>
                  <a:t> of patch test responses</a:t>
                </a:r>
                <a:endParaRPr lang="en-US" sz="1100"/>
              </a:p>
            </c:rich>
          </c:tx>
        </c:title>
        <c:numFmt formatCode="#,##0" sourceLinked="0"/>
        <c:tickLblPos val="nextTo"/>
        <c:crossAx val="234238720"/>
        <c:crosses val="autoZero"/>
        <c:crossBetween val="between"/>
      </c:valAx>
      <c:spPr>
        <a:noFill/>
      </c:spPr>
    </c:plotArea>
    <c:legend>
      <c:legendPos val="b"/>
      <c:layout>
        <c:manualLayout>
          <c:xMode val="edge"/>
          <c:yMode val="edge"/>
          <c:x val="2.1023424941218168E-2"/>
          <c:y val="0.94192978914875669"/>
          <c:w val="0.53254701224764001"/>
          <c:h val="4.1427048939019613E-2"/>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SP.Publications.Document" ma:contentTypeID="0x010100A3147459CEFB4138ACF45C1B93E95121001AC9209C673FD1488F9C0FD06E69F9BE" ma:contentTypeVersion="2" ma:contentTypeDescription="" ma:contentTypeScope="" ma:versionID="fe9dee28fb54ce06478c702ac7ad6af8">
  <xsd:schema xmlns:xsd="http://www.w3.org/2001/XMLSchema" xmlns:xs="http://www.w3.org/2001/XMLSchema" xmlns:p="http://schemas.microsoft.com/office/2006/metadata/properties" xmlns:ns1="http://schemas.microsoft.com/sharepoint/v3/fields" targetNamespace="http://schemas.microsoft.com/office/2006/metadata/properties" ma:root="true" ma:fieldsID="fa9bcd44d86d477eeb58161562f8ff1c" ns1:_="">
    <xsd:import namespace="http://schemas.microsoft.com/sharepoint/v3/fields"/>
    <xsd:element name="properties">
      <xsd:complexType>
        <xsd:sequence>
          <xsd:element name="documentManagement">
            <xsd:complexType>
              <xsd:all>
                <xsd:element ref="ns1:ParentFolderID" minOccurs="0"/>
                <xsd:element ref="ns1:PublicationIdentifi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ParentFolderID" ma:index="0" nillable="true" ma:displayName="Parent Folder ID" ma:internalName="ParentFolderID">
      <xsd:simpleType>
        <xsd:restriction base="dms:Text"/>
      </xsd:simpleType>
    </xsd:element>
    <xsd:element name="PublicationIdentifier" ma:index="1" nillable="true" ma:displayName="Publication Identifier" ma:internalName="PublicationIdentifi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ublicationIdentifier xmlns="http://schemas.microsoft.com/sharepoint/v3/fields">978-0-642-33334-6</PublicationIdentifier>
    <ParentFolderID xmlns="http://schemas.microsoft.com/sharepoint/v3/fields">674</ParentFolderID>
  </documentManagement>
</p:properties>
</file>

<file path=customXml/itemProps1.xml><?xml version="1.0" encoding="utf-8"?>
<ds:datastoreItem xmlns:ds="http://schemas.openxmlformats.org/officeDocument/2006/customXml" ds:itemID="{29A69DC5-EBB4-42BC-A84D-01DE4B3A9326}"/>
</file>

<file path=customXml/itemProps2.xml><?xml version="1.0" encoding="utf-8"?>
<ds:datastoreItem xmlns:ds="http://schemas.openxmlformats.org/officeDocument/2006/customXml" ds:itemID="{0CCD81FD-CF12-45CF-981A-842CE325477E}"/>
</file>

<file path=customXml/itemProps3.xml><?xml version="1.0" encoding="utf-8"?>
<ds:datastoreItem xmlns:ds="http://schemas.openxmlformats.org/officeDocument/2006/customXml" ds:itemID="{E9534D74-CECC-42D0-8465-9D8137F3390B}"/>
</file>

<file path=docProps/app.xml><?xml version="1.0" encoding="utf-8"?>
<Properties xmlns="http://schemas.openxmlformats.org/officeDocument/2006/extended-properties" xmlns:vt="http://schemas.openxmlformats.org/officeDocument/2006/docPropsVTypes">
  <Template>Normal.dotm</Template>
  <TotalTime>1</TotalTime>
  <Pages>26</Pages>
  <Words>9031</Words>
  <Characters>53359</Characters>
  <Application>Microsoft Office Word</Application>
  <DocSecurity>4</DocSecurity>
  <Lines>1333</Lines>
  <Paragraphs>507</Paragraphs>
  <ScaleCrop>false</ScaleCrop>
  <HeadingPairs>
    <vt:vector size="2" baseType="variant">
      <vt:variant>
        <vt:lpstr>Title</vt:lpstr>
      </vt:variant>
      <vt:variant>
        <vt:i4>1</vt:i4>
      </vt:variant>
    </vt:vector>
  </HeadingPairs>
  <TitlesOfParts>
    <vt:vector size="1" baseType="lpstr">
      <vt:lpstr>The complexity of occupational contact dermatitis: an analysis of 11 years of patient data in a specialised occupational dermatology clinic</vt:lpstr>
    </vt:vector>
  </TitlesOfParts>
  <Company>Occupational Dermatology Research &amp; Education Centre</Company>
  <LinksUpToDate>false</LinksUpToDate>
  <CharactersWithSpaces>61883</CharactersWithSpaces>
  <SharedDoc>false</SharedDoc>
  <HLinks>
    <vt:vector size="54" baseType="variant">
      <vt:variant>
        <vt:i4>6684712</vt:i4>
      </vt:variant>
      <vt:variant>
        <vt:i4>24</vt:i4>
      </vt:variant>
      <vt:variant>
        <vt:i4>0</vt:i4>
      </vt:variant>
      <vt:variant>
        <vt:i4>5</vt:i4>
      </vt:variant>
      <vt:variant>
        <vt:lpwstr>http://www.abs.gov.au/</vt:lpwstr>
      </vt:variant>
      <vt:variant>
        <vt:lpwstr/>
      </vt:variant>
      <vt:variant>
        <vt:i4>6684712</vt:i4>
      </vt:variant>
      <vt:variant>
        <vt:i4>21</vt:i4>
      </vt:variant>
      <vt:variant>
        <vt:i4>0</vt:i4>
      </vt:variant>
      <vt:variant>
        <vt:i4>5</vt:i4>
      </vt:variant>
      <vt:variant>
        <vt:lpwstr>http://www.abs.gov.au/</vt:lpwstr>
      </vt:variant>
      <vt:variant>
        <vt:lpwstr/>
      </vt:variant>
      <vt:variant>
        <vt:i4>4784140</vt:i4>
      </vt:variant>
      <vt:variant>
        <vt:i4>18</vt:i4>
      </vt:variant>
      <vt:variant>
        <vt:i4>0</vt:i4>
      </vt:variant>
      <vt:variant>
        <vt:i4>5</vt:i4>
      </vt:variant>
      <vt:variant>
        <vt:lpwstr>http://www.ncbi.nlm.nih.gov/entrez/query.fcgi?db=pubmed&amp;cmd=Search&amp;term=%22Nixon+R%22%5BAuthor%5D</vt:lpwstr>
      </vt:variant>
      <vt:variant>
        <vt:lpwstr/>
      </vt:variant>
      <vt:variant>
        <vt:i4>5111810</vt:i4>
      </vt:variant>
      <vt:variant>
        <vt:i4>15</vt:i4>
      </vt:variant>
      <vt:variant>
        <vt:i4>0</vt:i4>
      </vt:variant>
      <vt:variant>
        <vt:i4>5</vt:i4>
      </vt:variant>
      <vt:variant>
        <vt:lpwstr>http://www.ncbi.nlm.nih.gov/entrez/query.fcgi?db=pubmed&amp;cmd=Search&amp;term=%22Saunders+H%22%5BAuthor%5D</vt:lpwstr>
      </vt:variant>
      <vt:variant>
        <vt:lpwstr/>
      </vt:variant>
      <vt:variant>
        <vt:i4>3473513</vt:i4>
      </vt:variant>
      <vt:variant>
        <vt:i4>12</vt:i4>
      </vt:variant>
      <vt:variant>
        <vt:i4>0</vt:i4>
      </vt:variant>
      <vt:variant>
        <vt:i4>5</vt:i4>
      </vt:variant>
      <vt:variant>
        <vt:lpwstr>http://www.ncbi.nlm.nih.gov/entrez/query.fcgi?db=pubmed&amp;cmd=Search&amp;term=%22Keegel+T%22%5BAuthor%5D</vt:lpwstr>
      </vt:variant>
      <vt:variant>
        <vt:lpwstr/>
      </vt:variant>
      <vt:variant>
        <vt:i4>3735677</vt:i4>
      </vt:variant>
      <vt:variant>
        <vt:i4>9</vt:i4>
      </vt:variant>
      <vt:variant>
        <vt:i4>0</vt:i4>
      </vt:variant>
      <vt:variant>
        <vt:i4>5</vt:i4>
      </vt:variant>
      <vt:variant>
        <vt:lpwstr>http://www.ncbi.nlm.nih.gov/entrez/query.fcgi?db=pubmed&amp;cmd=Search&amp;term=%22Cahill+J%22%5BAuthor%5D</vt:lpwstr>
      </vt:variant>
      <vt:variant>
        <vt:lpwstr/>
      </vt:variant>
      <vt:variant>
        <vt:i4>5046281</vt:i4>
      </vt:variant>
      <vt:variant>
        <vt:i4>6</vt:i4>
      </vt:variant>
      <vt:variant>
        <vt:i4>0</vt:i4>
      </vt:variant>
      <vt:variant>
        <vt:i4>5</vt:i4>
      </vt:variant>
      <vt:variant>
        <vt:lpwstr>http://www.ncbi.nlm.nih.gov/entrez/query.fcgi?db=pubmed&amp;cmd=Search&amp;term=%22Sajjachareonpong+P%22%5BAuthor%5D</vt:lpwstr>
      </vt:variant>
      <vt:variant>
        <vt:lpwstr/>
      </vt:variant>
      <vt:variant>
        <vt:i4>7929916</vt:i4>
      </vt:variant>
      <vt:variant>
        <vt:i4>3</vt:i4>
      </vt:variant>
      <vt:variant>
        <vt:i4>0</vt:i4>
      </vt:variant>
      <vt:variant>
        <vt:i4>5</vt:i4>
      </vt:variant>
      <vt:variant>
        <vt:lpwstr>http://www.ncbi.nlm.nih.gov/entrez/query.fcgi?db=pubmed&amp;cmd=Search&amp;term=%22Meyer+JD%22%5BAuthor%5D</vt:lpwstr>
      </vt:variant>
      <vt:variant>
        <vt:lpwstr/>
      </vt:variant>
      <vt:variant>
        <vt:i4>2556014</vt:i4>
      </vt:variant>
      <vt:variant>
        <vt:i4>0</vt:i4>
      </vt:variant>
      <vt:variant>
        <vt:i4>0</vt:i4>
      </vt:variant>
      <vt:variant>
        <vt:i4>5</vt:i4>
      </vt:variant>
      <vt:variant>
        <vt:lpwstr>http://www.ncbi.nlm.nih.gov/entrez/query.fcgi?db=pubmed&amp;cmd=Search&amp;term=%22Adisesh+A%22%5BAuthor%5D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Occupational Contact Dermatitis: A review of 18 years of data from an occupational dermatology clinic in Australia</dc:title>
  <dc:creator>jwilliams</dc:creator>
  <cp:lastModifiedBy>Ingrid Kimber</cp:lastModifiedBy>
  <cp:revision>2</cp:revision>
  <cp:lastPrinted>2011-12-01T04:07:00Z</cp:lastPrinted>
  <dcterms:created xsi:type="dcterms:W3CDTF">2012-03-13T23:40:00Z</dcterms:created>
  <dcterms:modified xsi:type="dcterms:W3CDTF">2012-03-13T23:40:00Z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0x010100A3147459CEFB4138ACF45C1B93E95121001AC9209C673FD1488F9C0FD06E69F9BE</vt:lpwstr>
  </property>
</Properties>
</file>