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43" w:rsidRPr="00356510" w:rsidRDefault="00125F8E" w:rsidP="00125F8E">
      <w:pPr>
        <w:pStyle w:val="Title"/>
      </w:pPr>
      <w:r w:rsidRPr="00356510">
        <w:t>National Hazard Exposure Worker Surveillance</w:t>
      </w:r>
    </w:p>
    <w:p w:rsidR="00125F8E" w:rsidRPr="00356510" w:rsidRDefault="00125F8E" w:rsidP="0043741D">
      <w:pPr>
        <w:jc w:val="center"/>
        <w:rPr>
          <w:sz w:val="40"/>
          <w:szCs w:val="40"/>
        </w:rPr>
      </w:pPr>
      <w:r w:rsidRPr="00356510">
        <w:rPr>
          <w:sz w:val="40"/>
          <w:szCs w:val="40"/>
        </w:rPr>
        <w:t>Chemical exposure and the provision of chemical exposure control measures in Australian workplaces</w:t>
      </w:r>
    </w:p>
    <w:p w:rsidR="00125F8E" w:rsidRPr="00356510" w:rsidRDefault="00125F8E" w:rsidP="00FA2943"/>
    <w:p w:rsidR="00125F8E" w:rsidRPr="00356510" w:rsidRDefault="00125F8E" w:rsidP="00FA2943"/>
    <w:p w:rsidR="00125F8E" w:rsidRPr="00356510" w:rsidRDefault="0043741D" w:rsidP="0043741D">
      <w:pPr>
        <w:jc w:val="center"/>
        <w:rPr>
          <w:sz w:val="32"/>
          <w:szCs w:val="32"/>
        </w:rPr>
      </w:pPr>
      <w:r w:rsidRPr="00356510">
        <w:rPr>
          <w:sz w:val="32"/>
          <w:szCs w:val="32"/>
        </w:rPr>
        <w:t>Dr Ewan MacFarlane, Kristen Benke, Dr Tessa Keegel</w:t>
      </w:r>
    </w:p>
    <w:p w:rsidR="0043741D" w:rsidRDefault="0043741D" w:rsidP="0043741D">
      <w:pPr>
        <w:jc w:val="center"/>
      </w:pPr>
      <w:r w:rsidRPr="00356510">
        <w:t>Monash Centre for Occupational and Environmental Health</w:t>
      </w:r>
    </w:p>
    <w:p w:rsidR="00B66B5A" w:rsidRDefault="00B66B5A" w:rsidP="0043741D">
      <w:pPr>
        <w:jc w:val="center"/>
      </w:pPr>
    </w:p>
    <w:p w:rsidR="00B66B5A" w:rsidRDefault="00B66B5A" w:rsidP="0043741D">
      <w:pPr>
        <w:jc w:val="center"/>
      </w:pPr>
    </w:p>
    <w:p w:rsidR="00B66B5A" w:rsidRPr="00356510" w:rsidRDefault="00B66B5A" w:rsidP="0043741D">
      <w:pPr>
        <w:jc w:val="center"/>
      </w:pPr>
      <w:r>
        <w:t>MARCH 2012</w:t>
      </w:r>
    </w:p>
    <w:p w:rsidR="00FA2943" w:rsidRPr="00356510" w:rsidRDefault="00FA2943" w:rsidP="00FA2943">
      <w:r w:rsidRPr="00356510">
        <w:t xml:space="preserve"> </w:t>
      </w:r>
      <w:r w:rsidRPr="00356510">
        <w:br w:type="page"/>
      </w:r>
    </w:p>
    <w:p w:rsidR="001B714E" w:rsidRDefault="001B714E" w:rsidP="001B714E">
      <w:bookmarkStart w:id="0" w:name="_Toc280100806"/>
      <w:bookmarkStart w:id="1" w:name="_Toc280100820"/>
      <w:r>
        <w:lastRenderedPageBreak/>
        <w:t>This report was commissioned by Safe Work Australia and was written by Dr Ewan MacFarlane, Kristen Benke and Dr Tessa Keegel, Monash Centre for Occupational and Environmental Health, Monash University</w:t>
      </w:r>
    </w:p>
    <w:p w:rsidR="001B714E" w:rsidRDefault="001B714E" w:rsidP="001B714E"/>
    <w:p w:rsidR="001B714E" w:rsidRDefault="001B714E" w:rsidP="001B714E"/>
    <w:p w:rsidR="00F543B4" w:rsidRPr="001B714E" w:rsidRDefault="00F543B4" w:rsidP="001B714E">
      <w:pPr>
        <w:pStyle w:val="Heading1"/>
      </w:pPr>
      <w:r w:rsidRPr="001B714E">
        <w:t>Disclaimer</w:t>
      </w:r>
    </w:p>
    <w:p w:rsidR="00F543B4" w:rsidRDefault="00F543B4" w:rsidP="00F543B4">
      <w:pPr>
        <w:rPr>
          <w:rStyle w:val="Heading1Char"/>
          <w:rFonts w:cs="Arial"/>
          <w:b w:val="0"/>
          <w:sz w:val="22"/>
          <w:szCs w:val="22"/>
        </w:rPr>
      </w:pPr>
      <w:r w:rsidRPr="007B3FAC">
        <w:rPr>
          <w:rStyle w:val="Heading1Char"/>
          <w:rFonts w:cs="Arial"/>
          <w:b w:val="0"/>
          <w:sz w:val="22"/>
          <w:szCs w:val="22"/>
        </w:rPr>
        <w:t>The information provided in this document can only assist you in the most general way. This document does not replace any statutory r</w:t>
      </w:r>
      <w:r>
        <w:rPr>
          <w:rStyle w:val="Heading1Char"/>
          <w:rFonts w:cs="Arial"/>
          <w:b w:val="0"/>
          <w:sz w:val="22"/>
          <w:szCs w:val="22"/>
        </w:rPr>
        <w:t>equirements under any relevant state and t</w:t>
      </w:r>
      <w:r w:rsidRPr="007B3FAC">
        <w:rPr>
          <w:rStyle w:val="Heading1Char"/>
          <w:rFonts w:cs="Arial"/>
          <w:b w:val="0"/>
          <w:sz w:val="22"/>
          <w:szCs w:val="22"/>
        </w:rPr>
        <w: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w:t>
      </w:r>
      <w:r>
        <w:rPr>
          <w:rStyle w:val="Heading1Char"/>
          <w:rFonts w:cs="Arial"/>
          <w:b w:val="0"/>
          <w:sz w:val="22"/>
          <w:szCs w:val="22"/>
        </w:rPr>
        <w:t>ess otherwise expressly stated.</w:t>
      </w:r>
    </w:p>
    <w:p w:rsidR="00F543B4" w:rsidRDefault="00F543B4" w:rsidP="00F543B4">
      <w:pPr>
        <w:rPr>
          <w:rStyle w:val="Heading1Char"/>
          <w:rFonts w:cs="Arial"/>
          <w:b w:val="0"/>
          <w:sz w:val="22"/>
          <w:szCs w:val="22"/>
        </w:rPr>
      </w:pPr>
    </w:p>
    <w:p w:rsidR="00F543B4" w:rsidRDefault="00F543B4" w:rsidP="00F543B4">
      <w:pPr>
        <w:pStyle w:val="Heading1"/>
      </w:pPr>
      <w:r w:rsidRPr="007B3FAC">
        <w:t>Creative Commons</w:t>
      </w:r>
    </w:p>
    <w:p w:rsidR="00F543B4" w:rsidRPr="007B3FAC" w:rsidRDefault="00F543B4" w:rsidP="00F543B4">
      <w:r>
        <w:rPr>
          <w:noProof/>
          <w:lang w:eastAsia="en-AU"/>
        </w:rPr>
        <w:drawing>
          <wp:inline distT="0" distB="0" distL="0" distR="0">
            <wp:extent cx="1527048" cy="534924"/>
            <wp:effectExtent l="19050" t="0" r="0" b="0"/>
            <wp:docPr id="1" name="Picture 0" descr="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8" cstate="print"/>
                    <a:stretch>
                      <a:fillRect/>
                    </a:stretch>
                  </pic:blipFill>
                  <pic:spPr>
                    <a:xfrm>
                      <a:off x="0" y="0"/>
                      <a:ext cx="1527048" cy="534924"/>
                    </a:xfrm>
                    <a:prstGeom prst="rect">
                      <a:avLst/>
                    </a:prstGeom>
                  </pic:spPr>
                </pic:pic>
              </a:graphicData>
            </a:graphic>
          </wp:inline>
        </w:drawing>
      </w:r>
    </w:p>
    <w:p w:rsidR="00F543B4" w:rsidRPr="007B3FAC" w:rsidRDefault="00F543B4" w:rsidP="00F543B4">
      <w:pPr>
        <w:pStyle w:val="Heading1"/>
        <w:rPr>
          <w:b w:val="0"/>
        </w:rPr>
      </w:pPr>
      <w:r w:rsidRPr="007B3FAC">
        <w:rPr>
          <w:b w:val="0"/>
          <w:sz w:val="22"/>
          <w:szCs w:val="22"/>
        </w:rPr>
        <w:t xml:space="preserve">With the exception of the Safe Work Australia logo, this report is licensed by Safe Work Australia under a Creative Commons 3.0 Australia Licence. To view a copy of this licence, visit </w:t>
      </w:r>
      <w:r w:rsidRPr="007B3FAC">
        <w:rPr>
          <w:b w:val="0"/>
          <w:color w:val="0000FF"/>
          <w:sz w:val="22"/>
          <w:szCs w:val="22"/>
        </w:rPr>
        <w:t xml:space="preserve">http://creativecommons.org/licenses/by/3.0/au/deed.en </w:t>
      </w:r>
    </w:p>
    <w:p w:rsidR="00F543B4" w:rsidRDefault="00F543B4" w:rsidP="00F543B4">
      <w:pPr>
        <w:pStyle w:val="Title"/>
        <w:jc w:val="left"/>
        <w:rPr>
          <w:sz w:val="22"/>
          <w:szCs w:val="22"/>
        </w:rPr>
      </w:pPr>
      <w:r>
        <w:rPr>
          <w:sz w:val="22"/>
          <w:szCs w:val="22"/>
        </w:rPr>
        <w:t>In essence, you are free to copy, communicate and adapt the work, as long as you attribute the work to Safe Work Australia and abide by the other licensing terms. The report should be attributed as the</w:t>
      </w:r>
      <w:r w:rsidRPr="007B3FAC">
        <w:rPr>
          <w:sz w:val="22"/>
          <w:szCs w:val="22"/>
        </w:rPr>
        <w:t xml:space="preserve"> National Hazard Exposure Worker Surveillance</w:t>
      </w:r>
      <w:r>
        <w:rPr>
          <w:sz w:val="22"/>
          <w:szCs w:val="22"/>
        </w:rPr>
        <w:t xml:space="preserve">: </w:t>
      </w:r>
      <w:r w:rsidRPr="007B3FAC">
        <w:rPr>
          <w:sz w:val="22"/>
          <w:szCs w:val="22"/>
        </w:rPr>
        <w:t>Chemical exposure and the provision of chemical exposure control measures in Australian workplaces</w:t>
      </w:r>
      <w:r>
        <w:rPr>
          <w:sz w:val="22"/>
          <w:szCs w:val="22"/>
        </w:rPr>
        <w:t>.</w:t>
      </w:r>
    </w:p>
    <w:p w:rsidR="00F543B4" w:rsidRDefault="00F543B4" w:rsidP="00F543B4">
      <w:pPr>
        <w:pStyle w:val="Default"/>
        <w:rPr>
          <w:sz w:val="22"/>
          <w:szCs w:val="22"/>
        </w:rPr>
      </w:pPr>
    </w:p>
    <w:p w:rsidR="00F543B4" w:rsidRDefault="00F543B4" w:rsidP="00F543B4">
      <w:pPr>
        <w:pStyle w:val="Default"/>
        <w:rPr>
          <w:sz w:val="22"/>
          <w:szCs w:val="22"/>
        </w:rPr>
      </w:pPr>
      <w:r>
        <w:rPr>
          <w:sz w:val="22"/>
          <w:szCs w:val="22"/>
        </w:rPr>
        <w:t xml:space="preserve">Enquiries regarding the licence and any use of the report are welcome at: </w:t>
      </w:r>
    </w:p>
    <w:p w:rsidR="00F543B4" w:rsidRDefault="00F543B4" w:rsidP="00F543B4">
      <w:pPr>
        <w:pStyle w:val="Default"/>
        <w:rPr>
          <w:sz w:val="22"/>
          <w:szCs w:val="22"/>
        </w:rPr>
      </w:pPr>
    </w:p>
    <w:p w:rsidR="00F543B4" w:rsidRDefault="00F543B4" w:rsidP="00F543B4">
      <w:pPr>
        <w:pStyle w:val="Default"/>
        <w:rPr>
          <w:sz w:val="22"/>
          <w:szCs w:val="22"/>
        </w:rPr>
      </w:pPr>
      <w:r>
        <w:rPr>
          <w:sz w:val="22"/>
          <w:szCs w:val="22"/>
        </w:rPr>
        <w:t xml:space="preserve">Copyright Officer </w:t>
      </w:r>
    </w:p>
    <w:p w:rsidR="00F543B4" w:rsidRDefault="00F543B4" w:rsidP="00F543B4">
      <w:pPr>
        <w:pStyle w:val="Default"/>
        <w:rPr>
          <w:sz w:val="22"/>
          <w:szCs w:val="22"/>
        </w:rPr>
      </w:pPr>
      <w:r>
        <w:rPr>
          <w:sz w:val="22"/>
          <w:szCs w:val="22"/>
        </w:rPr>
        <w:t xml:space="preserve">Communications, IT and Knowledge Management </w:t>
      </w:r>
    </w:p>
    <w:p w:rsidR="00F543B4" w:rsidRDefault="00F543B4" w:rsidP="00F543B4">
      <w:pPr>
        <w:pStyle w:val="Default"/>
        <w:rPr>
          <w:sz w:val="22"/>
          <w:szCs w:val="22"/>
        </w:rPr>
      </w:pPr>
      <w:r>
        <w:rPr>
          <w:sz w:val="22"/>
          <w:szCs w:val="22"/>
        </w:rPr>
        <w:t xml:space="preserve">Safe Work Australia </w:t>
      </w:r>
    </w:p>
    <w:p w:rsidR="00F543B4" w:rsidRDefault="00F543B4" w:rsidP="00F543B4">
      <w:pPr>
        <w:pStyle w:val="Default"/>
        <w:rPr>
          <w:sz w:val="22"/>
          <w:szCs w:val="22"/>
        </w:rPr>
      </w:pPr>
      <w:r>
        <w:rPr>
          <w:sz w:val="22"/>
          <w:szCs w:val="22"/>
        </w:rPr>
        <w:t xml:space="preserve">GPO Box 641 Canberra ACT 2601 </w:t>
      </w:r>
    </w:p>
    <w:p w:rsidR="00F543B4" w:rsidRDefault="00F543B4" w:rsidP="00F543B4">
      <w:pPr>
        <w:pStyle w:val="Default"/>
        <w:rPr>
          <w:sz w:val="22"/>
          <w:szCs w:val="22"/>
        </w:rPr>
      </w:pPr>
      <w:r>
        <w:rPr>
          <w:sz w:val="22"/>
          <w:szCs w:val="22"/>
        </w:rPr>
        <w:t xml:space="preserve">Email: </w:t>
      </w:r>
      <w:r>
        <w:rPr>
          <w:color w:val="0000FF"/>
          <w:sz w:val="22"/>
          <w:szCs w:val="22"/>
        </w:rPr>
        <w:t xml:space="preserve">copyrightrequests@safeworkaustralia.gov.au </w:t>
      </w:r>
    </w:p>
    <w:p w:rsidR="00F543B4" w:rsidRDefault="00F543B4" w:rsidP="00F543B4">
      <w:pPr>
        <w:pStyle w:val="Default"/>
        <w:rPr>
          <w:sz w:val="22"/>
          <w:szCs w:val="22"/>
        </w:rPr>
      </w:pPr>
    </w:p>
    <w:p w:rsidR="00F543B4" w:rsidRDefault="00F543B4" w:rsidP="00F543B4">
      <w:r>
        <w:t>ISBN 978-0-642-33337-7 [PDF]</w:t>
      </w:r>
    </w:p>
    <w:p w:rsidR="00F543B4" w:rsidRDefault="00F543B4" w:rsidP="00F543B4">
      <w:r>
        <w:t>ISBN 978-0-642-33338-4 [RTF]</w:t>
      </w:r>
    </w:p>
    <w:p w:rsidR="00F543B4" w:rsidRDefault="00F543B4">
      <w:pPr>
        <w:spacing w:after="0"/>
        <w:rPr>
          <w:rStyle w:val="Heading1Char"/>
          <w:rFonts w:cs="Arial"/>
          <w:szCs w:val="24"/>
        </w:rPr>
      </w:pPr>
      <w:r>
        <w:rPr>
          <w:rStyle w:val="Heading1Char"/>
          <w:rFonts w:cs="Arial"/>
          <w:szCs w:val="24"/>
        </w:rPr>
        <w:br w:type="page"/>
      </w:r>
    </w:p>
    <w:p w:rsidR="00FA2943" w:rsidRPr="00356510" w:rsidRDefault="00FA2943" w:rsidP="00FA2943">
      <w:pPr>
        <w:jc w:val="both"/>
        <w:rPr>
          <w:rStyle w:val="Heading1Char"/>
          <w:rFonts w:cs="Arial"/>
          <w:szCs w:val="24"/>
        </w:rPr>
      </w:pPr>
      <w:bookmarkStart w:id="2" w:name="_Toc309808237"/>
      <w:bookmarkStart w:id="3" w:name="_Toc312075690"/>
      <w:r w:rsidRPr="00356510">
        <w:rPr>
          <w:rStyle w:val="Heading1Char"/>
          <w:rFonts w:cs="Arial"/>
          <w:szCs w:val="24"/>
        </w:rPr>
        <w:lastRenderedPageBreak/>
        <w:t>Foreword</w:t>
      </w:r>
      <w:bookmarkEnd w:id="0"/>
      <w:bookmarkEnd w:id="2"/>
      <w:bookmarkEnd w:id="3"/>
    </w:p>
    <w:p w:rsidR="00FA2943" w:rsidRPr="00356510" w:rsidRDefault="00FA2943" w:rsidP="00FA2943">
      <w:pPr>
        <w:rPr>
          <w:rFonts w:cs="Arial"/>
          <w:szCs w:val="22"/>
          <w:lang w:bidi="en-US"/>
        </w:rPr>
      </w:pPr>
      <w:r w:rsidRPr="00356510">
        <w:rPr>
          <w:rFonts w:cs="Arial"/>
          <w:szCs w:val="22"/>
          <w:lang w:bidi="en-US"/>
        </w:rPr>
        <w:t xml:space="preserve">The Australian Safety and Compensation Council (ASCC) (now Safe Work Australia) requested the development of the National Hazard Exposure Worker Surveillance (NHEWS) survey to examine the nature and extent of Australian workers’ exposure to selected occupational </w:t>
      </w:r>
      <w:r w:rsidR="006D5B56" w:rsidRPr="00356510">
        <w:rPr>
          <w:rFonts w:cs="Arial"/>
          <w:szCs w:val="22"/>
          <w:lang w:bidi="en-US"/>
        </w:rPr>
        <w:t>disease-</w:t>
      </w:r>
      <w:r w:rsidRPr="00356510">
        <w:rPr>
          <w:rFonts w:cs="Arial"/>
          <w:szCs w:val="22"/>
          <w:lang w:bidi="en-US"/>
        </w:rPr>
        <w:t>causing hazards. The survey</w:t>
      </w:r>
      <w:r w:rsidR="0019240C" w:rsidRPr="00356510">
        <w:rPr>
          <w:rFonts w:cs="Arial"/>
          <w:szCs w:val="22"/>
          <w:lang w:bidi="en-US"/>
        </w:rPr>
        <w:t xml:space="preserve"> also</w:t>
      </w:r>
      <w:r w:rsidRPr="00356510">
        <w:rPr>
          <w:rFonts w:cs="Arial"/>
          <w:szCs w:val="22"/>
          <w:lang w:bidi="en-US"/>
        </w:rPr>
        <w:t xml:space="preserve"> collect</w:t>
      </w:r>
      <w:r w:rsidR="0019240C" w:rsidRPr="00356510">
        <w:rPr>
          <w:rFonts w:cs="Arial"/>
          <w:szCs w:val="22"/>
          <w:lang w:bidi="en-US"/>
        </w:rPr>
        <w:t>ed</w:t>
      </w:r>
      <w:r w:rsidRPr="00356510">
        <w:rPr>
          <w:rFonts w:cs="Arial"/>
          <w:szCs w:val="22"/>
          <w:lang w:bidi="en-US"/>
        </w:rPr>
        <w:t xml:space="preserve"> information from workers about the controls that were provided in workplaces to eliminate or reduce these hazards</w:t>
      </w:r>
      <w:r w:rsidR="0019240C" w:rsidRPr="00356510">
        <w:rPr>
          <w:rFonts w:cs="Arial"/>
          <w:szCs w:val="22"/>
          <w:lang w:bidi="en-US"/>
        </w:rPr>
        <w:t>.</w:t>
      </w:r>
      <w:r w:rsidRPr="00356510">
        <w:rPr>
          <w:rFonts w:cs="Arial"/>
          <w:szCs w:val="22"/>
          <w:lang w:bidi="en-US"/>
        </w:rPr>
        <w:t xml:space="preserve"> The results of the NHEWS survey will be used to identify where workplace exposures exist that may contribute to the onset of one or more of the eight priority occupational diseases identified by the National Occupational Health and Safety Commission (NOHSC) in 2004.</w:t>
      </w:r>
      <w:r w:rsidR="003755C9">
        <w:rPr>
          <w:rFonts w:cs="Arial"/>
          <w:szCs w:val="22"/>
          <w:lang w:bidi="en-US"/>
        </w:rPr>
        <w:t xml:space="preserve"> </w:t>
      </w:r>
      <w:r w:rsidRPr="00356510">
        <w:rPr>
          <w:rFonts w:cs="Arial"/>
          <w:szCs w:val="22"/>
          <w:lang w:bidi="en-US"/>
        </w:rPr>
        <w:t>These diseases are</w:t>
      </w:r>
      <w:r w:rsidR="00382059">
        <w:rPr>
          <w:rFonts w:cs="Arial"/>
          <w:szCs w:val="22"/>
          <w:lang w:bidi="en-US"/>
        </w:rPr>
        <w:t>:</w:t>
      </w:r>
      <w:r w:rsidRPr="00356510">
        <w:rPr>
          <w:rFonts w:cs="Arial"/>
          <w:szCs w:val="22"/>
          <w:lang w:bidi="en-US"/>
        </w:rPr>
        <w:t xml:space="preserve"> occupational cancer, respiratory diseases, noise-induced hearing loss, musculoskeletal disorders, mental disorders, cardiovascular disease, infectious and parasitic diseases and contact dermatitis.</w:t>
      </w:r>
    </w:p>
    <w:p w:rsidR="00FA2943" w:rsidRPr="00356510" w:rsidRDefault="00FA2943" w:rsidP="00FA2943">
      <w:pPr>
        <w:rPr>
          <w:rFonts w:cs="Arial"/>
          <w:szCs w:val="22"/>
          <w:lang w:bidi="en-US"/>
        </w:rPr>
      </w:pPr>
      <w:r w:rsidRPr="00356510">
        <w:rPr>
          <w:rFonts w:cs="Arial"/>
          <w:szCs w:val="22"/>
          <w:lang w:bidi="en-US"/>
        </w:rPr>
        <w:t xml:space="preserve">The NHEWS survey was developed by the ASCC in collaboration with Australian </w:t>
      </w:r>
      <w:r w:rsidR="00382059">
        <w:rPr>
          <w:rFonts w:cs="Arial"/>
          <w:szCs w:val="22"/>
          <w:lang w:bidi="en-US"/>
        </w:rPr>
        <w:t>work health and safety</w:t>
      </w:r>
      <w:r w:rsidRPr="00356510">
        <w:rPr>
          <w:rFonts w:cs="Arial"/>
          <w:szCs w:val="22"/>
          <w:lang w:bidi="en-US"/>
        </w:rPr>
        <w:t xml:space="preserve"> regulators and a panel of experts. These included Dr Tim Driscoll, Associate Professor Anthony LaMontagne, Associate Professor Wendy Macdonald, Dr Rosemary Nixon, Professor Malcolm Sim and Dr Warwick Williams. The NHEWS survey was the first national survey on exposure to workplace hazards in Australia.</w:t>
      </w:r>
    </w:p>
    <w:p w:rsidR="0019240C" w:rsidRPr="00356510" w:rsidRDefault="00FA2943" w:rsidP="00FA2943">
      <w:pPr>
        <w:rPr>
          <w:rFonts w:cs="Arial"/>
          <w:szCs w:val="22"/>
          <w:lang w:bidi="en-US"/>
        </w:rPr>
      </w:pPr>
      <w:r w:rsidRPr="00356510">
        <w:rPr>
          <w:rFonts w:cs="Arial"/>
          <w:szCs w:val="22"/>
          <w:lang w:bidi="en-US"/>
        </w:rPr>
        <w:t xml:space="preserve">In 2008, Sweeney Research was commissioned to conduct the NHEWS survey using computer assisted telephone interviews (CATI). The data, collected from 4500 workers, forms a national data set of occupational exposures across all Australian industries. The survey was conducted in two stages. The first stage (n=1900) focussed on the five national priority industries as determined by NOHSC in 2003 and 2005. These industries were selected to focus the work under the National </w:t>
      </w:r>
      <w:r w:rsidR="00382059">
        <w:rPr>
          <w:rFonts w:cs="Arial"/>
          <w:szCs w:val="22"/>
          <w:lang w:bidi="en-US"/>
        </w:rPr>
        <w:t xml:space="preserve">Occupational Health and Safety </w:t>
      </w:r>
      <w:r w:rsidRPr="00356510">
        <w:rPr>
          <w:rFonts w:cs="Arial"/>
          <w:szCs w:val="22"/>
          <w:lang w:bidi="en-US"/>
        </w:rPr>
        <w:t xml:space="preserve">Strategy 2002-2012 relating to reducing high incidence and high severity risks. The priority industries are </w:t>
      </w:r>
      <w:r w:rsidRPr="00356510">
        <w:rPr>
          <w:rFonts w:cs="Arial"/>
          <w:iCs/>
          <w:szCs w:val="22"/>
          <w:lang w:bidi="en-US"/>
        </w:rPr>
        <w:t>Manufacturing</w:t>
      </w:r>
      <w:r w:rsidRPr="00356510">
        <w:rPr>
          <w:rFonts w:cs="Arial"/>
          <w:szCs w:val="22"/>
          <w:lang w:bidi="en-US"/>
        </w:rPr>
        <w:t xml:space="preserve">; </w:t>
      </w:r>
      <w:r w:rsidRPr="00356510">
        <w:rPr>
          <w:rFonts w:cs="Arial"/>
          <w:iCs/>
          <w:szCs w:val="22"/>
          <w:lang w:bidi="en-US"/>
        </w:rPr>
        <w:t>Transport and storage</w:t>
      </w:r>
      <w:r w:rsidRPr="00356510">
        <w:rPr>
          <w:rFonts w:cs="Arial"/>
          <w:szCs w:val="22"/>
          <w:lang w:bidi="en-US"/>
        </w:rPr>
        <w:t xml:space="preserve">, </w:t>
      </w:r>
      <w:r w:rsidRPr="00356510">
        <w:rPr>
          <w:rFonts w:cs="Arial"/>
          <w:iCs/>
          <w:szCs w:val="22"/>
          <w:lang w:bidi="en-US"/>
        </w:rPr>
        <w:t>Construction</w:t>
      </w:r>
      <w:r w:rsidRPr="00356510">
        <w:rPr>
          <w:rFonts w:cs="Arial"/>
          <w:szCs w:val="22"/>
          <w:lang w:bidi="en-US"/>
        </w:rPr>
        <w:t xml:space="preserve">; </w:t>
      </w:r>
      <w:r w:rsidRPr="00356510">
        <w:rPr>
          <w:rFonts w:cs="Arial"/>
          <w:iCs/>
          <w:szCs w:val="22"/>
          <w:lang w:bidi="en-US"/>
        </w:rPr>
        <w:t xml:space="preserve">Health and community services </w:t>
      </w:r>
      <w:r w:rsidRPr="00356510">
        <w:rPr>
          <w:rFonts w:cs="Arial"/>
          <w:szCs w:val="22"/>
          <w:lang w:bidi="en-US"/>
        </w:rPr>
        <w:t xml:space="preserve">and </w:t>
      </w:r>
      <w:r w:rsidRPr="00356510">
        <w:rPr>
          <w:rFonts w:cs="Arial"/>
          <w:iCs/>
          <w:szCs w:val="22"/>
          <w:lang w:bidi="en-US"/>
        </w:rPr>
        <w:t>Agriculture, forestry and fishing</w:t>
      </w:r>
      <w:r w:rsidRPr="00356510">
        <w:rPr>
          <w:rFonts w:cs="Arial"/>
          <w:szCs w:val="22"/>
          <w:lang w:bidi="en-US"/>
        </w:rPr>
        <w:t>. The second stage (n = 2600) placed no restrictions on industry.</w:t>
      </w:r>
    </w:p>
    <w:p w:rsidR="00FA2943" w:rsidRPr="00356510" w:rsidRDefault="00FA2943" w:rsidP="00FA2943">
      <w:pPr>
        <w:rPr>
          <w:rFonts w:cs="Arial"/>
          <w:szCs w:val="22"/>
          <w:lang w:bidi="en-US"/>
        </w:rPr>
      </w:pPr>
      <w:r w:rsidRPr="00356510">
        <w:rPr>
          <w:rFonts w:cs="Arial"/>
          <w:szCs w:val="22"/>
          <w:lang w:bidi="en-US"/>
        </w:rPr>
        <w:t>An initial report on the results of the NHEWS survey can be found on the Safe Work Australia website. It contains a descriptive overview of the prevalence of exposure to the nine studied occupational hazards within industries and the provision of the various hazard control measures.</w:t>
      </w:r>
    </w:p>
    <w:p w:rsidR="00FA2943" w:rsidRPr="00356510" w:rsidRDefault="00FA2943" w:rsidP="00FA2943">
      <w:pPr>
        <w:rPr>
          <w:rFonts w:cs="Arial"/>
          <w:szCs w:val="22"/>
          <w:lang w:bidi="en-US"/>
        </w:rPr>
      </w:pPr>
      <w:r w:rsidRPr="00356510">
        <w:rPr>
          <w:rFonts w:cs="Arial"/>
          <w:szCs w:val="22"/>
          <w:lang w:bidi="en-US"/>
        </w:rPr>
        <w:t xml:space="preserve">This report focuses on </w:t>
      </w:r>
      <w:r w:rsidR="0019240C" w:rsidRPr="00356510">
        <w:rPr>
          <w:rFonts w:cs="Arial"/>
          <w:szCs w:val="22"/>
          <w:lang w:bidi="en-US"/>
        </w:rPr>
        <w:t>Australian workers</w:t>
      </w:r>
      <w:r w:rsidRPr="00356510">
        <w:rPr>
          <w:rFonts w:cs="Arial"/>
          <w:szCs w:val="22"/>
          <w:lang w:bidi="en-US"/>
        </w:rPr>
        <w:t xml:space="preserve">’ skin exposure to chemicals and the control measures that are provided in workplaces to mitigate </w:t>
      </w:r>
      <w:r w:rsidR="0019240C" w:rsidRPr="00356510">
        <w:rPr>
          <w:rFonts w:cs="Arial"/>
          <w:szCs w:val="22"/>
          <w:lang w:bidi="en-US"/>
        </w:rPr>
        <w:t>these exposures</w:t>
      </w:r>
      <w:r w:rsidRPr="00356510">
        <w:rPr>
          <w:rFonts w:cs="Arial"/>
          <w:szCs w:val="22"/>
          <w:lang w:bidi="en-US"/>
        </w:rPr>
        <w:t>.</w:t>
      </w:r>
    </w:p>
    <w:p w:rsidR="00FA2943" w:rsidRPr="00356510" w:rsidRDefault="00FA2943" w:rsidP="00FA2943">
      <w:pPr>
        <w:rPr>
          <w:rFonts w:cs="Arial"/>
          <w:szCs w:val="22"/>
        </w:rPr>
      </w:pPr>
      <w:r w:rsidRPr="00356510">
        <w:rPr>
          <w:rFonts w:cs="Arial"/>
          <w:szCs w:val="22"/>
        </w:rPr>
        <w:t>This report has three main objectives:</w:t>
      </w:r>
    </w:p>
    <w:p w:rsidR="00FA2943" w:rsidRPr="00356510" w:rsidRDefault="00FA2943" w:rsidP="00FA2943">
      <w:pPr>
        <w:numPr>
          <w:ilvl w:val="0"/>
          <w:numId w:val="16"/>
        </w:numPr>
        <w:rPr>
          <w:rFonts w:cs="Arial"/>
          <w:szCs w:val="22"/>
        </w:rPr>
      </w:pPr>
      <w:r w:rsidRPr="00356510">
        <w:rPr>
          <w:rFonts w:cs="Arial"/>
          <w:szCs w:val="22"/>
        </w:rPr>
        <w:t>to describe patterns of occupational exposure to chemicals, as reported by NHEWS participants, in terms of the demographic, employment and workplace characteristics</w:t>
      </w:r>
    </w:p>
    <w:p w:rsidR="00FA2943" w:rsidRPr="00356510" w:rsidRDefault="00FA2943" w:rsidP="00FA2943">
      <w:pPr>
        <w:numPr>
          <w:ilvl w:val="0"/>
          <w:numId w:val="16"/>
        </w:numPr>
        <w:rPr>
          <w:rFonts w:cs="Arial"/>
          <w:szCs w:val="22"/>
        </w:rPr>
      </w:pPr>
      <w:r w:rsidRPr="00356510">
        <w:rPr>
          <w:rFonts w:cs="Arial"/>
          <w:szCs w:val="22"/>
        </w:rPr>
        <w:t xml:space="preserve">to describe patterns of chemical control measures provided in workplaces with reference to demographic, employment and workplace characteristics, and  </w:t>
      </w:r>
    </w:p>
    <w:p w:rsidR="00FA2943" w:rsidRPr="00356510" w:rsidRDefault="00FA2943" w:rsidP="00FA2943">
      <w:pPr>
        <w:numPr>
          <w:ilvl w:val="0"/>
          <w:numId w:val="16"/>
        </w:numPr>
        <w:rPr>
          <w:rFonts w:cs="Arial"/>
          <w:szCs w:val="22"/>
        </w:rPr>
      </w:pPr>
      <w:r w:rsidRPr="00356510">
        <w:rPr>
          <w:rFonts w:cs="Arial"/>
          <w:szCs w:val="22"/>
        </w:rPr>
        <w:t xml:space="preserve">to provide researchers with directions for future research in this field. </w:t>
      </w:r>
    </w:p>
    <w:p w:rsidR="00FA2943" w:rsidRPr="00356510" w:rsidRDefault="00FA2943" w:rsidP="00FA2943">
      <w:pPr>
        <w:rPr>
          <w:rFonts w:cs="Arial"/>
          <w:szCs w:val="22"/>
        </w:rPr>
      </w:pPr>
      <w:r w:rsidRPr="00356510">
        <w:rPr>
          <w:rFonts w:cs="Arial"/>
          <w:szCs w:val="22"/>
        </w:rPr>
        <w:t xml:space="preserve">Information from these first two research objectives will inform </w:t>
      </w:r>
      <w:r w:rsidR="0009489B" w:rsidRPr="00356510">
        <w:rPr>
          <w:rFonts w:cs="Arial"/>
          <w:szCs w:val="22"/>
        </w:rPr>
        <w:t xml:space="preserve">the development of </w:t>
      </w:r>
      <w:r w:rsidRPr="00356510">
        <w:rPr>
          <w:rFonts w:cs="Arial"/>
          <w:szCs w:val="22"/>
        </w:rPr>
        <w:t>work health and safety policy and workplace intervention</w:t>
      </w:r>
      <w:r w:rsidR="0009489B" w:rsidRPr="00356510">
        <w:rPr>
          <w:rFonts w:cs="Arial"/>
          <w:szCs w:val="22"/>
        </w:rPr>
        <w:t>s</w:t>
      </w:r>
      <w:r w:rsidRPr="00356510">
        <w:rPr>
          <w:rFonts w:cs="Arial"/>
          <w:szCs w:val="22"/>
        </w:rPr>
        <w:t xml:space="preserve"> and it is hoped that </w:t>
      </w:r>
      <w:r w:rsidR="0009489B" w:rsidRPr="00356510">
        <w:rPr>
          <w:rFonts w:cs="Arial"/>
          <w:szCs w:val="22"/>
        </w:rPr>
        <w:t>this will contribute</w:t>
      </w:r>
      <w:r w:rsidRPr="00356510">
        <w:rPr>
          <w:rFonts w:cs="Arial"/>
          <w:szCs w:val="22"/>
        </w:rPr>
        <w:t xml:space="preserve"> to</w:t>
      </w:r>
      <w:r w:rsidR="0009489B" w:rsidRPr="00356510">
        <w:rPr>
          <w:rFonts w:cs="Arial"/>
          <w:szCs w:val="22"/>
        </w:rPr>
        <w:t xml:space="preserve"> the</w:t>
      </w:r>
      <w:r w:rsidRPr="00356510">
        <w:rPr>
          <w:rFonts w:cs="Arial"/>
          <w:szCs w:val="22"/>
        </w:rPr>
        <w:t xml:space="preserve"> reduction and better management of </w:t>
      </w:r>
      <w:r w:rsidR="0009489B" w:rsidRPr="00356510">
        <w:rPr>
          <w:rFonts w:cs="Arial"/>
          <w:szCs w:val="22"/>
        </w:rPr>
        <w:t>workplace exposure to chemicals.</w:t>
      </w:r>
    </w:p>
    <w:p w:rsidR="00FA2943" w:rsidRPr="00356510" w:rsidRDefault="00FA2943" w:rsidP="00FA2943">
      <w:pPr>
        <w:rPr>
          <w:rFonts w:cs="Arial"/>
          <w:szCs w:val="22"/>
        </w:rPr>
      </w:pPr>
      <w:r w:rsidRPr="00356510">
        <w:rPr>
          <w:rFonts w:cs="Arial"/>
          <w:szCs w:val="22"/>
        </w:rPr>
        <w:br w:type="page"/>
      </w:r>
      <w:bookmarkStart w:id="4" w:name="_Toc280100809"/>
    </w:p>
    <w:p w:rsidR="0009489B" w:rsidRPr="00356510" w:rsidRDefault="0009489B" w:rsidP="0009489B">
      <w:pPr>
        <w:spacing w:after="0"/>
      </w:pPr>
      <w:r w:rsidRPr="00356510">
        <w:lastRenderedPageBreak/>
        <w:br w:type="page"/>
      </w:r>
    </w:p>
    <w:p w:rsidR="00B74546" w:rsidRPr="00B74546" w:rsidRDefault="00B74546">
      <w:pPr>
        <w:pStyle w:val="TOC1"/>
        <w:tabs>
          <w:tab w:val="right" w:leader="dot" w:pos="8756"/>
        </w:tabs>
        <w:rPr>
          <w:b/>
          <w:sz w:val="32"/>
          <w:szCs w:val="32"/>
        </w:rPr>
      </w:pPr>
      <w:r>
        <w:rPr>
          <w:b/>
          <w:sz w:val="32"/>
          <w:szCs w:val="32"/>
        </w:rPr>
        <w:lastRenderedPageBreak/>
        <w:t>Contents</w:t>
      </w:r>
    </w:p>
    <w:p w:rsidR="00B74546" w:rsidRDefault="00AB2546">
      <w:pPr>
        <w:pStyle w:val="TOC1"/>
        <w:tabs>
          <w:tab w:val="right" w:leader="dot" w:pos="8756"/>
        </w:tabs>
        <w:rPr>
          <w:rFonts w:asciiTheme="minorHAnsi" w:eastAsiaTheme="minorEastAsia" w:hAnsiTheme="minorHAnsi" w:cstheme="minorBidi"/>
          <w:noProof/>
          <w:szCs w:val="22"/>
          <w:lang w:eastAsia="en-AU"/>
        </w:rPr>
      </w:pPr>
      <w:r>
        <w:fldChar w:fldCharType="begin"/>
      </w:r>
      <w:r w:rsidR="00B74546">
        <w:instrText xml:space="preserve"> TOC \o "1-3" \h \z \u </w:instrText>
      </w:r>
      <w:r>
        <w:fldChar w:fldCharType="separate"/>
      </w:r>
      <w:hyperlink w:anchor="_Toc312075690" w:history="1">
        <w:r w:rsidR="00B74546" w:rsidRPr="00EB6B0A">
          <w:rPr>
            <w:rStyle w:val="Hyperlink"/>
            <w:rFonts w:cs="Arial"/>
            <w:noProof/>
          </w:rPr>
          <w:t>Foreword</w:t>
        </w:r>
        <w:r w:rsidR="00B74546">
          <w:rPr>
            <w:noProof/>
            <w:webHidden/>
          </w:rPr>
          <w:tab/>
        </w:r>
        <w:r>
          <w:rPr>
            <w:noProof/>
            <w:webHidden/>
          </w:rPr>
          <w:fldChar w:fldCharType="begin"/>
        </w:r>
        <w:r w:rsidR="00B74546">
          <w:rPr>
            <w:noProof/>
            <w:webHidden/>
          </w:rPr>
          <w:instrText xml:space="preserve"> PAGEREF _Toc312075690 \h </w:instrText>
        </w:r>
        <w:r>
          <w:rPr>
            <w:noProof/>
            <w:webHidden/>
          </w:rPr>
        </w:r>
        <w:r>
          <w:rPr>
            <w:noProof/>
            <w:webHidden/>
          </w:rPr>
          <w:fldChar w:fldCharType="separate"/>
        </w:r>
        <w:r w:rsidR="00F543B4">
          <w:rPr>
            <w:noProof/>
            <w:webHidden/>
          </w:rPr>
          <w:t>iv</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691" w:history="1">
        <w:r w:rsidR="00B74546" w:rsidRPr="00EB6B0A">
          <w:rPr>
            <w:rStyle w:val="Hyperlink"/>
            <w:rFonts w:cs="Arial"/>
            <w:noProof/>
          </w:rPr>
          <w:t>Summary</w:t>
        </w:r>
        <w:r w:rsidR="00B74546">
          <w:rPr>
            <w:noProof/>
            <w:webHidden/>
          </w:rPr>
          <w:tab/>
        </w:r>
        <w:r>
          <w:rPr>
            <w:noProof/>
            <w:webHidden/>
          </w:rPr>
          <w:fldChar w:fldCharType="begin"/>
        </w:r>
        <w:r w:rsidR="00B74546">
          <w:rPr>
            <w:noProof/>
            <w:webHidden/>
          </w:rPr>
          <w:instrText xml:space="preserve"> PAGEREF _Toc312075691 \h </w:instrText>
        </w:r>
        <w:r>
          <w:rPr>
            <w:noProof/>
            <w:webHidden/>
          </w:rPr>
        </w:r>
        <w:r>
          <w:rPr>
            <w:noProof/>
            <w:webHidden/>
          </w:rPr>
          <w:fldChar w:fldCharType="separate"/>
        </w:r>
        <w:r w:rsidR="00F543B4">
          <w:rPr>
            <w:noProof/>
            <w:webHidden/>
          </w:rPr>
          <w:t>1</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692" w:history="1">
        <w:r w:rsidR="00B74546" w:rsidRPr="00EB6B0A">
          <w:rPr>
            <w:rStyle w:val="Hyperlink"/>
            <w:rFonts w:cs="Arial"/>
            <w:noProof/>
          </w:rPr>
          <w:t>Background and research objectives</w:t>
        </w:r>
        <w:r w:rsidR="00B74546">
          <w:rPr>
            <w:noProof/>
            <w:webHidden/>
          </w:rPr>
          <w:tab/>
        </w:r>
        <w:r>
          <w:rPr>
            <w:noProof/>
            <w:webHidden/>
          </w:rPr>
          <w:fldChar w:fldCharType="begin"/>
        </w:r>
        <w:r w:rsidR="00B74546">
          <w:rPr>
            <w:noProof/>
            <w:webHidden/>
          </w:rPr>
          <w:instrText xml:space="preserve"> PAGEREF _Toc312075692 \h </w:instrText>
        </w:r>
        <w:r>
          <w:rPr>
            <w:noProof/>
            <w:webHidden/>
          </w:rPr>
        </w:r>
        <w:r>
          <w:rPr>
            <w:noProof/>
            <w:webHidden/>
          </w:rPr>
          <w:fldChar w:fldCharType="separate"/>
        </w:r>
        <w:r w:rsidR="00F543B4">
          <w:rPr>
            <w:noProof/>
            <w:webHidden/>
          </w:rPr>
          <w:t>5</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693" w:history="1">
        <w:r w:rsidR="00B74546" w:rsidRPr="00EB6B0A">
          <w:rPr>
            <w:rStyle w:val="Hyperlink"/>
            <w:noProof/>
          </w:rPr>
          <w:t>Background</w:t>
        </w:r>
        <w:r w:rsidR="00B74546">
          <w:rPr>
            <w:noProof/>
            <w:webHidden/>
          </w:rPr>
          <w:tab/>
        </w:r>
        <w:r>
          <w:rPr>
            <w:noProof/>
            <w:webHidden/>
          </w:rPr>
          <w:fldChar w:fldCharType="begin"/>
        </w:r>
        <w:r w:rsidR="00B74546">
          <w:rPr>
            <w:noProof/>
            <w:webHidden/>
          </w:rPr>
          <w:instrText xml:space="preserve"> PAGEREF _Toc312075693 \h </w:instrText>
        </w:r>
        <w:r>
          <w:rPr>
            <w:noProof/>
            <w:webHidden/>
          </w:rPr>
        </w:r>
        <w:r>
          <w:rPr>
            <w:noProof/>
            <w:webHidden/>
          </w:rPr>
          <w:fldChar w:fldCharType="separate"/>
        </w:r>
        <w:r w:rsidR="00F543B4">
          <w:rPr>
            <w:noProof/>
            <w:webHidden/>
          </w:rPr>
          <w:t>5</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694" w:history="1">
        <w:r w:rsidR="00B74546" w:rsidRPr="00EB6B0A">
          <w:rPr>
            <w:rStyle w:val="Hyperlink"/>
            <w:noProof/>
            <w:lang w:bidi="en-US"/>
          </w:rPr>
          <w:t>Dermal chemical exposure</w:t>
        </w:r>
        <w:r w:rsidR="00B74546">
          <w:rPr>
            <w:noProof/>
            <w:webHidden/>
          </w:rPr>
          <w:tab/>
        </w:r>
        <w:r>
          <w:rPr>
            <w:noProof/>
            <w:webHidden/>
          </w:rPr>
          <w:fldChar w:fldCharType="begin"/>
        </w:r>
        <w:r w:rsidR="00B74546">
          <w:rPr>
            <w:noProof/>
            <w:webHidden/>
          </w:rPr>
          <w:instrText xml:space="preserve"> PAGEREF _Toc312075694 \h </w:instrText>
        </w:r>
        <w:r>
          <w:rPr>
            <w:noProof/>
            <w:webHidden/>
          </w:rPr>
        </w:r>
        <w:r>
          <w:rPr>
            <w:noProof/>
            <w:webHidden/>
          </w:rPr>
          <w:fldChar w:fldCharType="separate"/>
        </w:r>
        <w:r w:rsidR="00F543B4">
          <w:rPr>
            <w:noProof/>
            <w:webHidden/>
          </w:rPr>
          <w:t>6</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695" w:history="1">
        <w:r w:rsidR="00B74546" w:rsidRPr="00EB6B0A">
          <w:rPr>
            <w:rStyle w:val="Hyperlink"/>
            <w:noProof/>
            <w:lang w:bidi="en-US"/>
          </w:rPr>
          <w:t>Chemical exposure control measures</w:t>
        </w:r>
        <w:r w:rsidR="00B74546">
          <w:rPr>
            <w:noProof/>
            <w:webHidden/>
          </w:rPr>
          <w:tab/>
        </w:r>
        <w:r>
          <w:rPr>
            <w:noProof/>
            <w:webHidden/>
          </w:rPr>
          <w:fldChar w:fldCharType="begin"/>
        </w:r>
        <w:r w:rsidR="00B74546">
          <w:rPr>
            <w:noProof/>
            <w:webHidden/>
          </w:rPr>
          <w:instrText xml:space="preserve"> PAGEREF _Toc312075695 \h </w:instrText>
        </w:r>
        <w:r>
          <w:rPr>
            <w:noProof/>
            <w:webHidden/>
          </w:rPr>
        </w:r>
        <w:r>
          <w:rPr>
            <w:noProof/>
            <w:webHidden/>
          </w:rPr>
          <w:fldChar w:fldCharType="separate"/>
        </w:r>
        <w:r w:rsidR="00F543B4">
          <w:rPr>
            <w:noProof/>
            <w:webHidden/>
          </w:rPr>
          <w:t>7</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696" w:history="1">
        <w:r w:rsidR="00B74546" w:rsidRPr="00EB6B0A">
          <w:rPr>
            <w:rStyle w:val="Hyperlink"/>
            <w:noProof/>
          </w:rPr>
          <w:t>Research objectives</w:t>
        </w:r>
        <w:r w:rsidR="00B74546">
          <w:rPr>
            <w:noProof/>
            <w:webHidden/>
          </w:rPr>
          <w:tab/>
        </w:r>
        <w:r>
          <w:rPr>
            <w:noProof/>
            <w:webHidden/>
          </w:rPr>
          <w:fldChar w:fldCharType="begin"/>
        </w:r>
        <w:r w:rsidR="00B74546">
          <w:rPr>
            <w:noProof/>
            <w:webHidden/>
          </w:rPr>
          <w:instrText xml:space="preserve"> PAGEREF _Toc312075696 \h </w:instrText>
        </w:r>
        <w:r>
          <w:rPr>
            <w:noProof/>
            <w:webHidden/>
          </w:rPr>
        </w:r>
        <w:r>
          <w:rPr>
            <w:noProof/>
            <w:webHidden/>
          </w:rPr>
          <w:fldChar w:fldCharType="separate"/>
        </w:r>
        <w:r w:rsidR="00F543B4">
          <w:rPr>
            <w:noProof/>
            <w:webHidden/>
          </w:rPr>
          <w:t>9</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697" w:history="1">
        <w:r w:rsidR="00B74546" w:rsidRPr="00EB6B0A">
          <w:rPr>
            <w:rStyle w:val="Hyperlink"/>
            <w:noProof/>
          </w:rPr>
          <w:t>Overview of NHEWS survey methodology</w:t>
        </w:r>
        <w:r w:rsidR="00B74546">
          <w:rPr>
            <w:noProof/>
            <w:webHidden/>
          </w:rPr>
          <w:tab/>
        </w:r>
        <w:r>
          <w:rPr>
            <w:noProof/>
            <w:webHidden/>
          </w:rPr>
          <w:fldChar w:fldCharType="begin"/>
        </w:r>
        <w:r w:rsidR="00B74546">
          <w:rPr>
            <w:noProof/>
            <w:webHidden/>
          </w:rPr>
          <w:instrText xml:space="preserve"> PAGEREF _Toc312075697 \h </w:instrText>
        </w:r>
        <w:r>
          <w:rPr>
            <w:noProof/>
            <w:webHidden/>
          </w:rPr>
        </w:r>
        <w:r>
          <w:rPr>
            <w:noProof/>
            <w:webHidden/>
          </w:rPr>
          <w:fldChar w:fldCharType="separate"/>
        </w:r>
        <w:r w:rsidR="00F543B4">
          <w:rPr>
            <w:noProof/>
            <w:webHidden/>
          </w:rPr>
          <w:t>10</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698" w:history="1">
        <w:r w:rsidR="00B74546" w:rsidRPr="00EB6B0A">
          <w:rPr>
            <w:rStyle w:val="Hyperlink"/>
            <w:rFonts w:cs="Arial"/>
            <w:noProof/>
          </w:rPr>
          <w:t>Results</w:t>
        </w:r>
        <w:r w:rsidR="00B74546">
          <w:rPr>
            <w:noProof/>
            <w:webHidden/>
          </w:rPr>
          <w:tab/>
        </w:r>
        <w:r>
          <w:rPr>
            <w:noProof/>
            <w:webHidden/>
          </w:rPr>
          <w:fldChar w:fldCharType="begin"/>
        </w:r>
        <w:r w:rsidR="00B74546">
          <w:rPr>
            <w:noProof/>
            <w:webHidden/>
          </w:rPr>
          <w:instrText xml:space="preserve"> PAGEREF _Toc312075698 \h </w:instrText>
        </w:r>
        <w:r>
          <w:rPr>
            <w:noProof/>
            <w:webHidden/>
          </w:rPr>
        </w:r>
        <w:r>
          <w:rPr>
            <w:noProof/>
            <w:webHidden/>
          </w:rPr>
          <w:fldChar w:fldCharType="separate"/>
        </w:r>
        <w:r w:rsidR="00F543B4">
          <w:rPr>
            <w:noProof/>
            <w:webHidden/>
          </w:rPr>
          <w:t>11</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699" w:history="1">
        <w:r w:rsidR="00B74546" w:rsidRPr="00EB6B0A">
          <w:rPr>
            <w:rStyle w:val="Hyperlink"/>
            <w:noProof/>
          </w:rPr>
          <w:t>Overall exposure to chemicals in the workplace</w:t>
        </w:r>
        <w:r w:rsidR="00B74546">
          <w:rPr>
            <w:noProof/>
            <w:webHidden/>
          </w:rPr>
          <w:tab/>
        </w:r>
        <w:r>
          <w:rPr>
            <w:noProof/>
            <w:webHidden/>
          </w:rPr>
          <w:fldChar w:fldCharType="begin"/>
        </w:r>
        <w:r w:rsidR="00B74546">
          <w:rPr>
            <w:noProof/>
            <w:webHidden/>
          </w:rPr>
          <w:instrText xml:space="preserve"> PAGEREF _Toc312075699 \h </w:instrText>
        </w:r>
        <w:r>
          <w:rPr>
            <w:noProof/>
            <w:webHidden/>
          </w:rPr>
        </w:r>
        <w:r>
          <w:rPr>
            <w:noProof/>
            <w:webHidden/>
          </w:rPr>
          <w:fldChar w:fldCharType="separate"/>
        </w:r>
        <w:r w:rsidR="00F543B4">
          <w:rPr>
            <w:noProof/>
            <w:webHidden/>
          </w:rPr>
          <w:t>11</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0" w:history="1">
        <w:r w:rsidR="00B74546" w:rsidRPr="00EB6B0A">
          <w:rPr>
            <w:rStyle w:val="Hyperlink"/>
            <w:noProof/>
            <w:lang w:bidi="en-US"/>
          </w:rPr>
          <w:t>Duration of exposure to chemicals in the workplace</w:t>
        </w:r>
        <w:r w:rsidR="00B74546">
          <w:rPr>
            <w:noProof/>
            <w:webHidden/>
          </w:rPr>
          <w:tab/>
        </w:r>
        <w:r>
          <w:rPr>
            <w:noProof/>
            <w:webHidden/>
          </w:rPr>
          <w:fldChar w:fldCharType="begin"/>
        </w:r>
        <w:r w:rsidR="00B74546">
          <w:rPr>
            <w:noProof/>
            <w:webHidden/>
          </w:rPr>
          <w:instrText xml:space="preserve"> PAGEREF _Toc312075700 \h </w:instrText>
        </w:r>
        <w:r>
          <w:rPr>
            <w:noProof/>
            <w:webHidden/>
          </w:rPr>
        </w:r>
        <w:r>
          <w:rPr>
            <w:noProof/>
            <w:webHidden/>
          </w:rPr>
          <w:fldChar w:fldCharType="separate"/>
        </w:r>
        <w:r w:rsidR="00F543B4">
          <w:rPr>
            <w:noProof/>
            <w:webHidden/>
          </w:rPr>
          <w:t>11</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01" w:history="1">
        <w:r w:rsidR="00B74546" w:rsidRPr="00EB6B0A">
          <w:rPr>
            <w:rStyle w:val="Hyperlink"/>
            <w:noProof/>
          </w:rPr>
          <w:t>Types of self-reported chemical exposure</w:t>
        </w:r>
        <w:r w:rsidR="00B74546">
          <w:rPr>
            <w:noProof/>
            <w:webHidden/>
          </w:rPr>
          <w:tab/>
        </w:r>
        <w:r>
          <w:rPr>
            <w:noProof/>
            <w:webHidden/>
          </w:rPr>
          <w:fldChar w:fldCharType="begin"/>
        </w:r>
        <w:r w:rsidR="00B74546">
          <w:rPr>
            <w:noProof/>
            <w:webHidden/>
          </w:rPr>
          <w:instrText xml:space="preserve"> PAGEREF _Toc312075701 \h </w:instrText>
        </w:r>
        <w:r>
          <w:rPr>
            <w:noProof/>
            <w:webHidden/>
          </w:rPr>
        </w:r>
        <w:r>
          <w:rPr>
            <w:noProof/>
            <w:webHidden/>
          </w:rPr>
          <w:fldChar w:fldCharType="separate"/>
        </w:r>
        <w:r w:rsidR="00F543B4">
          <w:rPr>
            <w:noProof/>
            <w:webHidden/>
          </w:rPr>
          <w:t>12</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2" w:history="1">
        <w:r w:rsidR="00B74546" w:rsidRPr="00EB6B0A">
          <w:rPr>
            <w:rStyle w:val="Hyperlink"/>
            <w:noProof/>
            <w:lang w:bidi="en-US"/>
          </w:rPr>
          <w:t>The main types of dermal chemical exposure</w:t>
        </w:r>
        <w:r w:rsidR="00B74546">
          <w:rPr>
            <w:noProof/>
            <w:webHidden/>
          </w:rPr>
          <w:tab/>
        </w:r>
        <w:r>
          <w:rPr>
            <w:noProof/>
            <w:webHidden/>
          </w:rPr>
          <w:fldChar w:fldCharType="begin"/>
        </w:r>
        <w:r w:rsidR="00B74546">
          <w:rPr>
            <w:noProof/>
            <w:webHidden/>
          </w:rPr>
          <w:instrText xml:space="preserve"> PAGEREF _Toc312075702 \h </w:instrText>
        </w:r>
        <w:r>
          <w:rPr>
            <w:noProof/>
            <w:webHidden/>
          </w:rPr>
        </w:r>
        <w:r>
          <w:rPr>
            <w:noProof/>
            <w:webHidden/>
          </w:rPr>
          <w:fldChar w:fldCharType="separate"/>
        </w:r>
        <w:r w:rsidR="00F543B4">
          <w:rPr>
            <w:noProof/>
            <w:webHidden/>
          </w:rPr>
          <w:t>15</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03" w:history="1">
        <w:r w:rsidR="00B74546" w:rsidRPr="00EB6B0A">
          <w:rPr>
            <w:rStyle w:val="Hyperlink"/>
            <w:noProof/>
          </w:rPr>
          <w:t>Employment and demographic factors that affected self-reported exposure to chemicals in the workplace</w:t>
        </w:r>
        <w:r w:rsidR="00B74546">
          <w:rPr>
            <w:noProof/>
            <w:webHidden/>
          </w:rPr>
          <w:tab/>
        </w:r>
        <w:r>
          <w:rPr>
            <w:noProof/>
            <w:webHidden/>
          </w:rPr>
          <w:fldChar w:fldCharType="begin"/>
        </w:r>
        <w:r w:rsidR="00B74546">
          <w:rPr>
            <w:noProof/>
            <w:webHidden/>
          </w:rPr>
          <w:instrText xml:space="preserve"> PAGEREF _Toc312075703 \h </w:instrText>
        </w:r>
        <w:r>
          <w:rPr>
            <w:noProof/>
            <w:webHidden/>
          </w:rPr>
        </w:r>
        <w:r>
          <w:rPr>
            <w:noProof/>
            <w:webHidden/>
          </w:rPr>
          <w:fldChar w:fldCharType="separate"/>
        </w:r>
        <w:r w:rsidR="00F543B4">
          <w:rPr>
            <w:noProof/>
            <w:webHidden/>
          </w:rPr>
          <w:t>16</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4" w:history="1">
        <w:r w:rsidR="00B74546" w:rsidRPr="00EB6B0A">
          <w:rPr>
            <w:rStyle w:val="Hyperlink"/>
            <w:noProof/>
            <w:lang w:bidi="en-US"/>
          </w:rPr>
          <w:t>Worker gender</w:t>
        </w:r>
        <w:r w:rsidR="00B74546">
          <w:rPr>
            <w:noProof/>
            <w:webHidden/>
          </w:rPr>
          <w:tab/>
        </w:r>
        <w:r>
          <w:rPr>
            <w:noProof/>
            <w:webHidden/>
          </w:rPr>
          <w:fldChar w:fldCharType="begin"/>
        </w:r>
        <w:r w:rsidR="00B74546">
          <w:rPr>
            <w:noProof/>
            <w:webHidden/>
          </w:rPr>
          <w:instrText xml:space="preserve"> PAGEREF _Toc312075704 \h </w:instrText>
        </w:r>
        <w:r>
          <w:rPr>
            <w:noProof/>
            <w:webHidden/>
          </w:rPr>
        </w:r>
        <w:r>
          <w:rPr>
            <w:noProof/>
            <w:webHidden/>
          </w:rPr>
          <w:fldChar w:fldCharType="separate"/>
        </w:r>
        <w:r w:rsidR="00F543B4">
          <w:rPr>
            <w:noProof/>
            <w:webHidden/>
          </w:rPr>
          <w:t>16</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5" w:history="1">
        <w:r w:rsidR="00B74546" w:rsidRPr="00EB6B0A">
          <w:rPr>
            <w:rStyle w:val="Hyperlink"/>
            <w:noProof/>
            <w:lang w:bidi="en-US"/>
          </w:rPr>
          <w:t>Worker age</w:t>
        </w:r>
        <w:r w:rsidR="00B74546">
          <w:rPr>
            <w:noProof/>
            <w:webHidden/>
          </w:rPr>
          <w:tab/>
        </w:r>
        <w:r>
          <w:rPr>
            <w:noProof/>
            <w:webHidden/>
          </w:rPr>
          <w:fldChar w:fldCharType="begin"/>
        </w:r>
        <w:r w:rsidR="00B74546">
          <w:rPr>
            <w:noProof/>
            <w:webHidden/>
          </w:rPr>
          <w:instrText xml:space="preserve"> PAGEREF _Toc312075705 \h </w:instrText>
        </w:r>
        <w:r>
          <w:rPr>
            <w:noProof/>
            <w:webHidden/>
          </w:rPr>
        </w:r>
        <w:r>
          <w:rPr>
            <w:noProof/>
            <w:webHidden/>
          </w:rPr>
          <w:fldChar w:fldCharType="separate"/>
        </w:r>
        <w:r w:rsidR="00F543B4">
          <w:rPr>
            <w:noProof/>
            <w:webHidden/>
          </w:rPr>
          <w:t>16</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6" w:history="1">
        <w:r w:rsidR="00B74546" w:rsidRPr="00EB6B0A">
          <w:rPr>
            <w:rStyle w:val="Hyperlink"/>
            <w:noProof/>
            <w:lang w:bidi="en-US"/>
          </w:rPr>
          <w:t>Employment arrangements</w:t>
        </w:r>
        <w:r w:rsidR="00B74546">
          <w:rPr>
            <w:noProof/>
            <w:webHidden/>
          </w:rPr>
          <w:tab/>
        </w:r>
        <w:r>
          <w:rPr>
            <w:noProof/>
            <w:webHidden/>
          </w:rPr>
          <w:fldChar w:fldCharType="begin"/>
        </w:r>
        <w:r w:rsidR="00B74546">
          <w:rPr>
            <w:noProof/>
            <w:webHidden/>
          </w:rPr>
          <w:instrText xml:space="preserve"> PAGEREF _Toc312075706 \h </w:instrText>
        </w:r>
        <w:r>
          <w:rPr>
            <w:noProof/>
            <w:webHidden/>
          </w:rPr>
        </w:r>
        <w:r>
          <w:rPr>
            <w:noProof/>
            <w:webHidden/>
          </w:rPr>
          <w:fldChar w:fldCharType="separate"/>
        </w:r>
        <w:r w:rsidR="00F543B4">
          <w:rPr>
            <w:noProof/>
            <w:webHidden/>
          </w:rPr>
          <w:t>17</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7" w:history="1">
        <w:r w:rsidR="00B74546" w:rsidRPr="00EB6B0A">
          <w:rPr>
            <w:rStyle w:val="Hyperlink"/>
            <w:noProof/>
            <w:lang w:bidi="en-US"/>
          </w:rPr>
          <w:t>Occupational skill level</w:t>
        </w:r>
        <w:r w:rsidR="00B74546">
          <w:rPr>
            <w:noProof/>
            <w:webHidden/>
          </w:rPr>
          <w:tab/>
        </w:r>
        <w:r>
          <w:rPr>
            <w:noProof/>
            <w:webHidden/>
          </w:rPr>
          <w:fldChar w:fldCharType="begin"/>
        </w:r>
        <w:r w:rsidR="00B74546">
          <w:rPr>
            <w:noProof/>
            <w:webHidden/>
          </w:rPr>
          <w:instrText xml:space="preserve"> PAGEREF _Toc312075707 \h </w:instrText>
        </w:r>
        <w:r>
          <w:rPr>
            <w:noProof/>
            <w:webHidden/>
          </w:rPr>
        </w:r>
        <w:r>
          <w:rPr>
            <w:noProof/>
            <w:webHidden/>
          </w:rPr>
          <w:fldChar w:fldCharType="separate"/>
        </w:r>
        <w:r w:rsidR="00F543B4">
          <w:rPr>
            <w:noProof/>
            <w:webHidden/>
          </w:rPr>
          <w:t>18</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8" w:history="1">
        <w:r w:rsidR="00B74546" w:rsidRPr="00EB6B0A">
          <w:rPr>
            <w:rStyle w:val="Hyperlink"/>
            <w:noProof/>
            <w:lang w:bidi="en-US"/>
          </w:rPr>
          <w:t>Workplace size</w:t>
        </w:r>
        <w:r w:rsidR="00B74546">
          <w:rPr>
            <w:noProof/>
            <w:webHidden/>
          </w:rPr>
          <w:tab/>
        </w:r>
        <w:r>
          <w:rPr>
            <w:noProof/>
            <w:webHidden/>
          </w:rPr>
          <w:fldChar w:fldCharType="begin"/>
        </w:r>
        <w:r w:rsidR="00B74546">
          <w:rPr>
            <w:noProof/>
            <w:webHidden/>
          </w:rPr>
          <w:instrText xml:space="preserve"> PAGEREF _Toc312075708 \h </w:instrText>
        </w:r>
        <w:r>
          <w:rPr>
            <w:noProof/>
            <w:webHidden/>
          </w:rPr>
        </w:r>
        <w:r>
          <w:rPr>
            <w:noProof/>
            <w:webHidden/>
          </w:rPr>
          <w:fldChar w:fldCharType="separate"/>
        </w:r>
        <w:r w:rsidR="00F543B4">
          <w:rPr>
            <w:noProof/>
            <w:webHidden/>
          </w:rPr>
          <w:t>19</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09" w:history="1">
        <w:r w:rsidR="00B74546" w:rsidRPr="00EB6B0A">
          <w:rPr>
            <w:rStyle w:val="Hyperlink"/>
            <w:noProof/>
            <w:lang w:bidi="en-US"/>
          </w:rPr>
          <w:t>Industry</w:t>
        </w:r>
        <w:r w:rsidR="00B74546">
          <w:rPr>
            <w:noProof/>
            <w:webHidden/>
          </w:rPr>
          <w:tab/>
        </w:r>
        <w:r>
          <w:rPr>
            <w:noProof/>
            <w:webHidden/>
          </w:rPr>
          <w:fldChar w:fldCharType="begin"/>
        </w:r>
        <w:r w:rsidR="00B74546">
          <w:rPr>
            <w:noProof/>
            <w:webHidden/>
          </w:rPr>
          <w:instrText xml:space="preserve"> PAGEREF _Toc312075709 \h </w:instrText>
        </w:r>
        <w:r>
          <w:rPr>
            <w:noProof/>
            <w:webHidden/>
          </w:rPr>
        </w:r>
        <w:r>
          <w:rPr>
            <w:noProof/>
            <w:webHidden/>
          </w:rPr>
          <w:fldChar w:fldCharType="separate"/>
        </w:r>
        <w:r w:rsidR="00F543B4">
          <w:rPr>
            <w:noProof/>
            <w:webHidden/>
          </w:rPr>
          <w:t>20</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0" w:history="1">
        <w:r w:rsidR="00B74546" w:rsidRPr="00EB6B0A">
          <w:rPr>
            <w:rStyle w:val="Hyperlink"/>
            <w:noProof/>
            <w:lang w:bidi="en-US"/>
          </w:rPr>
          <w:t>Multivariate analyses of self-reported exposure to chemicals</w:t>
        </w:r>
        <w:r w:rsidR="00B74546">
          <w:rPr>
            <w:noProof/>
            <w:webHidden/>
          </w:rPr>
          <w:tab/>
        </w:r>
        <w:r>
          <w:rPr>
            <w:noProof/>
            <w:webHidden/>
          </w:rPr>
          <w:fldChar w:fldCharType="begin"/>
        </w:r>
        <w:r w:rsidR="00B74546">
          <w:rPr>
            <w:noProof/>
            <w:webHidden/>
          </w:rPr>
          <w:instrText xml:space="preserve"> PAGEREF _Toc312075710 \h </w:instrText>
        </w:r>
        <w:r>
          <w:rPr>
            <w:noProof/>
            <w:webHidden/>
          </w:rPr>
        </w:r>
        <w:r>
          <w:rPr>
            <w:noProof/>
            <w:webHidden/>
          </w:rPr>
          <w:fldChar w:fldCharType="separate"/>
        </w:r>
        <w:r w:rsidR="00F543B4">
          <w:rPr>
            <w:noProof/>
            <w:webHidden/>
          </w:rPr>
          <w:t>23</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11" w:history="1">
        <w:r w:rsidR="00B74546" w:rsidRPr="00EB6B0A">
          <w:rPr>
            <w:rStyle w:val="Hyperlink"/>
            <w:noProof/>
          </w:rPr>
          <w:t>Chemical exposure control measures provided in Australian workplaces</w:t>
        </w:r>
        <w:r w:rsidR="00B74546">
          <w:rPr>
            <w:noProof/>
            <w:webHidden/>
          </w:rPr>
          <w:tab/>
        </w:r>
        <w:r>
          <w:rPr>
            <w:noProof/>
            <w:webHidden/>
          </w:rPr>
          <w:fldChar w:fldCharType="begin"/>
        </w:r>
        <w:r w:rsidR="00B74546">
          <w:rPr>
            <w:noProof/>
            <w:webHidden/>
          </w:rPr>
          <w:instrText xml:space="preserve"> PAGEREF _Toc312075711 \h </w:instrText>
        </w:r>
        <w:r>
          <w:rPr>
            <w:noProof/>
            <w:webHidden/>
          </w:rPr>
        </w:r>
        <w:r>
          <w:rPr>
            <w:noProof/>
            <w:webHidden/>
          </w:rPr>
          <w:fldChar w:fldCharType="separate"/>
        </w:r>
        <w:r w:rsidR="00F543B4">
          <w:rPr>
            <w:noProof/>
            <w:webHidden/>
          </w:rPr>
          <w:t>27</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2" w:history="1">
        <w:r w:rsidR="00B74546" w:rsidRPr="00EB6B0A">
          <w:rPr>
            <w:rStyle w:val="Hyperlink"/>
            <w:noProof/>
            <w:lang w:bidi="en-US"/>
          </w:rPr>
          <w:t>Gloves</w:t>
        </w:r>
        <w:r w:rsidR="00B74546">
          <w:rPr>
            <w:noProof/>
            <w:webHidden/>
          </w:rPr>
          <w:tab/>
        </w:r>
        <w:r>
          <w:rPr>
            <w:noProof/>
            <w:webHidden/>
          </w:rPr>
          <w:fldChar w:fldCharType="begin"/>
        </w:r>
        <w:r w:rsidR="00B74546">
          <w:rPr>
            <w:noProof/>
            <w:webHidden/>
          </w:rPr>
          <w:instrText xml:space="preserve"> PAGEREF _Toc312075712 \h </w:instrText>
        </w:r>
        <w:r>
          <w:rPr>
            <w:noProof/>
            <w:webHidden/>
          </w:rPr>
        </w:r>
        <w:r>
          <w:rPr>
            <w:noProof/>
            <w:webHidden/>
          </w:rPr>
          <w:fldChar w:fldCharType="separate"/>
        </w:r>
        <w:r w:rsidR="00F543B4">
          <w:rPr>
            <w:noProof/>
            <w:webHidden/>
          </w:rPr>
          <w:t>28</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3" w:history="1">
        <w:r w:rsidR="00B74546" w:rsidRPr="00EB6B0A">
          <w:rPr>
            <w:rStyle w:val="Hyperlink"/>
            <w:noProof/>
            <w:lang w:bidi="en-US"/>
          </w:rPr>
          <w:t>Protective clothing</w:t>
        </w:r>
        <w:r w:rsidR="00B74546">
          <w:rPr>
            <w:noProof/>
            <w:webHidden/>
          </w:rPr>
          <w:tab/>
        </w:r>
        <w:r>
          <w:rPr>
            <w:noProof/>
            <w:webHidden/>
          </w:rPr>
          <w:fldChar w:fldCharType="begin"/>
        </w:r>
        <w:r w:rsidR="00B74546">
          <w:rPr>
            <w:noProof/>
            <w:webHidden/>
          </w:rPr>
          <w:instrText xml:space="preserve"> PAGEREF _Toc312075713 \h </w:instrText>
        </w:r>
        <w:r>
          <w:rPr>
            <w:noProof/>
            <w:webHidden/>
          </w:rPr>
        </w:r>
        <w:r>
          <w:rPr>
            <w:noProof/>
            <w:webHidden/>
          </w:rPr>
          <w:fldChar w:fldCharType="separate"/>
        </w:r>
        <w:r w:rsidR="00F543B4">
          <w:rPr>
            <w:noProof/>
            <w:webHidden/>
          </w:rPr>
          <w:t>29</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4" w:history="1">
        <w:r w:rsidR="00B74546" w:rsidRPr="00EB6B0A">
          <w:rPr>
            <w:rStyle w:val="Hyperlink"/>
            <w:noProof/>
            <w:lang w:bidi="en-US"/>
          </w:rPr>
          <w:t>Labelling and warning signs</w:t>
        </w:r>
        <w:r w:rsidR="00B74546">
          <w:rPr>
            <w:noProof/>
            <w:webHidden/>
          </w:rPr>
          <w:tab/>
        </w:r>
        <w:r>
          <w:rPr>
            <w:noProof/>
            <w:webHidden/>
          </w:rPr>
          <w:fldChar w:fldCharType="begin"/>
        </w:r>
        <w:r w:rsidR="00B74546">
          <w:rPr>
            <w:noProof/>
            <w:webHidden/>
          </w:rPr>
          <w:instrText xml:space="preserve"> PAGEREF _Toc312075714 \h </w:instrText>
        </w:r>
        <w:r>
          <w:rPr>
            <w:noProof/>
            <w:webHidden/>
          </w:rPr>
        </w:r>
        <w:r>
          <w:rPr>
            <w:noProof/>
            <w:webHidden/>
          </w:rPr>
          <w:fldChar w:fldCharType="separate"/>
        </w:r>
        <w:r w:rsidR="00F543B4">
          <w:rPr>
            <w:noProof/>
            <w:webHidden/>
          </w:rPr>
          <w:t>32</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5" w:history="1">
        <w:r w:rsidR="00B74546" w:rsidRPr="00EB6B0A">
          <w:rPr>
            <w:rStyle w:val="Hyperlink"/>
            <w:noProof/>
            <w:lang w:bidi="en-US"/>
          </w:rPr>
          <w:t>Washing facilities</w:t>
        </w:r>
        <w:r w:rsidR="00B74546">
          <w:rPr>
            <w:noProof/>
            <w:webHidden/>
          </w:rPr>
          <w:tab/>
        </w:r>
        <w:r>
          <w:rPr>
            <w:noProof/>
            <w:webHidden/>
          </w:rPr>
          <w:fldChar w:fldCharType="begin"/>
        </w:r>
        <w:r w:rsidR="00B74546">
          <w:rPr>
            <w:noProof/>
            <w:webHidden/>
          </w:rPr>
          <w:instrText xml:space="preserve"> PAGEREF _Toc312075715 \h </w:instrText>
        </w:r>
        <w:r>
          <w:rPr>
            <w:noProof/>
            <w:webHidden/>
          </w:rPr>
        </w:r>
        <w:r>
          <w:rPr>
            <w:noProof/>
            <w:webHidden/>
          </w:rPr>
          <w:fldChar w:fldCharType="separate"/>
        </w:r>
        <w:r w:rsidR="00F543B4">
          <w:rPr>
            <w:noProof/>
            <w:webHidden/>
          </w:rPr>
          <w:t>32</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6" w:history="1">
        <w:r w:rsidR="00B74546" w:rsidRPr="00EB6B0A">
          <w:rPr>
            <w:rStyle w:val="Hyperlink"/>
            <w:noProof/>
            <w:lang w:bidi="en-US"/>
          </w:rPr>
          <w:t>Training on safe handling of chemicals</w:t>
        </w:r>
        <w:r w:rsidR="00B74546">
          <w:rPr>
            <w:noProof/>
            <w:webHidden/>
          </w:rPr>
          <w:tab/>
        </w:r>
        <w:r>
          <w:rPr>
            <w:noProof/>
            <w:webHidden/>
          </w:rPr>
          <w:fldChar w:fldCharType="begin"/>
        </w:r>
        <w:r w:rsidR="00B74546">
          <w:rPr>
            <w:noProof/>
            <w:webHidden/>
          </w:rPr>
          <w:instrText xml:space="preserve"> PAGEREF _Toc312075716 \h </w:instrText>
        </w:r>
        <w:r>
          <w:rPr>
            <w:noProof/>
            <w:webHidden/>
          </w:rPr>
        </w:r>
        <w:r>
          <w:rPr>
            <w:noProof/>
            <w:webHidden/>
          </w:rPr>
          <w:fldChar w:fldCharType="separate"/>
        </w:r>
        <w:r w:rsidR="00F543B4">
          <w:rPr>
            <w:noProof/>
            <w:webHidden/>
          </w:rPr>
          <w:t>32</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17" w:history="1">
        <w:r w:rsidR="00B74546" w:rsidRPr="00EB6B0A">
          <w:rPr>
            <w:rStyle w:val="Hyperlink"/>
            <w:noProof/>
          </w:rPr>
          <w:t>Discussion</w:t>
        </w:r>
        <w:r w:rsidR="00B74546">
          <w:rPr>
            <w:noProof/>
            <w:webHidden/>
          </w:rPr>
          <w:tab/>
        </w:r>
        <w:r>
          <w:rPr>
            <w:noProof/>
            <w:webHidden/>
          </w:rPr>
          <w:fldChar w:fldCharType="begin"/>
        </w:r>
        <w:r w:rsidR="00B74546">
          <w:rPr>
            <w:noProof/>
            <w:webHidden/>
          </w:rPr>
          <w:instrText xml:space="preserve"> PAGEREF _Toc312075717 \h </w:instrText>
        </w:r>
        <w:r>
          <w:rPr>
            <w:noProof/>
            <w:webHidden/>
          </w:rPr>
        </w:r>
        <w:r>
          <w:rPr>
            <w:noProof/>
            <w:webHidden/>
          </w:rPr>
          <w:fldChar w:fldCharType="separate"/>
        </w:r>
        <w:r w:rsidR="00F543B4">
          <w:rPr>
            <w:noProof/>
            <w:webHidden/>
          </w:rPr>
          <w:t>34</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18" w:history="1">
        <w:r w:rsidR="00B74546" w:rsidRPr="00EB6B0A">
          <w:rPr>
            <w:rStyle w:val="Hyperlink"/>
            <w:noProof/>
          </w:rPr>
          <w:t>Main findings</w:t>
        </w:r>
        <w:r w:rsidR="00B74546">
          <w:rPr>
            <w:noProof/>
            <w:webHidden/>
          </w:rPr>
          <w:tab/>
        </w:r>
        <w:r>
          <w:rPr>
            <w:noProof/>
            <w:webHidden/>
          </w:rPr>
          <w:fldChar w:fldCharType="begin"/>
        </w:r>
        <w:r w:rsidR="00B74546">
          <w:rPr>
            <w:noProof/>
            <w:webHidden/>
          </w:rPr>
          <w:instrText xml:space="preserve"> PAGEREF _Toc312075718 \h </w:instrText>
        </w:r>
        <w:r>
          <w:rPr>
            <w:noProof/>
            <w:webHidden/>
          </w:rPr>
        </w:r>
        <w:r>
          <w:rPr>
            <w:noProof/>
            <w:webHidden/>
          </w:rPr>
          <w:fldChar w:fldCharType="separate"/>
        </w:r>
        <w:r w:rsidR="00F543B4">
          <w:rPr>
            <w:noProof/>
            <w:webHidden/>
          </w:rPr>
          <w:t>34</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19" w:history="1">
        <w:r w:rsidR="00B74546" w:rsidRPr="00EB6B0A">
          <w:rPr>
            <w:rStyle w:val="Hyperlink"/>
            <w:noProof/>
            <w:lang w:bidi="en-US"/>
          </w:rPr>
          <w:t>Predictors of most commonly reported exposure categories</w:t>
        </w:r>
        <w:r w:rsidR="00B74546">
          <w:rPr>
            <w:noProof/>
            <w:webHidden/>
          </w:rPr>
          <w:tab/>
        </w:r>
        <w:r>
          <w:rPr>
            <w:noProof/>
            <w:webHidden/>
          </w:rPr>
          <w:fldChar w:fldCharType="begin"/>
        </w:r>
        <w:r w:rsidR="00B74546">
          <w:rPr>
            <w:noProof/>
            <w:webHidden/>
          </w:rPr>
          <w:instrText xml:space="preserve"> PAGEREF _Toc312075719 \h </w:instrText>
        </w:r>
        <w:r>
          <w:rPr>
            <w:noProof/>
            <w:webHidden/>
          </w:rPr>
        </w:r>
        <w:r>
          <w:rPr>
            <w:noProof/>
            <w:webHidden/>
          </w:rPr>
          <w:fldChar w:fldCharType="separate"/>
        </w:r>
        <w:r w:rsidR="00F543B4">
          <w:rPr>
            <w:noProof/>
            <w:webHidden/>
          </w:rPr>
          <w:t>35</w:t>
        </w:r>
        <w:r>
          <w:rPr>
            <w:noProof/>
            <w:webHidden/>
          </w:rPr>
          <w:fldChar w:fldCharType="end"/>
        </w:r>
      </w:hyperlink>
    </w:p>
    <w:p w:rsidR="00B74546" w:rsidRDefault="00AB2546">
      <w:pPr>
        <w:pStyle w:val="TOC3"/>
        <w:tabs>
          <w:tab w:val="right" w:leader="dot" w:pos="8756"/>
        </w:tabs>
        <w:rPr>
          <w:rFonts w:asciiTheme="minorHAnsi" w:eastAsiaTheme="minorEastAsia" w:hAnsiTheme="minorHAnsi" w:cstheme="minorBidi"/>
          <w:noProof/>
          <w:szCs w:val="22"/>
          <w:lang w:eastAsia="en-AU"/>
        </w:rPr>
      </w:pPr>
      <w:hyperlink w:anchor="_Toc312075720" w:history="1">
        <w:r w:rsidR="00B74546" w:rsidRPr="00EB6B0A">
          <w:rPr>
            <w:rStyle w:val="Hyperlink"/>
            <w:noProof/>
            <w:lang w:bidi="en-US"/>
          </w:rPr>
          <w:t>Factors predicting reported provision of controls</w:t>
        </w:r>
        <w:r w:rsidR="00B74546">
          <w:rPr>
            <w:noProof/>
            <w:webHidden/>
          </w:rPr>
          <w:tab/>
        </w:r>
        <w:r>
          <w:rPr>
            <w:noProof/>
            <w:webHidden/>
          </w:rPr>
          <w:fldChar w:fldCharType="begin"/>
        </w:r>
        <w:r w:rsidR="00B74546">
          <w:rPr>
            <w:noProof/>
            <w:webHidden/>
          </w:rPr>
          <w:instrText xml:space="preserve"> PAGEREF _Toc312075720 \h </w:instrText>
        </w:r>
        <w:r>
          <w:rPr>
            <w:noProof/>
            <w:webHidden/>
          </w:rPr>
        </w:r>
        <w:r>
          <w:rPr>
            <w:noProof/>
            <w:webHidden/>
          </w:rPr>
          <w:fldChar w:fldCharType="separate"/>
        </w:r>
        <w:r w:rsidR="00F543B4">
          <w:rPr>
            <w:noProof/>
            <w:webHidden/>
          </w:rPr>
          <w:t>36</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21" w:history="1">
        <w:r w:rsidR="00B74546" w:rsidRPr="00EB6B0A">
          <w:rPr>
            <w:rStyle w:val="Hyperlink"/>
            <w:noProof/>
          </w:rPr>
          <w:t>Strengths and weaknesses</w:t>
        </w:r>
        <w:r w:rsidR="00B74546">
          <w:rPr>
            <w:noProof/>
            <w:webHidden/>
          </w:rPr>
          <w:tab/>
        </w:r>
        <w:r>
          <w:rPr>
            <w:noProof/>
            <w:webHidden/>
          </w:rPr>
          <w:fldChar w:fldCharType="begin"/>
        </w:r>
        <w:r w:rsidR="00B74546">
          <w:rPr>
            <w:noProof/>
            <w:webHidden/>
          </w:rPr>
          <w:instrText xml:space="preserve"> PAGEREF _Toc312075721 \h </w:instrText>
        </w:r>
        <w:r>
          <w:rPr>
            <w:noProof/>
            <w:webHidden/>
          </w:rPr>
        </w:r>
        <w:r>
          <w:rPr>
            <w:noProof/>
            <w:webHidden/>
          </w:rPr>
          <w:fldChar w:fldCharType="separate"/>
        </w:r>
        <w:r w:rsidR="00F543B4">
          <w:rPr>
            <w:noProof/>
            <w:webHidden/>
          </w:rPr>
          <w:t>37</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22" w:history="1">
        <w:r w:rsidR="00B74546" w:rsidRPr="00EB6B0A">
          <w:rPr>
            <w:rStyle w:val="Hyperlink"/>
            <w:noProof/>
          </w:rPr>
          <w:t>Policy implications</w:t>
        </w:r>
        <w:r w:rsidR="00B74546">
          <w:rPr>
            <w:noProof/>
            <w:webHidden/>
          </w:rPr>
          <w:tab/>
        </w:r>
        <w:r>
          <w:rPr>
            <w:noProof/>
            <w:webHidden/>
          </w:rPr>
          <w:fldChar w:fldCharType="begin"/>
        </w:r>
        <w:r w:rsidR="00B74546">
          <w:rPr>
            <w:noProof/>
            <w:webHidden/>
          </w:rPr>
          <w:instrText xml:space="preserve"> PAGEREF _Toc312075722 \h </w:instrText>
        </w:r>
        <w:r>
          <w:rPr>
            <w:noProof/>
            <w:webHidden/>
          </w:rPr>
        </w:r>
        <w:r>
          <w:rPr>
            <w:noProof/>
            <w:webHidden/>
          </w:rPr>
          <w:fldChar w:fldCharType="separate"/>
        </w:r>
        <w:r w:rsidR="00F543B4">
          <w:rPr>
            <w:noProof/>
            <w:webHidden/>
          </w:rPr>
          <w:t>38</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23" w:history="1">
        <w:r w:rsidR="00B74546" w:rsidRPr="00EB6B0A">
          <w:rPr>
            <w:rStyle w:val="Hyperlink"/>
            <w:noProof/>
          </w:rPr>
          <w:t>Further research</w:t>
        </w:r>
        <w:r w:rsidR="00B74546">
          <w:rPr>
            <w:noProof/>
            <w:webHidden/>
          </w:rPr>
          <w:tab/>
        </w:r>
        <w:r>
          <w:rPr>
            <w:noProof/>
            <w:webHidden/>
          </w:rPr>
          <w:fldChar w:fldCharType="begin"/>
        </w:r>
        <w:r w:rsidR="00B74546">
          <w:rPr>
            <w:noProof/>
            <w:webHidden/>
          </w:rPr>
          <w:instrText xml:space="preserve"> PAGEREF _Toc312075723 \h </w:instrText>
        </w:r>
        <w:r>
          <w:rPr>
            <w:noProof/>
            <w:webHidden/>
          </w:rPr>
        </w:r>
        <w:r>
          <w:rPr>
            <w:noProof/>
            <w:webHidden/>
          </w:rPr>
          <w:fldChar w:fldCharType="separate"/>
        </w:r>
        <w:r w:rsidR="00F543B4">
          <w:rPr>
            <w:noProof/>
            <w:webHidden/>
          </w:rPr>
          <w:t>38</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24" w:history="1">
        <w:r w:rsidR="00B74546" w:rsidRPr="00EB6B0A">
          <w:rPr>
            <w:rStyle w:val="Hyperlink"/>
            <w:noProof/>
          </w:rPr>
          <w:t>References</w:t>
        </w:r>
        <w:r w:rsidR="00B74546">
          <w:rPr>
            <w:noProof/>
            <w:webHidden/>
          </w:rPr>
          <w:tab/>
        </w:r>
        <w:r>
          <w:rPr>
            <w:noProof/>
            <w:webHidden/>
          </w:rPr>
          <w:fldChar w:fldCharType="begin"/>
        </w:r>
        <w:r w:rsidR="00B74546">
          <w:rPr>
            <w:noProof/>
            <w:webHidden/>
          </w:rPr>
          <w:instrText xml:space="preserve"> PAGEREF _Toc312075724 \h </w:instrText>
        </w:r>
        <w:r>
          <w:rPr>
            <w:noProof/>
            <w:webHidden/>
          </w:rPr>
        </w:r>
        <w:r>
          <w:rPr>
            <w:noProof/>
            <w:webHidden/>
          </w:rPr>
          <w:fldChar w:fldCharType="separate"/>
        </w:r>
        <w:r w:rsidR="00F543B4">
          <w:rPr>
            <w:noProof/>
            <w:webHidden/>
          </w:rPr>
          <w:t>40</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25" w:history="1">
        <w:r w:rsidR="00B74546" w:rsidRPr="00EB6B0A">
          <w:rPr>
            <w:rStyle w:val="Hyperlink"/>
            <w:noProof/>
          </w:rPr>
          <w:t>List of Tables</w:t>
        </w:r>
        <w:r w:rsidR="00B74546">
          <w:rPr>
            <w:noProof/>
            <w:webHidden/>
          </w:rPr>
          <w:tab/>
        </w:r>
        <w:r>
          <w:rPr>
            <w:noProof/>
            <w:webHidden/>
          </w:rPr>
          <w:fldChar w:fldCharType="begin"/>
        </w:r>
        <w:r w:rsidR="00B74546">
          <w:rPr>
            <w:noProof/>
            <w:webHidden/>
          </w:rPr>
          <w:instrText xml:space="preserve"> PAGEREF _Toc312075725 \h </w:instrText>
        </w:r>
        <w:r>
          <w:rPr>
            <w:noProof/>
            <w:webHidden/>
          </w:rPr>
        </w:r>
        <w:r>
          <w:rPr>
            <w:noProof/>
            <w:webHidden/>
          </w:rPr>
          <w:fldChar w:fldCharType="separate"/>
        </w:r>
        <w:r w:rsidR="00F543B4">
          <w:rPr>
            <w:noProof/>
            <w:webHidden/>
          </w:rPr>
          <w:t>42</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26" w:history="1">
        <w:r w:rsidR="00B74546" w:rsidRPr="00EB6B0A">
          <w:rPr>
            <w:rStyle w:val="Hyperlink"/>
            <w:noProof/>
          </w:rPr>
          <w:t>Table of Figures</w:t>
        </w:r>
        <w:r w:rsidR="00B74546">
          <w:rPr>
            <w:noProof/>
            <w:webHidden/>
          </w:rPr>
          <w:tab/>
        </w:r>
        <w:r>
          <w:rPr>
            <w:noProof/>
            <w:webHidden/>
          </w:rPr>
          <w:fldChar w:fldCharType="begin"/>
        </w:r>
        <w:r w:rsidR="00B74546">
          <w:rPr>
            <w:noProof/>
            <w:webHidden/>
          </w:rPr>
          <w:instrText xml:space="preserve"> PAGEREF _Toc312075726 \h </w:instrText>
        </w:r>
        <w:r>
          <w:rPr>
            <w:noProof/>
            <w:webHidden/>
          </w:rPr>
        </w:r>
        <w:r>
          <w:rPr>
            <w:noProof/>
            <w:webHidden/>
          </w:rPr>
          <w:fldChar w:fldCharType="separate"/>
        </w:r>
        <w:r w:rsidR="00F543B4">
          <w:rPr>
            <w:noProof/>
            <w:webHidden/>
          </w:rPr>
          <w:t>42</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27" w:history="1">
        <w:r w:rsidR="00B74546" w:rsidRPr="00EB6B0A">
          <w:rPr>
            <w:rStyle w:val="Hyperlink"/>
            <w:noProof/>
          </w:rPr>
          <w:t>Appendix A. Detailed methodology</w:t>
        </w:r>
        <w:r w:rsidR="00B74546">
          <w:rPr>
            <w:noProof/>
            <w:webHidden/>
          </w:rPr>
          <w:tab/>
        </w:r>
        <w:r>
          <w:rPr>
            <w:noProof/>
            <w:webHidden/>
          </w:rPr>
          <w:fldChar w:fldCharType="begin"/>
        </w:r>
        <w:r w:rsidR="00B74546">
          <w:rPr>
            <w:noProof/>
            <w:webHidden/>
          </w:rPr>
          <w:instrText xml:space="preserve"> PAGEREF _Toc312075727 \h </w:instrText>
        </w:r>
        <w:r>
          <w:rPr>
            <w:noProof/>
            <w:webHidden/>
          </w:rPr>
        </w:r>
        <w:r>
          <w:rPr>
            <w:noProof/>
            <w:webHidden/>
          </w:rPr>
          <w:fldChar w:fldCharType="separate"/>
        </w:r>
        <w:r w:rsidR="00F543B4">
          <w:rPr>
            <w:noProof/>
            <w:webHidden/>
          </w:rPr>
          <w:t>43</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28" w:history="1">
        <w:r w:rsidR="00B74546" w:rsidRPr="00EB6B0A">
          <w:rPr>
            <w:rStyle w:val="Hyperlink"/>
            <w:noProof/>
          </w:rPr>
          <w:t>Survey design</w:t>
        </w:r>
        <w:r w:rsidR="00B74546">
          <w:rPr>
            <w:noProof/>
            <w:webHidden/>
          </w:rPr>
          <w:tab/>
        </w:r>
        <w:r>
          <w:rPr>
            <w:noProof/>
            <w:webHidden/>
          </w:rPr>
          <w:fldChar w:fldCharType="begin"/>
        </w:r>
        <w:r w:rsidR="00B74546">
          <w:rPr>
            <w:noProof/>
            <w:webHidden/>
          </w:rPr>
          <w:instrText xml:space="preserve"> PAGEREF _Toc312075728 \h </w:instrText>
        </w:r>
        <w:r>
          <w:rPr>
            <w:noProof/>
            <w:webHidden/>
          </w:rPr>
        </w:r>
        <w:r>
          <w:rPr>
            <w:noProof/>
            <w:webHidden/>
          </w:rPr>
          <w:fldChar w:fldCharType="separate"/>
        </w:r>
        <w:r w:rsidR="00F543B4">
          <w:rPr>
            <w:noProof/>
            <w:webHidden/>
          </w:rPr>
          <w:t>43</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29" w:history="1">
        <w:r w:rsidR="00B74546" w:rsidRPr="00EB6B0A">
          <w:rPr>
            <w:rStyle w:val="Hyperlink"/>
            <w:noProof/>
          </w:rPr>
          <w:t>Chemical exposure and control measure questions</w:t>
        </w:r>
        <w:r w:rsidR="00B74546">
          <w:rPr>
            <w:noProof/>
            <w:webHidden/>
          </w:rPr>
          <w:tab/>
        </w:r>
        <w:r>
          <w:rPr>
            <w:noProof/>
            <w:webHidden/>
          </w:rPr>
          <w:fldChar w:fldCharType="begin"/>
        </w:r>
        <w:r w:rsidR="00B74546">
          <w:rPr>
            <w:noProof/>
            <w:webHidden/>
          </w:rPr>
          <w:instrText xml:space="preserve"> PAGEREF _Toc312075729 \h </w:instrText>
        </w:r>
        <w:r>
          <w:rPr>
            <w:noProof/>
            <w:webHidden/>
          </w:rPr>
        </w:r>
        <w:r>
          <w:rPr>
            <w:noProof/>
            <w:webHidden/>
          </w:rPr>
          <w:fldChar w:fldCharType="separate"/>
        </w:r>
        <w:r w:rsidR="00F543B4">
          <w:rPr>
            <w:noProof/>
            <w:webHidden/>
          </w:rPr>
          <w:t>43</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30" w:history="1">
        <w:r w:rsidR="00B74546" w:rsidRPr="00EB6B0A">
          <w:rPr>
            <w:rStyle w:val="Hyperlink"/>
            <w:noProof/>
          </w:rPr>
          <w:t>Survey administration</w:t>
        </w:r>
        <w:r w:rsidR="00B74546">
          <w:rPr>
            <w:noProof/>
            <w:webHidden/>
          </w:rPr>
          <w:tab/>
        </w:r>
        <w:r>
          <w:rPr>
            <w:noProof/>
            <w:webHidden/>
          </w:rPr>
          <w:fldChar w:fldCharType="begin"/>
        </w:r>
        <w:r w:rsidR="00B74546">
          <w:rPr>
            <w:noProof/>
            <w:webHidden/>
          </w:rPr>
          <w:instrText xml:space="preserve"> PAGEREF _Toc312075730 \h </w:instrText>
        </w:r>
        <w:r>
          <w:rPr>
            <w:noProof/>
            <w:webHidden/>
          </w:rPr>
        </w:r>
        <w:r>
          <w:rPr>
            <w:noProof/>
            <w:webHidden/>
          </w:rPr>
          <w:fldChar w:fldCharType="separate"/>
        </w:r>
        <w:r w:rsidR="00F543B4">
          <w:rPr>
            <w:noProof/>
            <w:webHidden/>
          </w:rPr>
          <w:t>44</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31" w:history="1">
        <w:r w:rsidR="00B74546" w:rsidRPr="00EB6B0A">
          <w:rPr>
            <w:rStyle w:val="Hyperlink"/>
            <w:noProof/>
          </w:rPr>
          <w:t>Duration of exposure: On a typical day last week how long did you work with chemicals?</w:t>
        </w:r>
        <w:r w:rsidR="00B74546">
          <w:rPr>
            <w:noProof/>
            <w:webHidden/>
          </w:rPr>
          <w:tab/>
        </w:r>
        <w:r>
          <w:rPr>
            <w:noProof/>
            <w:webHidden/>
          </w:rPr>
          <w:fldChar w:fldCharType="begin"/>
        </w:r>
        <w:r w:rsidR="00B74546">
          <w:rPr>
            <w:noProof/>
            <w:webHidden/>
          </w:rPr>
          <w:instrText xml:space="preserve"> PAGEREF _Toc312075731 \h </w:instrText>
        </w:r>
        <w:r>
          <w:rPr>
            <w:noProof/>
            <w:webHidden/>
          </w:rPr>
        </w:r>
        <w:r>
          <w:rPr>
            <w:noProof/>
            <w:webHidden/>
          </w:rPr>
          <w:fldChar w:fldCharType="separate"/>
        </w:r>
        <w:r w:rsidR="00F543B4">
          <w:rPr>
            <w:noProof/>
            <w:webHidden/>
          </w:rPr>
          <w:t>45</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32" w:history="1">
        <w:r w:rsidR="00B74546" w:rsidRPr="00EB6B0A">
          <w:rPr>
            <w:rStyle w:val="Hyperlink"/>
            <w:noProof/>
          </w:rPr>
          <w:t>Classification of reported chemical exposures</w:t>
        </w:r>
        <w:r w:rsidR="00B74546">
          <w:rPr>
            <w:noProof/>
            <w:webHidden/>
          </w:rPr>
          <w:tab/>
        </w:r>
        <w:r>
          <w:rPr>
            <w:noProof/>
            <w:webHidden/>
          </w:rPr>
          <w:fldChar w:fldCharType="begin"/>
        </w:r>
        <w:r w:rsidR="00B74546">
          <w:rPr>
            <w:noProof/>
            <w:webHidden/>
          </w:rPr>
          <w:instrText xml:space="preserve"> PAGEREF _Toc312075732 \h </w:instrText>
        </w:r>
        <w:r>
          <w:rPr>
            <w:noProof/>
            <w:webHidden/>
          </w:rPr>
        </w:r>
        <w:r>
          <w:rPr>
            <w:noProof/>
            <w:webHidden/>
          </w:rPr>
          <w:fldChar w:fldCharType="separate"/>
        </w:r>
        <w:r w:rsidR="00F543B4">
          <w:rPr>
            <w:noProof/>
            <w:webHidden/>
          </w:rPr>
          <w:t>45</w:t>
        </w:r>
        <w:r>
          <w:rPr>
            <w:noProof/>
            <w:webHidden/>
          </w:rPr>
          <w:fldChar w:fldCharType="end"/>
        </w:r>
      </w:hyperlink>
    </w:p>
    <w:p w:rsidR="00B74546" w:rsidRDefault="00AB2546">
      <w:pPr>
        <w:pStyle w:val="TOC2"/>
        <w:tabs>
          <w:tab w:val="right" w:leader="dot" w:pos="8756"/>
        </w:tabs>
        <w:rPr>
          <w:rFonts w:asciiTheme="minorHAnsi" w:eastAsiaTheme="minorEastAsia" w:hAnsiTheme="minorHAnsi" w:cstheme="minorBidi"/>
          <w:noProof/>
          <w:szCs w:val="22"/>
          <w:lang w:eastAsia="en-AU"/>
        </w:rPr>
      </w:pPr>
      <w:hyperlink w:anchor="_Toc312075733" w:history="1">
        <w:r w:rsidR="00B74546" w:rsidRPr="00EB6B0A">
          <w:rPr>
            <w:rStyle w:val="Hyperlink"/>
            <w:noProof/>
          </w:rPr>
          <w:t>Statistical Analyses</w:t>
        </w:r>
        <w:r w:rsidR="00B74546">
          <w:rPr>
            <w:noProof/>
            <w:webHidden/>
          </w:rPr>
          <w:tab/>
        </w:r>
        <w:r>
          <w:rPr>
            <w:noProof/>
            <w:webHidden/>
          </w:rPr>
          <w:fldChar w:fldCharType="begin"/>
        </w:r>
        <w:r w:rsidR="00B74546">
          <w:rPr>
            <w:noProof/>
            <w:webHidden/>
          </w:rPr>
          <w:instrText xml:space="preserve"> PAGEREF _Toc312075733 \h </w:instrText>
        </w:r>
        <w:r>
          <w:rPr>
            <w:noProof/>
            <w:webHidden/>
          </w:rPr>
        </w:r>
        <w:r>
          <w:rPr>
            <w:noProof/>
            <w:webHidden/>
          </w:rPr>
          <w:fldChar w:fldCharType="separate"/>
        </w:r>
        <w:r w:rsidR="00F543B4">
          <w:rPr>
            <w:noProof/>
            <w:webHidden/>
          </w:rPr>
          <w:t>45</w:t>
        </w:r>
        <w:r>
          <w:rPr>
            <w:noProof/>
            <w:webHidden/>
          </w:rPr>
          <w:fldChar w:fldCharType="end"/>
        </w:r>
      </w:hyperlink>
    </w:p>
    <w:p w:rsidR="00B74546" w:rsidRDefault="00AB2546">
      <w:pPr>
        <w:pStyle w:val="TOC1"/>
        <w:tabs>
          <w:tab w:val="right" w:leader="dot" w:pos="8756"/>
        </w:tabs>
        <w:rPr>
          <w:rFonts w:asciiTheme="minorHAnsi" w:eastAsiaTheme="minorEastAsia" w:hAnsiTheme="minorHAnsi" w:cstheme="minorBidi"/>
          <w:noProof/>
          <w:szCs w:val="22"/>
          <w:lang w:eastAsia="en-AU"/>
        </w:rPr>
      </w:pPr>
      <w:hyperlink w:anchor="_Toc312075734" w:history="1">
        <w:r w:rsidR="00B74546" w:rsidRPr="00EB6B0A">
          <w:rPr>
            <w:rStyle w:val="Hyperlink"/>
            <w:noProof/>
          </w:rPr>
          <w:t>Appendix B. Results Tables</w:t>
        </w:r>
        <w:r w:rsidR="00B74546">
          <w:rPr>
            <w:noProof/>
            <w:webHidden/>
          </w:rPr>
          <w:tab/>
        </w:r>
        <w:r>
          <w:rPr>
            <w:noProof/>
            <w:webHidden/>
          </w:rPr>
          <w:fldChar w:fldCharType="begin"/>
        </w:r>
        <w:r w:rsidR="00B74546">
          <w:rPr>
            <w:noProof/>
            <w:webHidden/>
          </w:rPr>
          <w:instrText xml:space="preserve"> PAGEREF _Toc312075734 \h </w:instrText>
        </w:r>
        <w:r>
          <w:rPr>
            <w:noProof/>
            <w:webHidden/>
          </w:rPr>
        </w:r>
        <w:r>
          <w:rPr>
            <w:noProof/>
            <w:webHidden/>
          </w:rPr>
          <w:fldChar w:fldCharType="separate"/>
        </w:r>
        <w:r w:rsidR="00F543B4">
          <w:rPr>
            <w:noProof/>
            <w:webHidden/>
          </w:rPr>
          <w:t>47</w:t>
        </w:r>
        <w:r>
          <w:rPr>
            <w:noProof/>
            <w:webHidden/>
          </w:rPr>
          <w:fldChar w:fldCharType="end"/>
        </w:r>
      </w:hyperlink>
    </w:p>
    <w:p w:rsidR="00FA2943" w:rsidRPr="00356510" w:rsidRDefault="00AB2546" w:rsidP="0009489B">
      <w:pPr>
        <w:spacing w:after="0"/>
      </w:pPr>
      <w:r>
        <w:fldChar w:fldCharType="end"/>
      </w:r>
    </w:p>
    <w:p w:rsidR="0009489B" w:rsidRPr="00356510" w:rsidRDefault="0009489B" w:rsidP="0009489B">
      <w:pPr>
        <w:spacing w:after="0"/>
        <w:rPr>
          <w:rFonts w:ascii="Cambria" w:hAnsi="Cambria"/>
          <w:b/>
          <w:bCs/>
          <w:color w:val="365F91"/>
          <w:sz w:val="28"/>
          <w:szCs w:val="28"/>
        </w:rPr>
        <w:sectPr w:rsidR="0009489B" w:rsidRPr="00356510" w:rsidSect="007C515D">
          <w:footerReference w:type="default" r:id="rId9"/>
          <w:type w:val="nextColumn"/>
          <w:pgSz w:w="11907" w:h="16840" w:code="9"/>
          <w:pgMar w:top="1440" w:right="1440" w:bottom="1440" w:left="1440" w:header="709" w:footer="709" w:gutter="0"/>
          <w:pgNumType w:fmt="lowerRoman" w:start="1"/>
          <w:cols w:space="708"/>
          <w:titlePg/>
          <w:docGrid w:linePitch="360"/>
        </w:sectPr>
      </w:pPr>
    </w:p>
    <w:p w:rsidR="00FA2943" w:rsidRPr="00356510" w:rsidRDefault="00FA2943" w:rsidP="00FA2943">
      <w:pPr>
        <w:pStyle w:val="Heading1"/>
        <w:rPr>
          <w:rFonts w:cs="Arial"/>
          <w:szCs w:val="24"/>
        </w:rPr>
      </w:pPr>
      <w:bookmarkStart w:id="5" w:name="_Toc309808238"/>
      <w:bookmarkStart w:id="6" w:name="_Toc312075691"/>
      <w:bookmarkStart w:id="7" w:name="_Toc280100813"/>
      <w:bookmarkEnd w:id="4"/>
      <w:r w:rsidRPr="00356510">
        <w:rPr>
          <w:rFonts w:cs="Arial"/>
        </w:rPr>
        <w:lastRenderedPageBreak/>
        <w:t>Summary</w:t>
      </w:r>
      <w:bookmarkEnd w:id="5"/>
      <w:bookmarkEnd w:id="6"/>
      <w:r w:rsidR="003726E2" w:rsidRPr="00356510">
        <w:rPr>
          <w:rFonts w:cs="Arial"/>
        </w:rPr>
        <w:t xml:space="preserve"> </w:t>
      </w:r>
    </w:p>
    <w:p w:rsidR="00FA2943" w:rsidRPr="00356510" w:rsidRDefault="00FA2943" w:rsidP="00FA2943">
      <w:pPr>
        <w:tabs>
          <w:tab w:val="left" w:pos="5580"/>
        </w:tabs>
        <w:rPr>
          <w:rFonts w:cs="Arial"/>
          <w:szCs w:val="22"/>
        </w:rPr>
      </w:pPr>
      <w:r w:rsidRPr="00356510">
        <w:rPr>
          <w:rFonts w:cs="Arial"/>
          <w:szCs w:val="22"/>
        </w:rPr>
        <w:t>The purpose of the National Hazard Exposure Worker Surveillance (NHEWS) Survey was to inform the development of workplace exposure prevention and control initiatives that will ultimately lead to a reduction in occupational disease. Workers may be exposed to chemicals through inhalation, ingestion or dermal (skin) contact</w:t>
      </w:r>
      <w:r w:rsidR="001148DE" w:rsidRPr="00356510">
        <w:rPr>
          <w:rFonts w:cs="Arial"/>
          <w:szCs w:val="22"/>
        </w:rPr>
        <w:t xml:space="preserve">. </w:t>
      </w:r>
    </w:p>
    <w:p w:rsidR="00FA2943" w:rsidRPr="00356510" w:rsidRDefault="00FA2943" w:rsidP="00FA2943">
      <w:pPr>
        <w:rPr>
          <w:rFonts w:cs="Arial"/>
          <w:szCs w:val="22"/>
        </w:rPr>
      </w:pPr>
      <w:r w:rsidRPr="00356510">
        <w:rPr>
          <w:rFonts w:cs="Arial"/>
          <w:szCs w:val="22"/>
        </w:rPr>
        <w:t xml:space="preserve">This report provides a profile of the occupational and demographic characteristics of workers who reported </w:t>
      </w:r>
      <w:r w:rsidR="007E6AF2" w:rsidRPr="00356510">
        <w:rPr>
          <w:rFonts w:cs="Arial"/>
          <w:szCs w:val="22"/>
        </w:rPr>
        <w:t xml:space="preserve">dermal (or </w:t>
      </w:r>
      <w:r w:rsidRPr="00356510">
        <w:rPr>
          <w:rFonts w:cs="Arial"/>
          <w:szCs w:val="22"/>
        </w:rPr>
        <w:t>skin</w:t>
      </w:r>
      <w:r w:rsidR="007E6AF2" w:rsidRPr="00356510">
        <w:rPr>
          <w:rFonts w:cs="Arial"/>
          <w:szCs w:val="22"/>
        </w:rPr>
        <w:t>)</w:t>
      </w:r>
      <w:r w:rsidRPr="00356510">
        <w:rPr>
          <w:rFonts w:cs="Arial"/>
          <w:szCs w:val="22"/>
        </w:rPr>
        <w:t xml:space="preserve"> exposure to chemicals at work, as well as the types of controls with which respondents reported </w:t>
      </w:r>
      <w:r w:rsidR="00F10888" w:rsidRPr="00356510">
        <w:rPr>
          <w:rFonts w:cs="Arial"/>
          <w:szCs w:val="22"/>
        </w:rPr>
        <w:t xml:space="preserve">they </w:t>
      </w:r>
      <w:r w:rsidRPr="00356510">
        <w:rPr>
          <w:rFonts w:cs="Arial"/>
          <w:szCs w:val="22"/>
        </w:rPr>
        <w:t xml:space="preserve">were provided in the workplace. These analyses enable </w:t>
      </w:r>
      <w:r w:rsidR="001C763C" w:rsidRPr="00356510">
        <w:rPr>
          <w:rFonts w:cs="Arial"/>
          <w:szCs w:val="22"/>
        </w:rPr>
        <w:t xml:space="preserve">the </w:t>
      </w:r>
      <w:r w:rsidRPr="00356510">
        <w:rPr>
          <w:rFonts w:cs="Arial"/>
          <w:szCs w:val="22"/>
        </w:rPr>
        <w:t xml:space="preserve">identification of groups of workers at risk of high </w:t>
      </w:r>
      <w:r w:rsidR="007E6AF2" w:rsidRPr="00356510">
        <w:rPr>
          <w:rFonts w:cs="Arial"/>
          <w:szCs w:val="22"/>
        </w:rPr>
        <w:t xml:space="preserve">dermal </w:t>
      </w:r>
      <w:r w:rsidRPr="00356510">
        <w:rPr>
          <w:rFonts w:cs="Arial"/>
          <w:szCs w:val="22"/>
        </w:rPr>
        <w:t xml:space="preserve">exposure and the extent to which appropriate exposure mitigation measures are present in the workplace. This information will </w:t>
      </w:r>
      <w:r w:rsidR="001C763C" w:rsidRPr="00356510">
        <w:rPr>
          <w:rFonts w:cs="Arial"/>
          <w:szCs w:val="22"/>
        </w:rPr>
        <w:t>contribute to</w:t>
      </w:r>
      <w:r w:rsidRPr="00356510">
        <w:rPr>
          <w:rFonts w:cs="Arial"/>
          <w:szCs w:val="22"/>
        </w:rPr>
        <w:t xml:space="preserve"> the development of appropriately targeted </w:t>
      </w:r>
      <w:r w:rsidR="00366934">
        <w:rPr>
          <w:rFonts w:cs="Arial"/>
          <w:szCs w:val="22"/>
        </w:rPr>
        <w:t>work</w:t>
      </w:r>
      <w:r w:rsidRPr="00356510">
        <w:rPr>
          <w:rFonts w:cs="Arial"/>
          <w:szCs w:val="22"/>
        </w:rPr>
        <w:t xml:space="preserve"> health and safety policy and practice interventions. </w:t>
      </w:r>
      <w:r w:rsidR="00F10888" w:rsidRPr="00356510">
        <w:rPr>
          <w:rFonts w:cs="Arial"/>
          <w:szCs w:val="22"/>
        </w:rPr>
        <w:t>T</w:t>
      </w:r>
      <w:r w:rsidRPr="00356510">
        <w:rPr>
          <w:rFonts w:cs="Arial"/>
          <w:szCs w:val="22"/>
        </w:rPr>
        <w:t>hese initiatives</w:t>
      </w:r>
      <w:r w:rsidR="00A252B0" w:rsidRPr="00356510">
        <w:rPr>
          <w:rFonts w:cs="Arial"/>
          <w:szCs w:val="22"/>
        </w:rPr>
        <w:t xml:space="preserve"> might</w:t>
      </w:r>
      <w:r w:rsidRPr="00356510">
        <w:rPr>
          <w:rFonts w:cs="Arial"/>
          <w:szCs w:val="22"/>
        </w:rPr>
        <w:t xml:space="preserve"> ultimately lead to a reduction in occupational contact dermatitis. </w:t>
      </w:r>
    </w:p>
    <w:p w:rsidR="00FA2943" w:rsidRPr="00356510" w:rsidRDefault="00356510" w:rsidP="00A001EE">
      <w:pPr>
        <w:spacing w:after="60"/>
        <w:rPr>
          <w:b/>
          <w:sz w:val="24"/>
        </w:rPr>
      </w:pPr>
      <w:bookmarkStart w:id="8" w:name="_Toc309808239"/>
      <w:r>
        <w:rPr>
          <w:b/>
          <w:sz w:val="24"/>
        </w:rPr>
        <w:t>Sampling m</w:t>
      </w:r>
      <w:r w:rsidR="00FA2943" w:rsidRPr="00356510">
        <w:rPr>
          <w:b/>
          <w:sz w:val="24"/>
        </w:rPr>
        <w:t>ethodolog</w:t>
      </w:r>
      <w:r>
        <w:rPr>
          <w:b/>
          <w:sz w:val="24"/>
        </w:rPr>
        <w:t>y</w:t>
      </w:r>
      <w:r w:rsidR="00FA2943" w:rsidRPr="00356510">
        <w:rPr>
          <w:b/>
          <w:sz w:val="24"/>
        </w:rPr>
        <w:t xml:space="preserve"> and research limitations</w:t>
      </w:r>
      <w:bookmarkEnd w:id="8"/>
    </w:p>
    <w:p w:rsidR="00FA2943" w:rsidRPr="00356510" w:rsidRDefault="00FA2943" w:rsidP="00FA2943">
      <w:pPr>
        <w:rPr>
          <w:rFonts w:cs="Arial"/>
          <w:szCs w:val="22"/>
        </w:rPr>
      </w:pPr>
      <w:r w:rsidRPr="00356510">
        <w:rPr>
          <w:rFonts w:cs="Arial"/>
          <w:szCs w:val="22"/>
        </w:rPr>
        <w:t xml:space="preserve">Information was collected by the NHEWS survey in 2008 across all major industry groups, although the sampling strategy focused particularly on five </w:t>
      </w:r>
      <w:r w:rsidR="0066783F">
        <w:rPr>
          <w:rFonts w:cs="Arial"/>
          <w:szCs w:val="22"/>
        </w:rPr>
        <w:t>n</w:t>
      </w:r>
      <w:r w:rsidRPr="00356510">
        <w:rPr>
          <w:rFonts w:cs="Arial"/>
          <w:szCs w:val="22"/>
        </w:rPr>
        <w:t xml:space="preserve">ational </w:t>
      </w:r>
      <w:r w:rsidR="0066783F">
        <w:rPr>
          <w:rFonts w:cs="Arial"/>
          <w:szCs w:val="22"/>
        </w:rPr>
        <w:t>p</w:t>
      </w:r>
      <w:r w:rsidRPr="00356510">
        <w:rPr>
          <w:rFonts w:cs="Arial"/>
          <w:szCs w:val="22"/>
        </w:rPr>
        <w:t xml:space="preserve">riority </w:t>
      </w:r>
      <w:r w:rsidR="00A001EE" w:rsidRPr="00356510">
        <w:rPr>
          <w:rFonts w:cs="Arial"/>
          <w:szCs w:val="22"/>
        </w:rPr>
        <w:t>i</w:t>
      </w:r>
      <w:r w:rsidRPr="00356510">
        <w:rPr>
          <w:rFonts w:cs="Arial"/>
          <w:szCs w:val="22"/>
        </w:rPr>
        <w:t>ndustry groups: Manufacturing</w:t>
      </w:r>
      <w:r w:rsidR="00930F20">
        <w:rPr>
          <w:rFonts w:cs="Arial"/>
          <w:szCs w:val="22"/>
        </w:rPr>
        <w:t>;</w:t>
      </w:r>
      <w:r w:rsidRPr="00356510">
        <w:rPr>
          <w:rFonts w:cs="Arial"/>
          <w:szCs w:val="22"/>
        </w:rPr>
        <w:t xml:space="preserve"> Construction</w:t>
      </w:r>
      <w:r w:rsidR="00930F20">
        <w:rPr>
          <w:rFonts w:cs="Arial"/>
          <w:szCs w:val="22"/>
        </w:rPr>
        <w:t>;</w:t>
      </w:r>
      <w:r w:rsidRPr="00356510">
        <w:rPr>
          <w:rFonts w:cs="Arial"/>
          <w:szCs w:val="22"/>
        </w:rPr>
        <w:t xml:space="preserve"> Agriculture, forestry and fishing</w:t>
      </w:r>
      <w:r w:rsidR="00930F20">
        <w:rPr>
          <w:rFonts w:cs="Arial"/>
          <w:szCs w:val="22"/>
        </w:rPr>
        <w:t>;</w:t>
      </w:r>
      <w:r w:rsidRPr="00356510">
        <w:rPr>
          <w:rFonts w:cs="Arial"/>
          <w:szCs w:val="22"/>
        </w:rPr>
        <w:t xml:space="preserve"> Transport and storage</w:t>
      </w:r>
      <w:r w:rsidR="00930F20">
        <w:rPr>
          <w:rFonts w:cs="Arial"/>
          <w:szCs w:val="22"/>
        </w:rPr>
        <w:t>;</w:t>
      </w:r>
      <w:r w:rsidRPr="00356510">
        <w:rPr>
          <w:rFonts w:cs="Arial"/>
          <w:szCs w:val="22"/>
        </w:rPr>
        <w:t xml:space="preserve"> and Health and community services. The sampling strategy was such that workers in the five priority industries were over-sampled relative to their true population distribution. Workers in a number of the industry groups </w:t>
      </w:r>
      <w:r w:rsidR="00A252B0" w:rsidRPr="00356510">
        <w:rPr>
          <w:rFonts w:cs="Arial"/>
          <w:szCs w:val="22"/>
        </w:rPr>
        <w:t>other t</w:t>
      </w:r>
      <w:r w:rsidR="00A001EE" w:rsidRPr="00356510">
        <w:rPr>
          <w:rFonts w:cs="Arial"/>
          <w:szCs w:val="22"/>
        </w:rPr>
        <w:t xml:space="preserve">han the non-priority industries, </w:t>
      </w:r>
      <w:r w:rsidRPr="00356510">
        <w:rPr>
          <w:rFonts w:cs="Arial"/>
          <w:szCs w:val="22"/>
        </w:rPr>
        <w:t>such as Accommodation, cafes and restaurants</w:t>
      </w:r>
      <w:r w:rsidR="00A001EE" w:rsidRPr="00356510">
        <w:rPr>
          <w:rFonts w:cs="Arial"/>
          <w:szCs w:val="22"/>
        </w:rPr>
        <w:t>,</w:t>
      </w:r>
      <w:r w:rsidRPr="00356510">
        <w:rPr>
          <w:rFonts w:cs="Arial"/>
          <w:szCs w:val="22"/>
        </w:rPr>
        <w:t xml:space="preserve"> are known to be at high risk of </w:t>
      </w:r>
      <w:r w:rsidR="007E6AF2" w:rsidRPr="00356510">
        <w:rPr>
          <w:rFonts w:cs="Arial"/>
          <w:szCs w:val="22"/>
        </w:rPr>
        <w:t xml:space="preserve">dermal </w:t>
      </w:r>
      <w:r w:rsidRPr="00356510">
        <w:rPr>
          <w:rFonts w:cs="Arial"/>
          <w:szCs w:val="22"/>
        </w:rPr>
        <w:t xml:space="preserve">exposure to chemicals </w:t>
      </w:r>
      <w:r w:rsidR="00A001EE" w:rsidRPr="00356510">
        <w:rPr>
          <w:rFonts w:cs="Arial"/>
          <w:szCs w:val="22"/>
        </w:rPr>
        <w:t>including detergents and bleaches</w:t>
      </w:r>
      <w:r w:rsidRPr="00356510">
        <w:rPr>
          <w:rFonts w:cs="Arial"/>
          <w:szCs w:val="22"/>
        </w:rPr>
        <w:t xml:space="preserve">. Therefore this report includes all of the industry groups. </w:t>
      </w:r>
    </w:p>
    <w:p w:rsidR="00FA2943" w:rsidRPr="00356510" w:rsidRDefault="00FA2943" w:rsidP="00FA2943">
      <w:pPr>
        <w:rPr>
          <w:rFonts w:cs="Arial"/>
          <w:szCs w:val="22"/>
        </w:rPr>
      </w:pPr>
      <w:r w:rsidRPr="00356510">
        <w:rPr>
          <w:rFonts w:cs="Arial"/>
          <w:szCs w:val="22"/>
        </w:rPr>
        <w:t xml:space="preserve">Based on the limitations of the study sample it is important to note that the NHEWS survey cannot be considered to be representative of the Australian population. This means that </w:t>
      </w:r>
      <w:r w:rsidR="00A001EE" w:rsidRPr="00356510">
        <w:rPr>
          <w:rFonts w:cs="Arial"/>
          <w:szCs w:val="22"/>
        </w:rPr>
        <w:t xml:space="preserve">the </w:t>
      </w:r>
      <w:r w:rsidRPr="00356510">
        <w:rPr>
          <w:rFonts w:cs="Arial"/>
          <w:szCs w:val="22"/>
        </w:rPr>
        <w:t>overall generalisability to the Australian working population is limited</w:t>
      </w:r>
      <w:r w:rsidR="00571A69" w:rsidRPr="00356510">
        <w:rPr>
          <w:rFonts w:cs="Arial"/>
          <w:szCs w:val="22"/>
        </w:rPr>
        <w:t>.</w:t>
      </w:r>
      <w:r w:rsidRPr="00356510">
        <w:rPr>
          <w:rFonts w:cs="Arial"/>
          <w:szCs w:val="22"/>
        </w:rPr>
        <w:t xml:space="preserve"> Another important consideration with the NHEWS survey is that the described exposure data is self-reported and may be affected by </w:t>
      </w:r>
      <w:r w:rsidR="00A252B0" w:rsidRPr="00356510">
        <w:rPr>
          <w:rFonts w:cs="Arial"/>
          <w:szCs w:val="22"/>
        </w:rPr>
        <w:t xml:space="preserve">bias arising from inaccurate recall and reporting of </w:t>
      </w:r>
      <w:r w:rsidR="007E6AF2" w:rsidRPr="00356510">
        <w:rPr>
          <w:rFonts w:cs="Arial"/>
          <w:szCs w:val="22"/>
        </w:rPr>
        <w:t xml:space="preserve">dermal </w:t>
      </w:r>
      <w:r w:rsidR="00A252B0" w:rsidRPr="00356510">
        <w:rPr>
          <w:rFonts w:cs="Arial"/>
          <w:szCs w:val="22"/>
        </w:rPr>
        <w:t xml:space="preserve">exposure </w:t>
      </w:r>
      <w:r w:rsidRPr="00356510">
        <w:rPr>
          <w:rFonts w:cs="Arial"/>
          <w:szCs w:val="22"/>
        </w:rPr>
        <w:t xml:space="preserve">of the individual study participants. This bias may vary with different chemical exposures, industries and worker characteristics (such as education level, seniority or area of expertise). For example, more senior workers, workers with highly specialised training or workers in sectors with </w:t>
      </w:r>
      <w:r w:rsidR="00571A69" w:rsidRPr="00356510">
        <w:rPr>
          <w:rFonts w:cs="Arial"/>
          <w:szCs w:val="22"/>
        </w:rPr>
        <w:t>particular</w:t>
      </w:r>
      <w:r w:rsidRPr="00356510">
        <w:rPr>
          <w:rFonts w:cs="Arial"/>
          <w:szCs w:val="22"/>
        </w:rPr>
        <w:t xml:space="preserve"> </w:t>
      </w:r>
      <w:r w:rsidR="007E6AF2" w:rsidRPr="00356510">
        <w:rPr>
          <w:rFonts w:cs="Arial"/>
          <w:szCs w:val="22"/>
        </w:rPr>
        <w:t>dermal exposures</w:t>
      </w:r>
      <w:r w:rsidRPr="00356510">
        <w:rPr>
          <w:rFonts w:cs="Arial"/>
          <w:szCs w:val="22"/>
        </w:rPr>
        <w:t xml:space="preserve"> may tend to report more accurately</w:t>
      </w:r>
      <w:r w:rsidR="001148DE" w:rsidRPr="00356510">
        <w:rPr>
          <w:rFonts w:cs="Arial"/>
          <w:szCs w:val="22"/>
        </w:rPr>
        <w:t xml:space="preserve">. </w:t>
      </w:r>
      <w:r w:rsidRPr="00356510">
        <w:rPr>
          <w:rFonts w:cs="Arial"/>
          <w:szCs w:val="22"/>
        </w:rPr>
        <w:t>Also, workers may be expected to report more accurately on exposures which are most obvious to them</w:t>
      </w:r>
      <w:r w:rsidR="00A001EE" w:rsidRPr="00356510">
        <w:rPr>
          <w:rFonts w:cs="Arial"/>
          <w:szCs w:val="22"/>
        </w:rPr>
        <w:t xml:space="preserve"> rather</w:t>
      </w:r>
      <w:r w:rsidRPr="00356510">
        <w:rPr>
          <w:rFonts w:cs="Arial"/>
          <w:szCs w:val="22"/>
        </w:rPr>
        <w:t xml:space="preserve"> than more cryptic exposures or exposures more peripheral to the central tasks of their job. It was outside the scope of the NHEWS survey to perform objective </w:t>
      </w:r>
      <w:r w:rsidR="007E6AF2" w:rsidRPr="00356510">
        <w:rPr>
          <w:rFonts w:cs="Arial"/>
          <w:szCs w:val="22"/>
        </w:rPr>
        <w:t xml:space="preserve">dermal </w:t>
      </w:r>
      <w:r w:rsidRPr="00356510">
        <w:rPr>
          <w:rFonts w:cs="Arial"/>
          <w:szCs w:val="22"/>
        </w:rPr>
        <w:t xml:space="preserve">exposure assessment. </w:t>
      </w:r>
    </w:p>
    <w:p w:rsidR="00FA2943" w:rsidRPr="00356510" w:rsidRDefault="00FA2943" w:rsidP="00A001EE">
      <w:pPr>
        <w:rPr>
          <w:b/>
          <w:sz w:val="28"/>
          <w:szCs w:val="28"/>
        </w:rPr>
      </w:pPr>
      <w:bookmarkStart w:id="9" w:name="_Toc280100810"/>
      <w:bookmarkStart w:id="10" w:name="_Toc309808240"/>
      <w:r w:rsidRPr="00356510">
        <w:rPr>
          <w:b/>
          <w:sz w:val="28"/>
          <w:szCs w:val="28"/>
        </w:rPr>
        <w:t>Main findings</w:t>
      </w:r>
      <w:bookmarkEnd w:id="9"/>
      <w:bookmarkEnd w:id="10"/>
    </w:p>
    <w:p w:rsidR="00FA2943" w:rsidRPr="00356510" w:rsidRDefault="00FA2943" w:rsidP="00A001EE">
      <w:pPr>
        <w:spacing w:after="60"/>
        <w:rPr>
          <w:b/>
          <w:sz w:val="24"/>
        </w:rPr>
      </w:pPr>
      <w:r w:rsidRPr="00356510">
        <w:rPr>
          <w:b/>
          <w:sz w:val="24"/>
        </w:rPr>
        <w:t>Reported chemical exposures</w:t>
      </w:r>
    </w:p>
    <w:p w:rsidR="00FA2943" w:rsidRPr="00356510" w:rsidRDefault="00FA2943" w:rsidP="00FA2943">
      <w:pPr>
        <w:rPr>
          <w:rFonts w:cs="Arial"/>
          <w:szCs w:val="22"/>
        </w:rPr>
      </w:pPr>
      <w:r w:rsidRPr="00356510">
        <w:rPr>
          <w:rFonts w:cs="Arial"/>
          <w:szCs w:val="22"/>
        </w:rPr>
        <w:t xml:space="preserve">Overall 37% </w:t>
      </w:r>
      <w:r w:rsidRPr="00356510">
        <w:rPr>
          <w:rFonts w:cs="Arial"/>
        </w:rPr>
        <w:t>(95% Confidence Interval [95% CI]: 36</w:t>
      </w:r>
      <w:r w:rsidR="00865E8C" w:rsidRPr="00356510">
        <w:rPr>
          <w:rFonts w:cs="Arial"/>
        </w:rPr>
        <w:t xml:space="preserve"> </w:t>
      </w:r>
      <w:r w:rsidRPr="00356510">
        <w:rPr>
          <w:rFonts w:cs="Arial"/>
        </w:rPr>
        <w:t>- 39%) of workers who participated in the NHEWS survey reported that they had skin contact with chemicals at work in the week preceding the survey.</w:t>
      </w:r>
      <w:r w:rsidRPr="00356510">
        <w:rPr>
          <w:rFonts w:cs="Arial"/>
          <w:szCs w:val="22"/>
        </w:rPr>
        <w:t xml:space="preserve"> A higher percentage of males reported </w:t>
      </w:r>
      <w:r w:rsidR="007E6AF2" w:rsidRPr="00356510">
        <w:rPr>
          <w:rFonts w:cs="Arial"/>
          <w:szCs w:val="22"/>
        </w:rPr>
        <w:t xml:space="preserve">dermal </w:t>
      </w:r>
      <w:r w:rsidRPr="00356510">
        <w:rPr>
          <w:rFonts w:cs="Arial"/>
          <w:szCs w:val="22"/>
        </w:rPr>
        <w:t xml:space="preserve">chemical exposure than females. </w:t>
      </w:r>
    </w:p>
    <w:p w:rsidR="00FA2943" w:rsidRPr="00356510" w:rsidRDefault="00FA2943" w:rsidP="00FA2943">
      <w:pPr>
        <w:rPr>
          <w:rFonts w:cs="Arial"/>
          <w:szCs w:val="22"/>
        </w:rPr>
      </w:pPr>
      <w:r w:rsidRPr="00356510">
        <w:rPr>
          <w:rFonts w:cs="Arial"/>
          <w:szCs w:val="22"/>
        </w:rPr>
        <w:t xml:space="preserve">When the chemicals nominated by the NHEWS respondents were systematically classified, the most commonly reported chemical classes were </w:t>
      </w:r>
      <w:r w:rsidR="00095CDE" w:rsidRPr="00356510">
        <w:rPr>
          <w:rFonts w:cs="Arial"/>
          <w:i/>
          <w:szCs w:val="22"/>
        </w:rPr>
        <w:t>Detergents</w:t>
      </w:r>
      <w:r w:rsidRPr="00356510">
        <w:rPr>
          <w:rFonts w:cs="Arial"/>
          <w:szCs w:val="22"/>
        </w:rPr>
        <w:t xml:space="preserve">, </w:t>
      </w:r>
      <w:r w:rsidR="003517A5" w:rsidRPr="00356510">
        <w:rPr>
          <w:rFonts w:cs="Arial"/>
          <w:i/>
          <w:szCs w:val="22"/>
        </w:rPr>
        <w:t>Organic solvents</w:t>
      </w:r>
      <w:r w:rsidRPr="00356510">
        <w:rPr>
          <w:rFonts w:cs="Arial"/>
          <w:szCs w:val="22"/>
        </w:rPr>
        <w:t xml:space="preserve">, </w:t>
      </w:r>
      <w:r w:rsidR="00BE65F8" w:rsidRPr="00356510">
        <w:rPr>
          <w:rFonts w:cs="Arial"/>
          <w:i/>
          <w:szCs w:val="22"/>
        </w:rPr>
        <w:t>Disinfectants</w:t>
      </w:r>
      <w:r w:rsidRPr="00356510">
        <w:rPr>
          <w:rFonts w:cs="Arial"/>
          <w:szCs w:val="22"/>
        </w:rPr>
        <w:t xml:space="preserve">, </w:t>
      </w:r>
      <w:r w:rsidR="00095CDE" w:rsidRPr="00356510">
        <w:rPr>
          <w:rFonts w:cs="Arial"/>
          <w:i/>
          <w:szCs w:val="22"/>
        </w:rPr>
        <w:t>Bases and alkalis</w:t>
      </w:r>
      <w:r w:rsidRPr="00356510">
        <w:rPr>
          <w:rFonts w:cs="Arial"/>
          <w:szCs w:val="22"/>
        </w:rPr>
        <w:t xml:space="preserve">, </w:t>
      </w:r>
      <w:r w:rsidR="003517A5" w:rsidRPr="00356510">
        <w:rPr>
          <w:rFonts w:cs="Arial"/>
          <w:i/>
          <w:szCs w:val="22"/>
        </w:rPr>
        <w:t>Paints, varnishes and inks</w:t>
      </w:r>
      <w:r w:rsidRPr="00356510">
        <w:rPr>
          <w:rFonts w:cs="Arial"/>
          <w:szCs w:val="22"/>
        </w:rPr>
        <w:t xml:space="preserve">, </w:t>
      </w:r>
      <w:r w:rsidR="00610AAC" w:rsidRPr="00356510">
        <w:rPr>
          <w:rFonts w:cs="Arial"/>
          <w:i/>
          <w:szCs w:val="22"/>
        </w:rPr>
        <w:t>Cement and lime</w:t>
      </w:r>
      <w:r w:rsidRPr="00356510">
        <w:rPr>
          <w:rFonts w:cs="Arial"/>
          <w:szCs w:val="22"/>
        </w:rPr>
        <w:t xml:space="preserve"> and </w:t>
      </w:r>
      <w:r w:rsidR="003517A5" w:rsidRPr="00356510">
        <w:rPr>
          <w:rFonts w:cs="Arial"/>
          <w:i/>
          <w:szCs w:val="22"/>
        </w:rPr>
        <w:t>Non-bituminous hydrocarbon fuels</w:t>
      </w:r>
      <w:r w:rsidRPr="00356510">
        <w:rPr>
          <w:rFonts w:cs="Arial"/>
          <w:szCs w:val="22"/>
        </w:rPr>
        <w:t>.</w:t>
      </w:r>
    </w:p>
    <w:p w:rsidR="00FA2943" w:rsidRPr="00356510" w:rsidRDefault="00FA2943" w:rsidP="00FA2943">
      <w:pPr>
        <w:rPr>
          <w:rFonts w:cs="Arial"/>
          <w:szCs w:val="22"/>
        </w:rPr>
      </w:pPr>
      <w:r w:rsidRPr="00356510">
        <w:rPr>
          <w:rFonts w:cs="Arial"/>
          <w:szCs w:val="22"/>
        </w:rPr>
        <w:t xml:space="preserve">There were a number of factors that were associated with a higher risk of </w:t>
      </w:r>
      <w:r w:rsidR="007E6AF2" w:rsidRPr="00356510">
        <w:rPr>
          <w:rFonts w:cs="Arial"/>
          <w:szCs w:val="22"/>
        </w:rPr>
        <w:t xml:space="preserve">dermal </w:t>
      </w:r>
      <w:r w:rsidRPr="00356510">
        <w:rPr>
          <w:rFonts w:cs="Arial"/>
          <w:szCs w:val="22"/>
        </w:rPr>
        <w:t>exposure to the seven most commonly reported classes of chemicals:</w:t>
      </w:r>
    </w:p>
    <w:p w:rsidR="00FA2943" w:rsidRPr="00356510" w:rsidRDefault="00FA2943" w:rsidP="00A001EE">
      <w:pPr>
        <w:numPr>
          <w:ilvl w:val="0"/>
          <w:numId w:val="15"/>
        </w:numPr>
        <w:ind w:left="567" w:hanging="567"/>
        <w:rPr>
          <w:rFonts w:cs="Arial"/>
          <w:szCs w:val="22"/>
        </w:rPr>
      </w:pPr>
      <w:r w:rsidRPr="00356510">
        <w:rPr>
          <w:rFonts w:cs="Arial"/>
          <w:szCs w:val="22"/>
        </w:rPr>
        <w:lastRenderedPageBreak/>
        <w:t xml:space="preserve">Gender - female workers were more likely than male workers to report </w:t>
      </w:r>
      <w:r w:rsidR="007E6AF2" w:rsidRPr="00356510">
        <w:rPr>
          <w:rFonts w:cs="Arial"/>
          <w:szCs w:val="22"/>
        </w:rPr>
        <w:t xml:space="preserve">dermal </w:t>
      </w:r>
      <w:r w:rsidRPr="00356510">
        <w:rPr>
          <w:rFonts w:cs="Arial"/>
          <w:szCs w:val="22"/>
        </w:rPr>
        <w:t xml:space="preserve">exposure to </w:t>
      </w:r>
      <w:r w:rsidR="00095CDE" w:rsidRPr="00356510">
        <w:rPr>
          <w:rFonts w:cs="Arial"/>
          <w:i/>
          <w:szCs w:val="22"/>
        </w:rPr>
        <w:t>Bases and alkalis</w:t>
      </w:r>
      <w:r w:rsidRPr="00356510">
        <w:rPr>
          <w:rFonts w:cs="Arial"/>
          <w:szCs w:val="22"/>
        </w:rPr>
        <w:t xml:space="preserve">, </w:t>
      </w:r>
      <w:r w:rsidR="00095CDE" w:rsidRPr="00356510">
        <w:rPr>
          <w:rFonts w:cs="Arial"/>
          <w:i/>
          <w:szCs w:val="22"/>
        </w:rPr>
        <w:t>Detergents</w:t>
      </w:r>
      <w:r w:rsidRPr="00356510">
        <w:rPr>
          <w:rFonts w:cs="Arial"/>
          <w:szCs w:val="22"/>
        </w:rPr>
        <w:t xml:space="preserve"> and </w:t>
      </w:r>
      <w:r w:rsidR="00BE65F8" w:rsidRPr="00356510">
        <w:rPr>
          <w:rFonts w:cs="Arial"/>
          <w:i/>
          <w:szCs w:val="22"/>
        </w:rPr>
        <w:t>Disinfectants</w:t>
      </w:r>
      <w:r w:rsidRPr="00356510">
        <w:rPr>
          <w:rFonts w:cs="Arial"/>
          <w:szCs w:val="22"/>
        </w:rPr>
        <w:t xml:space="preserve">. Males were more likely to report </w:t>
      </w:r>
      <w:r w:rsidR="003517A5" w:rsidRPr="00356510">
        <w:rPr>
          <w:rFonts w:cs="Arial"/>
          <w:i/>
          <w:szCs w:val="22"/>
        </w:rPr>
        <w:t>Non-bituminous hydrocarbon fuels</w:t>
      </w:r>
      <w:r w:rsidRPr="00356510">
        <w:rPr>
          <w:rFonts w:cs="Arial"/>
          <w:szCs w:val="22"/>
        </w:rPr>
        <w:t xml:space="preserve">, </w:t>
      </w:r>
      <w:r w:rsidR="003517A5" w:rsidRPr="00356510">
        <w:rPr>
          <w:rFonts w:cs="Arial"/>
          <w:i/>
          <w:szCs w:val="22"/>
        </w:rPr>
        <w:t>Paints, varnishes and inks</w:t>
      </w:r>
      <w:r w:rsidRPr="00356510">
        <w:rPr>
          <w:rFonts w:cs="Arial"/>
          <w:szCs w:val="22"/>
        </w:rPr>
        <w:t xml:space="preserve">, and </w:t>
      </w:r>
      <w:r w:rsidR="00610AAC" w:rsidRPr="00356510">
        <w:rPr>
          <w:rFonts w:cs="Arial"/>
          <w:i/>
          <w:szCs w:val="22"/>
        </w:rPr>
        <w:t>Cement and lime</w:t>
      </w:r>
      <w:r w:rsidRPr="00356510">
        <w:rPr>
          <w:rFonts w:cs="Arial"/>
          <w:szCs w:val="22"/>
        </w:rPr>
        <w:t xml:space="preserve">. There was no difference between males and females for exposure to </w:t>
      </w:r>
      <w:r w:rsidR="003517A5" w:rsidRPr="00356510">
        <w:rPr>
          <w:rFonts w:cs="Arial"/>
          <w:i/>
          <w:szCs w:val="22"/>
        </w:rPr>
        <w:t>Organic solvents</w:t>
      </w:r>
      <w:r w:rsidRPr="00356510">
        <w:rPr>
          <w:rFonts w:cs="Arial"/>
          <w:szCs w:val="22"/>
        </w:rPr>
        <w:t>, however there may have been differences by the types of solvents, for example alcohol hand rubs were predominantly reported by workers in the Health and community services industry, an industry which has a large proportion of female workers.</w:t>
      </w:r>
    </w:p>
    <w:p w:rsidR="00FA2943" w:rsidRPr="00356510" w:rsidRDefault="00FA2943" w:rsidP="00A001EE">
      <w:pPr>
        <w:numPr>
          <w:ilvl w:val="0"/>
          <w:numId w:val="9"/>
        </w:numPr>
        <w:ind w:left="567" w:hanging="567"/>
        <w:rPr>
          <w:rFonts w:cs="Arial"/>
          <w:szCs w:val="22"/>
        </w:rPr>
      </w:pPr>
      <w:r w:rsidRPr="00356510">
        <w:rPr>
          <w:rFonts w:cs="Arial"/>
          <w:szCs w:val="22"/>
        </w:rPr>
        <w:t xml:space="preserve">Age - workers in the youngest age group were more likely to be exposed to </w:t>
      </w:r>
      <w:r w:rsidR="00095CDE" w:rsidRPr="00356510">
        <w:rPr>
          <w:rFonts w:cs="Arial"/>
          <w:i/>
          <w:szCs w:val="22"/>
        </w:rPr>
        <w:t>Detergents</w:t>
      </w:r>
      <w:r w:rsidRPr="00356510">
        <w:rPr>
          <w:rFonts w:cs="Arial"/>
          <w:szCs w:val="22"/>
        </w:rPr>
        <w:t xml:space="preserve"> than workers in any other age group. Workers in the 25-34 and the 35-44 year old age groups were less likely to be exposed to </w:t>
      </w:r>
      <w:r w:rsidR="00BE65F8" w:rsidRPr="00356510">
        <w:rPr>
          <w:rFonts w:cs="Arial"/>
          <w:i/>
          <w:szCs w:val="22"/>
        </w:rPr>
        <w:t>Disinfectants</w:t>
      </w:r>
      <w:r w:rsidRPr="00356510">
        <w:rPr>
          <w:rFonts w:cs="Arial"/>
          <w:szCs w:val="22"/>
        </w:rPr>
        <w:t xml:space="preserve"> compared to the youngest age group.</w:t>
      </w:r>
    </w:p>
    <w:p w:rsidR="00FA2943" w:rsidRPr="00356510" w:rsidRDefault="00FA2943" w:rsidP="00A001EE">
      <w:pPr>
        <w:numPr>
          <w:ilvl w:val="0"/>
          <w:numId w:val="9"/>
        </w:numPr>
        <w:ind w:left="567" w:hanging="567"/>
        <w:rPr>
          <w:rFonts w:cs="Arial"/>
          <w:szCs w:val="22"/>
        </w:rPr>
      </w:pPr>
      <w:r w:rsidRPr="00356510">
        <w:rPr>
          <w:rFonts w:cs="Arial"/>
          <w:szCs w:val="22"/>
        </w:rPr>
        <w:t xml:space="preserve">Occupational skill level - workers in the lowest occupational skill level jobs were more likely to report </w:t>
      </w:r>
      <w:r w:rsidR="007E6AF2" w:rsidRPr="00356510">
        <w:rPr>
          <w:rFonts w:cs="Arial"/>
          <w:szCs w:val="22"/>
        </w:rPr>
        <w:t xml:space="preserve">dermal </w:t>
      </w:r>
      <w:r w:rsidRPr="00356510">
        <w:rPr>
          <w:rFonts w:cs="Arial"/>
          <w:szCs w:val="22"/>
        </w:rPr>
        <w:t xml:space="preserve">exposure to </w:t>
      </w:r>
      <w:r w:rsidR="00095CDE" w:rsidRPr="00356510">
        <w:rPr>
          <w:rFonts w:cs="Arial"/>
          <w:i/>
          <w:szCs w:val="22"/>
        </w:rPr>
        <w:t>Bases and alkalis</w:t>
      </w:r>
      <w:r w:rsidRPr="00356510">
        <w:rPr>
          <w:rFonts w:cs="Arial"/>
          <w:szCs w:val="22"/>
        </w:rPr>
        <w:t xml:space="preserve">, </w:t>
      </w:r>
      <w:r w:rsidR="00095CDE" w:rsidRPr="00356510">
        <w:rPr>
          <w:rFonts w:cs="Arial"/>
          <w:i/>
          <w:szCs w:val="22"/>
        </w:rPr>
        <w:t>Detergents</w:t>
      </w:r>
      <w:r w:rsidRPr="00356510">
        <w:rPr>
          <w:rFonts w:cs="Arial"/>
          <w:szCs w:val="22"/>
        </w:rPr>
        <w:t xml:space="preserve"> and </w:t>
      </w:r>
      <w:r w:rsidR="00BE65F8" w:rsidRPr="00356510">
        <w:rPr>
          <w:rFonts w:cs="Arial"/>
          <w:i/>
          <w:szCs w:val="22"/>
        </w:rPr>
        <w:t>Disinfectants</w:t>
      </w:r>
      <w:r w:rsidRPr="00356510">
        <w:rPr>
          <w:rFonts w:cs="Arial"/>
          <w:szCs w:val="22"/>
        </w:rPr>
        <w:t xml:space="preserve"> </w:t>
      </w:r>
      <w:r w:rsidR="00A001EE" w:rsidRPr="00356510">
        <w:rPr>
          <w:rFonts w:cs="Arial"/>
          <w:szCs w:val="22"/>
        </w:rPr>
        <w:t>than</w:t>
      </w:r>
      <w:r w:rsidRPr="00356510">
        <w:rPr>
          <w:rFonts w:cs="Arial"/>
          <w:szCs w:val="22"/>
        </w:rPr>
        <w:t xml:space="preserve"> higher-skilled workers. </w:t>
      </w:r>
      <w:r w:rsidR="00A001EE" w:rsidRPr="00356510">
        <w:rPr>
          <w:rFonts w:cs="Arial"/>
          <w:szCs w:val="22"/>
        </w:rPr>
        <w:t>The l</w:t>
      </w:r>
      <w:r w:rsidRPr="00356510">
        <w:rPr>
          <w:rFonts w:cs="Arial"/>
          <w:szCs w:val="22"/>
        </w:rPr>
        <w:t xml:space="preserve">ikelihood of reporting </w:t>
      </w:r>
      <w:r w:rsidR="00A001EE" w:rsidRPr="00356510">
        <w:rPr>
          <w:rFonts w:cs="Arial"/>
          <w:szCs w:val="22"/>
        </w:rPr>
        <w:t xml:space="preserve">dermal exposure to </w:t>
      </w:r>
      <w:r w:rsidR="00610AAC" w:rsidRPr="00356510">
        <w:rPr>
          <w:rFonts w:cs="Arial"/>
          <w:i/>
          <w:szCs w:val="22"/>
        </w:rPr>
        <w:t>Cement and lime</w:t>
      </w:r>
      <w:r w:rsidRPr="00356510">
        <w:rPr>
          <w:rFonts w:cs="Arial"/>
          <w:szCs w:val="22"/>
        </w:rPr>
        <w:t xml:space="preserve"> was also </w:t>
      </w:r>
      <w:r w:rsidR="008F3F12" w:rsidRPr="00356510">
        <w:rPr>
          <w:rFonts w:cs="Arial"/>
          <w:szCs w:val="22"/>
        </w:rPr>
        <w:t>elevated</w:t>
      </w:r>
      <w:r w:rsidRPr="00356510">
        <w:rPr>
          <w:rFonts w:cs="Arial"/>
          <w:szCs w:val="22"/>
        </w:rPr>
        <w:t xml:space="preserve"> in the lowest</w:t>
      </w:r>
      <w:r w:rsidR="00A001EE" w:rsidRPr="00356510">
        <w:rPr>
          <w:rFonts w:cs="Arial"/>
          <w:szCs w:val="22"/>
        </w:rPr>
        <w:t xml:space="preserve"> occupational skill level group, s</w:t>
      </w:r>
      <w:r w:rsidRPr="00356510">
        <w:rPr>
          <w:rFonts w:cs="Arial"/>
          <w:szCs w:val="22"/>
        </w:rPr>
        <w:t xml:space="preserve">kill </w:t>
      </w:r>
      <w:r w:rsidR="00A001EE" w:rsidRPr="00356510">
        <w:rPr>
          <w:rFonts w:cs="Arial"/>
          <w:szCs w:val="22"/>
        </w:rPr>
        <w:t>l</w:t>
      </w:r>
      <w:r w:rsidRPr="00356510">
        <w:rPr>
          <w:rFonts w:cs="Arial"/>
          <w:szCs w:val="22"/>
        </w:rPr>
        <w:t xml:space="preserve">evel </w:t>
      </w:r>
      <w:r w:rsidR="00A001EE" w:rsidRPr="00356510">
        <w:rPr>
          <w:rFonts w:cs="Arial"/>
          <w:szCs w:val="22"/>
        </w:rPr>
        <w:t>f</w:t>
      </w:r>
      <w:r w:rsidRPr="00356510">
        <w:rPr>
          <w:rFonts w:cs="Arial"/>
          <w:szCs w:val="22"/>
        </w:rPr>
        <w:t xml:space="preserve">ive, which includes unskilled labourers. The second highest likelihood of reporting </w:t>
      </w:r>
      <w:r w:rsidR="00A001EE" w:rsidRPr="00356510">
        <w:rPr>
          <w:rFonts w:cs="Arial"/>
          <w:szCs w:val="22"/>
        </w:rPr>
        <w:t xml:space="preserve">dermal exposure to </w:t>
      </w:r>
      <w:r w:rsidR="00610AAC" w:rsidRPr="00356510">
        <w:rPr>
          <w:rFonts w:cs="Arial"/>
          <w:i/>
          <w:szCs w:val="22"/>
        </w:rPr>
        <w:t>Cement and lime</w:t>
      </w:r>
      <w:r w:rsidRPr="00356510">
        <w:rPr>
          <w:rFonts w:cs="Arial"/>
          <w:szCs w:val="22"/>
        </w:rPr>
        <w:t xml:space="preserve"> was </w:t>
      </w:r>
      <w:r w:rsidR="00A001EE" w:rsidRPr="00356510">
        <w:rPr>
          <w:rFonts w:cs="Arial"/>
          <w:szCs w:val="22"/>
        </w:rPr>
        <w:t xml:space="preserve">recorded by </w:t>
      </w:r>
      <w:r w:rsidR="008F3F12" w:rsidRPr="00356510">
        <w:rPr>
          <w:rFonts w:cs="Arial"/>
          <w:szCs w:val="22"/>
        </w:rPr>
        <w:t xml:space="preserve">workers in </w:t>
      </w:r>
      <w:r w:rsidR="00A001EE" w:rsidRPr="00356510">
        <w:rPr>
          <w:rFonts w:cs="Arial"/>
          <w:szCs w:val="22"/>
        </w:rPr>
        <w:t>s</w:t>
      </w:r>
      <w:r w:rsidR="008F3F12" w:rsidRPr="00356510">
        <w:rPr>
          <w:rFonts w:cs="Arial"/>
          <w:szCs w:val="22"/>
        </w:rPr>
        <w:t xml:space="preserve">kill </w:t>
      </w:r>
      <w:r w:rsidR="00A001EE" w:rsidRPr="00356510">
        <w:rPr>
          <w:rFonts w:cs="Arial"/>
          <w:szCs w:val="22"/>
        </w:rPr>
        <w:t>l</w:t>
      </w:r>
      <w:r w:rsidR="008F3F12" w:rsidRPr="00356510">
        <w:rPr>
          <w:rFonts w:cs="Arial"/>
          <w:szCs w:val="22"/>
        </w:rPr>
        <w:t xml:space="preserve">evel </w:t>
      </w:r>
      <w:r w:rsidR="00A001EE" w:rsidRPr="00356510">
        <w:rPr>
          <w:rFonts w:cs="Arial"/>
          <w:szCs w:val="22"/>
        </w:rPr>
        <w:t>t</w:t>
      </w:r>
      <w:r w:rsidR="008F3F12" w:rsidRPr="00356510">
        <w:rPr>
          <w:rFonts w:cs="Arial"/>
          <w:szCs w:val="22"/>
        </w:rPr>
        <w:t>hree</w:t>
      </w:r>
      <w:r w:rsidR="00A001EE" w:rsidRPr="00356510">
        <w:rPr>
          <w:rFonts w:cs="Arial"/>
          <w:szCs w:val="22"/>
        </w:rPr>
        <w:t>, a</w:t>
      </w:r>
      <w:r w:rsidRPr="00356510">
        <w:rPr>
          <w:rFonts w:cs="Arial"/>
          <w:szCs w:val="22"/>
        </w:rPr>
        <w:t xml:space="preserve"> group </w:t>
      </w:r>
      <w:r w:rsidR="00A001EE" w:rsidRPr="00356510">
        <w:rPr>
          <w:rFonts w:cs="Arial"/>
          <w:szCs w:val="22"/>
        </w:rPr>
        <w:t>that</w:t>
      </w:r>
      <w:r w:rsidRPr="00356510">
        <w:rPr>
          <w:rFonts w:cs="Arial"/>
          <w:szCs w:val="22"/>
        </w:rPr>
        <w:t xml:space="preserve"> include</w:t>
      </w:r>
      <w:r w:rsidR="00A001EE" w:rsidRPr="00356510">
        <w:rPr>
          <w:rFonts w:cs="Arial"/>
          <w:szCs w:val="22"/>
        </w:rPr>
        <w:t>s qualified trades jobs. Skill l</w:t>
      </w:r>
      <w:r w:rsidRPr="00356510">
        <w:rPr>
          <w:rFonts w:cs="Arial"/>
          <w:szCs w:val="22"/>
        </w:rPr>
        <w:t xml:space="preserve">evel </w:t>
      </w:r>
      <w:r w:rsidR="00A001EE" w:rsidRPr="00356510">
        <w:rPr>
          <w:rFonts w:cs="Arial"/>
          <w:szCs w:val="22"/>
        </w:rPr>
        <w:t>t</w:t>
      </w:r>
      <w:r w:rsidRPr="00356510">
        <w:rPr>
          <w:rFonts w:cs="Arial"/>
          <w:szCs w:val="22"/>
        </w:rPr>
        <w:t xml:space="preserve">hree </w:t>
      </w:r>
      <w:r w:rsidR="008F3F12" w:rsidRPr="00356510">
        <w:rPr>
          <w:rFonts w:cs="Arial"/>
          <w:szCs w:val="22"/>
        </w:rPr>
        <w:t>workers</w:t>
      </w:r>
      <w:r w:rsidRPr="00356510">
        <w:rPr>
          <w:rFonts w:cs="Arial"/>
          <w:szCs w:val="22"/>
        </w:rPr>
        <w:t xml:space="preserve"> were also most likely to report </w:t>
      </w:r>
      <w:r w:rsidR="007E6AF2" w:rsidRPr="00356510">
        <w:rPr>
          <w:rFonts w:cs="Arial"/>
          <w:szCs w:val="22"/>
        </w:rPr>
        <w:t xml:space="preserve">dermal </w:t>
      </w:r>
      <w:r w:rsidRPr="00356510">
        <w:rPr>
          <w:rFonts w:cs="Arial"/>
          <w:szCs w:val="22"/>
        </w:rPr>
        <w:t xml:space="preserve">exposure to </w:t>
      </w:r>
      <w:r w:rsidR="003517A5" w:rsidRPr="00356510">
        <w:rPr>
          <w:rFonts w:cs="Arial"/>
          <w:i/>
          <w:szCs w:val="22"/>
        </w:rPr>
        <w:t>Non-bituminous hydrocarbon fuels</w:t>
      </w:r>
      <w:r w:rsidRPr="00356510">
        <w:rPr>
          <w:rFonts w:cs="Arial"/>
          <w:szCs w:val="22"/>
        </w:rPr>
        <w:t xml:space="preserve">, </w:t>
      </w:r>
      <w:r w:rsidR="003517A5" w:rsidRPr="00356510">
        <w:rPr>
          <w:rFonts w:cs="Arial"/>
          <w:i/>
          <w:szCs w:val="22"/>
        </w:rPr>
        <w:t>Organic solvents</w:t>
      </w:r>
      <w:r w:rsidRPr="00356510">
        <w:rPr>
          <w:rFonts w:cs="Arial"/>
          <w:szCs w:val="22"/>
        </w:rPr>
        <w:t xml:space="preserve"> and </w:t>
      </w:r>
      <w:r w:rsidR="003517A5" w:rsidRPr="00356510">
        <w:rPr>
          <w:rFonts w:cs="Arial"/>
          <w:i/>
          <w:szCs w:val="22"/>
        </w:rPr>
        <w:t>Paints, varnishes and inks</w:t>
      </w:r>
      <w:r w:rsidR="008F3F12" w:rsidRPr="00356510">
        <w:rPr>
          <w:rFonts w:cs="Arial"/>
          <w:szCs w:val="22"/>
        </w:rPr>
        <w:t>.</w:t>
      </w:r>
      <w:r w:rsidRPr="00356510">
        <w:rPr>
          <w:rFonts w:cs="Arial"/>
          <w:szCs w:val="22"/>
        </w:rPr>
        <w:t xml:space="preserve"> Skill </w:t>
      </w:r>
      <w:r w:rsidR="00A001EE" w:rsidRPr="00356510">
        <w:rPr>
          <w:rFonts w:cs="Arial"/>
          <w:szCs w:val="22"/>
        </w:rPr>
        <w:t>l</w:t>
      </w:r>
      <w:r w:rsidRPr="00356510">
        <w:rPr>
          <w:rFonts w:cs="Arial"/>
          <w:szCs w:val="22"/>
        </w:rPr>
        <w:t xml:space="preserve">evel </w:t>
      </w:r>
      <w:r w:rsidR="00A001EE" w:rsidRPr="00356510">
        <w:rPr>
          <w:rFonts w:cs="Arial"/>
          <w:szCs w:val="22"/>
        </w:rPr>
        <w:t>f</w:t>
      </w:r>
      <w:r w:rsidRPr="00356510">
        <w:rPr>
          <w:rFonts w:cs="Arial"/>
          <w:szCs w:val="22"/>
        </w:rPr>
        <w:t xml:space="preserve">ive </w:t>
      </w:r>
      <w:r w:rsidR="008F3F12" w:rsidRPr="00356510">
        <w:rPr>
          <w:rFonts w:cs="Arial"/>
          <w:szCs w:val="22"/>
        </w:rPr>
        <w:t>workers</w:t>
      </w:r>
      <w:r w:rsidRPr="00356510">
        <w:rPr>
          <w:rFonts w:cs="Arial"/>
          <w:szCs w:val="22"/>
        </w:rPr>
        <w:t xml:space="preserve"> also </w:t>
      </w:r>
      <w:r w:rsidR="00F935B5" w:rsidRPr="00356510">
        <w:rPr>
          <w:rFonts w:cs="Arial"/>
          <w:szCs w:val="22"/>
        </w:rPr>
        <w:t>had increased likelihoods of rep</w:t>
      </w:r>
      <w:r w:rsidRPr="00356510">
        <w:rPr>
          <w:rFonts w:cs="Arial"/>
          <w:szCs w:val="22"/>
        </w:rPr>
        <w:t xml:space="preserve">orting of these </w:t>
      </w:r>
      <w:r w:rsidR="007E6AF2" w:rsidRPr="00356510">
        <w:rPr>
          <w:rFonts w:cs="Arial"/>
          <w:szCs w:val="22"/>
        </w:rPr>
        <w:t xml:space="preserve">dermal </w:t>
      </w:r>
      <w:r w:rsidR="00F935B5" w:rsidRPr="00356510">
        <w:rPr>
          <w:rFonts w:cs="Arial"/>
          <w:szCs w:val="22"/>
        </w:rPr>
        <w:t>exposures compared to the highest skilled workers</w:t>
      </w:r>
      <w:r w:rsidRPr="00356510">
        <w:rPr>
          <w:rFonts w:cs="Arial"/>
          <w:szCs w:val="22"/>
        </w:rPr>
        <w:t xml:space="preserve">. </w:t>
      </w:r>
    </w:p>
    <w:p w:rsidR="00FA2943" w:rsidRPr="00356510" w:rsidRDefault="00A119A9" w:rsidP="00A119A9">
      <w:pPr>
        <w:spacing w:after="60"/>
        <w:rPr>
          <w:b/>
          <w:sz w:val="24"/>
        </w:rPr>
      </w:pPr>
      <w:r w:rsidRPr="00356510">
        <w:rPr>
          <w:b/>
          <w:sz w:val="24"/>
        </w:rPr>
        <w:t>The provision</w:t>
      </w:r>
      <w:r w:rsidR="00FA2943" w:rsidRPr="00356510">
        <w:rPr>
          <w:b/>
          <w:sz w:val="24"/>
        </w:rPr>
        <w:t xml:space="preserve"> of </w:t>
      </w:r>
      <w:r w:rsidR="007E6AF2" w:rsidRPr="00356510">
        <w:rPr>
          <w:b/>
          <w:sz w:val="24"/>
        </w:rPr>
        <w:t xml:space="preserve">dermal </w:t>
      </w:r>
      <w:r w:rsidRPr="00356510">
        <w:rPr>
          <w:b/>
          <w:sz w:val="24"/>
        </w:rPr>
        <w:t xml:space="preserve">chemical </w:t>
      </w:r>
      <w:r w:rsidR="00FA2943" w:rsidRPr="00356510">
        <w:rPr>
          <w:b/>
          <w:sz w:val="24"/>
        </w:rPr>
        <w:t>exposure control measures in the workplace</w:t>
      </w:r>
    </w:p>
    <w:p w:rsidR="00FA2943" w:rsidRPr="00356510" w:rsidRDefault="00A119A9" w:rsidP="00FA2943">
      <w:pPr>
        <w:pStyle w:val="ListParagraph"/>
        <w:ind w:left="0"/>
        <w:contextualSpacing w:val="0"/>
        <w:rPr>
          <w:rFonts w:ascii="Arial" w:hAnsi="Arial" w:cs="Arial"/>
          <w:sz w:val="22"/>
          <w:szCs w:val="22"/>
        </w:rPr>
      </w:pPr>
      <w:r w:rsidRPr="00356510">
        <w:rPr>
          <w:rFonts w:ascii="Arial" w:hAnsi="Arial" w:cs="Arial"/>
          <w:sz w:val="22"/>
          <w:szCs w:val="22"/>
        </w:rPr>
        <w:t>The p</w:t>
      </w:r>
      <w:r w:rsidR="008F3F12" w:rsidRPr="00356510">
        <w:rPr>
          <w:rFonts w:ascii="Arial" w:hAnsi="Arial" w:cs="Arial"/>
          <w:sz w:val="22"/>
          <w:szCs w:val="22"/>
        </w:rPr>
        <w:t xml:space="preserve">rovision of control measures to </w:t>
      </w:r>
      <w:r w:rsidR="00A252B0" w:rsidRPr="00356510">
        <w:rPr>
          <w:rFonts w:ascii="Arial" w:hAnsi="Arial" w:cs="Arial"/>
          <w:sz w:val="22"/>
          <w:szCs w:val="22"/>
        </w:rPr>
        <w:t>stop dermal exposure to chemicals</w:t>
      </w:r>
      <w:r w:rsidRPr="00356510">
        <w:rPr>
          <w:rFonts w:ascii="Arial" w:hAnsi="Arial" w:cs="Arial"/>
          <w:sz w:val="22"/>
          <w:szCs w:val="22"/>
        </w:rPr>
        <w:t>,</w:t>
      </w:r>
      <w:r w:rsidR="00A252B0" w:rsidRPr="00356510">
        <w:rPr>
          <w:rFonts w:ascii="Arial" w:hAnsi="Arial" w:cs="Arial"/>
          <w:sz w:val="22"/>
          <w:szCs w:val="22"/>
        </w:rPr>
        <w:t xml:space="preserve"> or to minimise problems when someone does have dermal exposure to chemicals</w:t>
      </w:r>
      <w:r w:rsidRPr="00356510">
        <w:rPr>
          <w:rFonts w:ascii="Arial" w:hAnsi="Arial" w:cs="Arial"/>
          <w:sz w:val="22"/>
          <w:szCs w:val="22"/>
        </w:rPr>
        <w:t>,</w:t>
      </w:r>
      <w:r w:rsidR="00A252B0" w:rsidRPr="00356510">
        <w:rPr>
          <w:rFonts w:ascii="Arial" w:hAnsi="Arial" w:cs="Arial"/>
          <w:sz w:val="22"/>
          <w:szCs w:val="22"/>
        </w:rPr>
        <w:t xml:space="preserve"> </w:t>
      </w:r>
      <w:r w:rsidR="00FA2943" w:rsidRPr="00356510">
        <w:rPr>
          <w:rFonts w:ascii="Arial" w:hAnsi="Arial" w:cs="Arial"/>
          <w:sz w:val="22"/>
          <w:szCs w:val="22"/>
        </w:rPr>
        <w:t xml:space="preserve">was reported less frequently by certain groups of respondents. Compared to workers in workplaces with </w:t>
      </w:r>
      <w:r w:rsidRPr="00356510">
        <w:rPr>
          <w:rFonts w:ascii="Arial" w:hAnsi="Arial" w:cs="Arial"/>
          <w:sz w:val="22"/>
          <w:szCs w:val="22"/>
        </w:rPr>
        <w:t>200 or more</w:t>
      </w:r>
      <w:r w:rsidR="00FA2943" w:rsidRPr="00356510">
        <w:rPr>
          <w:rFonts w:ascii="Arial" w:hAnsi="Arial" w:cs="Arial"/>
          <w:sz w:val="22"/>
          <w:szCs w:val="22"/>
        </w:rPr>
        <w:t xml:space="preserve"> employees, workers in smaller workplaces were less likely to report </w:t>
      </w:r>
      <w:r w:rsidRPr="00356510">
        <w:rPr>
          <w:rFonts w:ascii="Arial" w:hAnsi="Arial" w:cs="Arial"/>
          <w:sz w:val="22"/>
          <w:szCs w:val="22"/>
        </w:rPr>
        <w:t xml:space="preserve">the </w:t>
      </w:r>
      <w:r w:rsidR="00FA2943" w:rsidRPr="00356510">
        <w:rPr>
          <w:rFonts w:ascii="Arial" w:hAnsi="Arial" w:cs="Arial"/>
          <w:sz w:val="22"/>
          <w:szCs w:val="22"/>
        </w:rPr>
        <w:t>provision of all types of control measures: gloves, protective clothing, labelling and warning signs, washing facilities, and training in the safe use of chemicals.</w:t>
      </w:r>
    </w:p>
    <w:p w:rsidR="00FA2943" w:rsidRPr="00356510" w:rsidRDefault="00FA2943" w:rsidP="00FA2943">
      <w:pPr>
        <w:pStyle w:val="ListParagraph"/>
        <w:ind w:left="0"/>
        <w:contextualSpacing w:val="0"/>
        <w:rPr>
          <w:rFonts w:ascii="Arial" w:hAnsi="Arial" w:cs="Arial"/>
          <w:sz w:val="22"/>
          <w:szCs w:val="22"/>
        </w:rPr>
      </w:pPr>
      <w:r w:rsidRPr="00356510">
        <w:rPr>
          <w:rFonts w:ascii="Arial" w:hAnsi="Arial" w:cs="Arial"/>
          <w:sz w:val="22"/>
          <w:szCs w:val="22"/>
        </w:rPr>
        <w:t xml:space="preserve">Only 61% of workers who reported exposure to chemicals also reported that their employers provided chemical safety training. </w:t>
      </w:r>
    </w:p>
    <w:p w:rsidR="00FA2943" w:rsidRPr="00356510" w:rsidRDefault="00FA2943" w:rsidP="00FA2943">
      <w:pPr>
        <w:pStyle w:val="ListParagraph"/>
        <w:ind w:left="0"/>
        <w:contextualSpacing w:val="0"/>
        <w:rPr>
          <w:rFonts w:ascii="Arial" w:hAnsi="Arial" w:cs="Arial"/>
          <w:sz w:val="22"/>
          <w:szCs w:val="22"/>
        </w:rPr>
      </w:pPr>
      <w:r w:rsidRPr="00356510">
        <w:rPr>
          <w:rFonts w:ascii="Arial" w:hAnsi="Arial" w:cs="Arial"/>
          <w:sz w:val="22"/>
          <w:szCs w:val="22"/>
        </w:rPr>
        <w:t xml:space="preserve">Compared to workers in permanent or contract positions, workers who described their work arrangement as casual or temporary were less likely to report </w:t>
      </w:r>
      <w:r w:rsidR="00A119A9" w:rsidRPr="00356510">
        <w:rPr>
          <w:rFonts w:ascii="Arial" w:hAnsi="Arial" w:cs="Arial"/>
          <w:sz w:val="22"/>
          <w:szCs w:val="22"/>
        </w:rPr>
        <w:t xml:space="preserve">the </w:t>
      </w:r>
      <w:r w:rsidR="00424BBA" w:rsidRPr="00356510">
        <w:rPr>
          <w:rFonts w:ascii="Arial" w:hAnsi="Arial" w:cs="Arial"/>
          <w:sz w:val="22"/>
          <w:szCs w:val="22"/>
        </w:rPr>
        <w:t xml:space="preserve">provision of </w:t>
      </w:r>
      <w:r w:rsidRPr="00356510">
        <w:rPr>
          <w:rFonts w:ascii="Arial" w:hAnsi="Arial" w:cs="Arial"/>
          <w:sz w:val="22"/>
          <w:szCs w:val="22"/>
        </w:rPr>
        <w:t xml:space="preserve">labelling and warning signs and </w:t>
      </w:r>
      <w:r w:rsidR="00A119A9" w:rsidRPr="00356510">
        <w:rPr>
          <w:rFonts w:ascii="Arial" w:hAnsi="Arial" w:cs="Arial"/>
          <w:sz w:val="22"/>
          <w:szCs w:val="22"/>
        </w:rPr>
        <w:t xml:space="preserve">were </w:t>
      </w:r>
      <w:r w:rsidRPr="00356510">
        <w:rPr>
          <w:rFonts w:ascii="Arial" w:hAnsi="Arial" w:cs="Arial"/>
          <w:sz w:val="22"/>
          <w:szCs w:val="22"/>
        </w:rPr>
        <w:t xml:space="preserve">also less likely to report </w:t>
      </w:r>
      <w:r w:rsidR="00A119A9" w:rsidRPr="00356510">
        <w:rPr>
          <w:rFonts w:ascii="Arial" w:hAnsi="Arial" w:cs="Arial"/>
          <w:sz w:val="22"/>
          <w:szCs w:val="22"/>
        </w:rPr>
        <w:t xml:space="preserve">the provision of </w:t>
      </w:r>
      <w:r w:rsidRPr="00356510">
        <w:rPr>
          <w:rFonts w:ascii="Arial" w:hAnsi="Arial" w:cs="Arial"/>
          <w:sz w:val="22"/>
          <w:szCs w:val="22"/>
        </w:rPr>
        <w:t xml:space="preserve">chemical safety training. </w:t>
      </w:r>
    </w:p>
    <w:p w:rsidR="00FA2943" w:rsidRPr="00356510" w:rsidRDefault="00FA2943" w:rsidP="00FA2943">
      <w:pPr>
        <w:pStyle w:val="ListParagraph"/>
        <w:ind w:left="0"/>
        <w:contextualSpacing w:val="0"/>
        <w:rPr>
          <w:rFonts w:ascii="Arial" w:hAnsi="Arial" w:cs="Arial"/>
          <w:sz w:val="22"/>
          <w:szCs w:val="22"/>
        </w:rPr>
      </w:pPr>
      <w:r w:rsidRPr="00356510">
        <w:rPr>
          <w:rFonts w:ascii="Arial" w:hAnsi="Arial" w:cs="Arial"/>
          <w:sz w:val="22"/>
          <w:szCs w:val="22"/>
        </w:rPr>
        <w:t xml:space="preserve">Some of the groups </w:t>
      </w:r>
      <w:r w:rsidR="00A119A9" w:rsidRPr="00356510">
        <w:rPr>
          <w:rFonts w:ascii="Arial" w:hAnsi="Arial" w:cs="Arial"/>
          <w:sz w:val="22"/>
          <w:szCs w:val="22"/>
        </w:rPr>
        <w:t xml:space="preserve">of workers </w:t>
      </w:r>
      <w:r w:rsidRPr="00356510">
        <w:rPr>
          <w:rFonts w:ascii="Arial" w:hAnsi="Arial" w:cs="Arial"/>
          <w:sz w:val="22"/>
          <w:szCs w:val="22"/>
        </w:rPr>
        <w:t xml:space="preserve">who were most likely to report </w:t>
      </w:r>
      <w:r w:rsidR="007E6AF2" w:rsidRPr="00356510">
        <w:rPr>
          <w:rFonts w:ascii="Arial" w:hAnsi="Arial" w:cs="Arial"/>
          <w:sz w:val="22"/>
          <w:szCs w:val="22"/>
        </w:rPr>
        <w:t xml:space="preserve">dermal </w:t>
      </w:r>
      <w:r w:rsidRPr="00356510">
        <w:rPr>
          <w:rFonts w:ascii="Arial" w:hAnsi="Arial" w:cs="Arial"/>
          <w:sz w:val="22"/>
          <w:szCs w:val="22"/>
        </w:rPr>
        <w:t xml:space="preserve">exposure to particular chemical classes were also more likely to report </w:t>
      </w:r>
      <w:r w:rsidR="00A119A9" w:rsidRPr="00356510">
        <w:rPr>
          <w:rFonts w:ascii="Arial" w:hAnsi="Arial" w:cs="Arial"/>
          <w:sz w:val="22"/>
          <w:szCs w:val="22"/>
        </w:rPr>
        <w:t xml:space="preserve">they were </w:t>
      </w:r>
      <w:r w:rsidRPr="00356510">
        <w:rPr>
          <w:rFonts w:ascii="Arial" w:hAnsi="Arial" w:cs="Arial"/>
          <w:sz w:val="22"/>
          <w:szCs w:val="22"/>
        </w:rPr>
        <w:t>provi</w:t>
      </w:r>
      <w:r w:rsidR="00A119A9" w:rsidRPr="00356510">
        <w:rPr>
          <w:rFonts w:ascii="Arial" w:hAnsi="Arial" w:cs="Arial"/>
          <w:sz w:val="22"/>
          <w:szCs w:val="22"/>
        </w:rPr>
        <w:t>ded with none of the surveyed</w:t>
      </w:r>
      <w:r w:rsidRPr="00356510">
        <w:rPr>
          <w:rFonts w:ascii="Arial" w:hAnsi="Arial" w:cs="Arial"/>
          <w:sz w:val="22"/>
          <w:szCs w:val="22"/>
        </w:rPr>
        <w:t xml:space="preserve"> controls. </w:t>
      </w:r>
      <w:r w:rsidR="004C697E" w:rsidRPr="00356510">
        <w:rPr>
          <w:rFonts w:ascii="Arial" w:hAnsi="Arial" w:cs="Arial"/>
          <w:sz w:val="22"/>
          <w:szCs w:val="22"/>
        </w:rPr>
        <w:t>For example, workers from the smallest workplaces (less than five employees) were more likely that workers from larger workplaces to report exposure to</w:t>
      </w:r>
      <w:r w:rsidRPr="00356510">
        <w:rPr>
          <w:rFonts w:ascii="Arial" w:hAnsi="Arial" w:cs="Arial"/>
          <w:sz w:val="22"/>
          <w:szCs w:val="22"/>
        </w:rPr>
        <w:t xml:space="preserve"> </w:t>
      </w:r>
      <w:r w:rsidR="003517A5" w:rsidRPr="00356510">
        <w:rPr>
          <w:rFonts w:ascii="Arial" w:hAnsi="Arial" w:cs="Arial"/>
          <w:i/>
          <w:sz w:val="22"/>
          <w:szCs w:val="22"/>
        </w:rPr>
        <w:t>Paints, varnishes and inks</w:t>
      </w:r>
      <w:r w:rsidR="004C697E" w:rsidRPr="00356510">
        <w:rPr>
          <w:rFonts w:ascii="Arial" w:hAnsi="Arial" w:cs="Arial"/>
          <w:sz w:val="22"/>
          <w:szCs w:val="22"/>
        </w:rPr>
        <w:t xml:space="preserve"> and </w:t>
      </w:r>
      <w:r w:rsidR="00610AAC" w:rsidRPr="00356510">
        <w:rPr>
          <w:rFonts w:ascii="Arial" w:hAnsi="Arial" w:cs="Arial"/>
          <w:i/>
          <w:sz w:val="22"/>
          <w:szCs w:val="22"/>
        </w:rPr>
        <w:t>Cement and lim</w:t>
      </w:r>
      <w:r w:rsidR="004C697E" w:rsidRPr="00356510">
        <w:rPr>
          <w:rFonts w:ascii="Arial" w:hAnsi="Arial" w:cs="Arial"/>
          <w:i/>
          <w:sz w:val="22"/>
          <w:szCs w:val="22"/>
        </w:rPr>
        <w:t xml:space="preserve">e. </w:t>
      </w:r>
      <w:r w:rsidR="004C697E" w:rsidRPr="00356510">
        <w:rPr>
          <w:rFonts w:ascii="Arial" w:hAnsi="Arial" w:cs="Arial"/>
          <w:sz w:val="22"/>
          <w:szCs w:val="22"/>
        </w:rPr>
        <w:t xml:space="preserve">Relative to the largest workplaces, these same workers </w:t>
      </w:r>
      <w:r w:rsidRPr="00356510">
        <w:rPr>
          <w:rFonts w:ascii="Arial" w:hAnsi="Arial" w:cs="Arial"/>
          <w:sz w:val="22"/>
          <w:szCs w:val="22"/>
        </w:rPr>
        <w:t xml:space="preserve">were also almost five times </w:t>
      </w:r>
      <w:r w:rsidR="004C697E" w:rsidRPr="00356510">
        <w:rPr>
          <w:rFonts w:ascii="Arial" w:hAnsi="Arial" w:cs="Arial"/>
          <w:sz w:val="22"/>
          <w:szCs w:val="22"/>
        </w:rPr>
        <w:t>more</w:t>
      </w:r>
      <w:r w:rsidRPr="00356510">
        <w:rPr>
          <w:rFonts w:ascii="Arial" w:hAnsi="Arial" w:cs="Arial"/>
          <w:sz w:val="22"/>
          <w:szCs w:val="22"/>
        </w:rPr>
        <w:t xml:space="preserve"> likely to report</w:t>
      </w:r>
      <w:r w:rsidR="004C697E" w:rsidRPr="00356510">
        <w:rPr>
          <w:rFonts w:ascii="Arial" w:hAnsi="Arial" w:cs="Arial"/>
          <w:sz w:val="22"/>
          <w:szCs w:val="22"/>
        </w:rPr>
        <w:t xml:space="preserve"> they were provided with none of the surveyed controls</w:t>
      </w:r>
      <w:r w:rsidRPr="00356510">
        <w:rPr>
          <w:rFonts w:ascii="Arial" w:hAnsi="Arial" w:cs="Arial"/>
          <w:sz w:val="22"/>
          <w:szCs w:val="22"/>
        </w:rPr>
        <w:t xml:space="preserve">. </w:t>
      </w:r>
    </w:p>
    <w:p w:rsidR="00FA2943" w:rsidRPr="00356510" w:rsidRDefault="00FA2943" w:rsidP="00A53EB3">
      <w:pPr>
        <w:rPr>
          <w:b/>
          <w:i/>
          <w:sz w:val="28"/>
          <w:szCs w:val="28"/>
        </w:rPr>
      </w:pPr>
      <w:bookmarkStart w:id="11" w:name="_Toc309808241"/>
      <w:r w:rsidRPr="00356510">
        <w:rPr>
          <w:b/>
          <w:sz w:val="28"/>
          <w:szCs w:val="28"/>
        </w:rPr>
        <w:t>Policy implications</w:t>
      </w:r>
      <w:bookmarkEnd w:id="11"/>
    </w:p>
    <w:p w:rsidR="00FA2943" w:rsidRPr="00356510" w:rsidRDefault="00FA2943" w:rsidP="00A53EB3">
      <w:pPr>
        <w:rPr>
          <w:rFonts w:cs="Arial"/>
        </w:rPr>
      </w:pPr>
      <w:r w:rsidRPr="00356510">
        <w:rPr>
          <w:rFonts w:cs="Arial"/>
        </w:rPr>
        <w:t xml:space="preserve">From the raw verbatim data collected from the NHEWS survey participants, it is evident that a number of workers who reported working in occupations known to have high </w:t>
      </w:r>
      <w:r w:rsidR="007E6AF2" w:rsidRPr="00356510">
        <w:rPr>
          <w:rFonts w:cs="Arial"/>
        </w:rPr>
        <w:t xml:space="preserve">dermal </w:t>
      </w:r>
      <w:r w:rsidRPr="00356510">
        <w:rPr>
          <w:rFonts w:cs="Arial"/>
        </w:rPr>
        <w:t>exposure to chemicals did not report exposure to these chemicals</w:t>
      </w:r>
      <w:r w:rsidR="00FF5C94" w:rsidRPr="00356510">
        <w:rPr>
          <w:rFonts w:cs="Arial"/>
        </w:rPr>
        <w:t xml:space="preserve">. Understanding the </w:t>
      </w:r>
      <w:r w:rsidR="00F10888" w:rsidRPr="00356510">
        <w:rPr>
          <w:rFonts w:cs="Arial"/>
        </w:rPr>
        <w:t xml:space="preserve">underlying reasons </w:t>
      </w:r>
      <w:r w:rsidR="00F428AE" w:rsidRPr="00356510">
        <w:rPr>
          <w:rFonts w:cs="Arial"/>
        </w:rPr>
        <w:t>for</w:t>
      </w:r>
      <w:r w:rsidR="00F10888" w:rsidRPr="00356510">
        <w:rPr>
          <w:rFonts w:cs="Arial"/>
        </w:rPr>
        <w:t xml:space="preserve"> and the </w:t>
      </w:r>
      <w:r w:rsidR="00FF5C94" w:rsidRPr="00356510">
        <w:rPr>
          <w:rFonts w:cs="Arial"/>
        </w:rPr>
        <w:t>distribution of under-reporting</w:t>
      </w:r>
      <w:r w:rsidR="00356510" w:rsidRPr="00356510">
        <w:rPr>
          <w:rFonts w:cs="Arial"/>
        </w:rPr>
        <w:t xml:space="preserve"> of dermal chemical exposure</w:t>
      </w:r>
      <w:r w:rsidR="00FF5C94" w:rsidRPr="00356510">
        <w:rPr>
          <w:rFonts w:cs="Arial"/>
        </w:rPr>
        <w:t xml:space="preserve"> may indicate areas for </w:t>
      </w:r>
      <w:r w:rsidR="00F10888" w:rsidRPr="00356510">
        <w:rPr>
          <w:rFonts w:cs="Arial"/>
        </w:rPr>
        <w:t xml:space="preserve">policy intervention and targeted </w:t>
      </w:r>
      <w:r w:rsidR="00FF5C94" w:rsidRPr="00356510">
        <w:rPr>
          <w:rFonts w:cs="Arial"/>
        </w:rPr>
        <w:t>worker education</w:t>
      </w:r>
      <w:r w:rsidRPr="00356510">
        <w:rPr>
          <w:rFonts w:cs="Arial"/>
        </w:rPr>
        <w:t xml:space="preserve">. </w:t>
      </w:r>
    </w:p>
    <w:p w:rsidR="00FA2943" w:rsidRPr="00356510" w:rsidRDefault="00FA2943" w:rsidP="00356510">
      <w:pPr>
        <w:rPr>
          <w:rFonts w:cs="Arial"/>
        </w:rPr>
      </w:pPr>
      <w:r w:rsidRPr="00356510">
        <w:rPr>
          <w:rFonts w:cs="Arial"/>
        </w:rPr>
        <w:t xml:space="preserve">The extent to which workers reported that they </w:t>
      </w:r>
      <w:r w:rsidR="00356510" w:rsidRPr="00356510">
        <w:rPr>
          <w:rFonts w:cs="Arial"/>
        </w:rPr>
        <w:t>were</w:t>
      </w:r>
      <w:r w:rsidRPr="00356510">
        <w:rPr>
          <w:rFonts w:cs="Arial"/>
        </w:rPr>
        <w:t xml:space="preserve"> provided with training in the safe use of chemicals is an issue that warrants further investigation</w:t>
      </w:r>
      <w:r w:rsidR="00FF5C94" w:rsidRPr="00356510">
        <w:rPr>
          <w:rFonts w:cs="Arial"/>
        </w:rPr>
        <w:t xml:space="preserve">, particularly </w:t>
      </w:r>
      <w:r w:rsidR="00F428AE" w:rsidRPr="00356510">
        <w:rPr>
          <w:rFonts w:cs="Arial"/>
        </w:rPr>
        <w:t xml:space="preserve">with the reported lack of training </w:t>
      </w:r>
      <w:r w:rsidR="00FF5C94" w:rsidRPr="00356510">
        <w:rPr>
          <w:rFonts w:cs="Arial"/>
        </w:rPr>
        <w:t>for</w:t>
      </w:r>
      <w:r w:rsidRPr="00356510">
        <w:rPr>
          <w:rFonts w:cs="Arial"/>
        </w:rPr>
        <w:t xml:space="preserve"> temporary and casual employees. Further research with a view to intervention is </w:t>
      </w:r>
      <w:r w:rsidRPr="00356510">
        <w:rPr>
          <w:rFonts w:cs="Arial"/>
        </w:rPr>
        <w:lastRenderedPageBreak/>
        <w:t>warranted, particularly given the apparent trend towards increasing casual employment and labour hire in the workforce.</w:t>
      </w:r>
    </w:p>
    <w:p w:rsidR="00FA2943" w:rsidRPr="00356510" w:rsidRDefault="00FA2943" w:rsidP="00356510">
      <w:pPr>
        <w:rPr>
          <w:rFonts w:cs="Arial"/>
        </w:rPr>
      </w:pPr>
      <w:r w:rsidRPr="00356510">
        <w:rPr>
          <w:rFonts w:cs="Arial"/>
        </w:rPr>
        <w:t xml:space="preserve">Targeted interventions to reduce </w:t>
      </w:r>
      <w:r w:rsidR="007E6AF2" w:rsidRPr="00356510">
        <w:rPr>
          <w:rFonts w:cs="Arial"/>
        </w:rPr>
        <w:t xml:space="preserve">dermal </w:t>
      </w:r>
      <w:r w:rsidRPr="00356510">
        <w:rPr>
          <w:rFonts w:cs="Arial"/>
        </w:rPr>
        <w:t xml:space="preserve">exposure to chemicals within specific workplace contexts may be </w:t>
      </w:r>
      <w:r w:rsidR="00FF5C94" w:rsidRPr="00356510">
        <w:rPr>
          <w:rFonts w:cs="Arial"/>
        </w:rPr>
        <w:t>required, particularly in</w:t>
      </w:r>
      <w:r w:rsidRPr="00356510">
        <w:rPr>
          <w:rFonts w:cs="Arial"/>
        </w:rPr>
        <w:t xml:space="preserve"> smaller workplaces. Policy and intervention targeting workers in sectors of high </w:t>
      </w:r>
      <w:r w:rsidR="007E6AF2" w:rsidRPr="00356510">
        <w:rPr>
          <w:rFonts w:cs="Arial"/>
        </w:rPr>
        <w:t xml:space="preserve">dermal </w:t>
      </w:r>
      <w:r w:rsidRPr="00356510">
        <w:rPr>
          <w:rFonts w:cs="Arial"/>
        </w:rPr>
        <w:t xml:space="preserve">exposure risk, such as workers in small businesses and the </w:t>
      </w:r>
      <w:r w:rsidRPr="00356510">
        <w:rPr>
          <w:rFonts w:cs="Arial"/>
          <w:i/>
        </w:rPr>
        <w:t>Construction</w:t>
      </w:r>
      <w:r w:rsidRPr="00356510">
        <w:rPr>
          <w:rFonts w:cs="Arial"/>
        </w:rPr>
        <w:t xml:space="preserve"> industry, is likely to be beneficial.</w:t>
      </w:r>
    </w:p>
    <w:p w:rsidR="00FA2943" w:rsidRPr="00356510" w:rsidRDefault="00FA2943" w:rsidP="00356510">
      <w:pPr>
        <w:rPr>
          <w:b/>
          <w:i/>
          <w:sz w:val="28"/>
          <w:szCs w:val="28"/>
        </w:rPr>
      </w:pPr>
      <w:bookmarkStart w:id="12" w:name="_Toc309808242"/>
      <w:r w:rsidRPr="00356510">
        <w:rPr>
          <w:b/>
          <w:sz w:val="28"/>
          <w:szCs w:val="28"/>
        </w:rPr>
        <w:t>Further research</w:t>
      </w:r>
      <w:bookmarkEnd w:id="12"/>
    </w:p>
    <w:p w:rsidR="00FA2943" w:rsidRPr="00356510" w:rsidRDefault="00FA2943" w:rsidP="006953EA">
      <w:pPr>
        <w:rPr>
          <w:rFonts w:cs="Arial"/>
        </w:rPr>
      </w:pPr>
      <w:r w:rsidRPr="00356510">
        <w:rPr>
          <w:rFonts w:cs="Arial"/>
        </w:rPr>
        <w:t>Evaluation of the NHEWS</w:t>
      </w:r>
      <w:r w:rsidR="006953EA">
        <w:rPr>
          <w:rFonts w:cs="Arial"/>
        </w:rPr>
        <w:t xml:space="preserve"> survey</w:t>
      </w:r>
      <w:r w:rsidRPr="00356510">
        <w:rPr>
          <w:rFonts w:cs="Arial"/>
        </w:rPr>
        <w:t xml:space="preserve"> self-reported </w:t>
      </w:r>
      <w:r w:rsidR="007E6AF2" w:rsidRPr="00356510">
        <w:rPr>
          <w:rFonts w:cs="Arial"/>
        </w:rPr>
        <w:t xml:space="preserve">dermal </w:t>
      </w:r>
      <w:r w:rsidRPr="00356510">
        <w:rPr>
          <w:rFonts w:cs="Arial"/>
        </w:rPr>
        <w:t xml:space="preserve">exposure data </w:t>
      </w:r>
      <w:r w:rsidR="00F10888" w:rsidRPr="00356510">
        <w:rPr>
          <w:rFonts w:cs="Arial"/>
        </w:rPr>
        <w:t xml:space="preserve">through </w:t>
      </w:r>
      <w:r w:rsidR="007E6AF2" w:rsidRPr="00356510">
        <w:rPr>
          <w:rFonts w:cs="Arial"/>
        </w:rPr>
        <w:t>comparison</w:t>
      </w:r>
      <w:r w:rsidRPr="00356510">
        <w:rPr>
          <w:rFonts w:cs="Arial"/>
        </w:rPr>
        <w:t xml:space="preserve"> with </w:t>
      </w:r>
      <w:r w:rsidR="006953EA">
        <w:rPr>
          <w:rFonts w:cs="Arial"/>
        </w:rPr>
        <w:t xml:space="preserve">the </w:t>
      </w:r>
      <w:r w:rsidRPr="00356510">
        <w:rPr>
          <w:rFonts w:cs="Arial"/>
        </w:rPr>
        <w:t xml:space="preserve">results of formal exposure assessment methods would be a worthwhile avenue of research. This could be </w:t>
      </w:r>
      <w:r w:rsidR="006953EA">
        <w:rPr>
          <w:rFonts w:cs="Arial"/>
        </w:rPr>
        <w:t>undertaken in a variety of ways</w:t>
      </w:r>
      <w:r w:rsidR="00424BBA" w:rsidRPr="00356510">
        <w:rPr>
          <w:rFonts w:cs="Arial"/>
        </w:rPr>
        <w:t xml:space="preserve"> and</w:t>
      </w:r>
      <w:r w:rsidRPr="00356510">
        <w:rPr>
          <w:rFonts w:cs="Arial"/>
        </w:rPr>
        <w:t xml:space="preserve"> would enable quantification of the extent of reporting bias (such as under-reporting) and patterns of reporting bias. </w:t>
      </w:r>
      <w:r w:rsidR="00424BBA" w:rsidRPr="00356510">
        <w:rPr>
          <w:rFonts w:cs="Arial"/>
        </w:rPr>
        <w:t>For example</w:t>
      </w:r>
      <w:r w:rsidR="006953EA">
        <w:rPr>
          <w:rFonts w:cs="Arial"/>
        </w:rPr>
        <w:t>,</w:t>
      </w:r>
      <w:r w:rsidR="00424BBA" w:rsidRPr="00356510">
        <w:rPr>
          <w:rFonts w:cs="Arial"/>
        </w:rPr>
        <w:t xml:space="preserve"> </w:t>
      </w:r>
      <w:r w:rsidR="00F10888" w:rsidRPr="00356510">
        <w:rPr>
          <w:rFonts w:cs="Arial"/>
        </w:rPr>
        <w:t>c</w:t>
      </w:r>
      <w:r w:rsidR="00424BBA" w:rsidRPr="00356510">
        <w:rPr>
          <w:rFonts w:cs="Arial"/>
        </w:rPr>
        <w:t xml:space="preserve">loser examination of the raw NHEWS data and comparison with objective occupational data, such as exposure assessment using a Job Exposure Matrix, would provide useful information about probable </w:t>
      </w:r>
      <w:r w:rsidR="007E6AF2" w:rsidRPr="00356510">
        <w:rPr>
          <w:rFonts w:cs="Arial"/>
        </w:rPr>
        <w:t xml:space="preserve">dermal </w:t>
      </w:r>
      <w:r w:rsidR="00424BBA" w:rsidRPr="00356510">
        <w:rPr>
          <w:rFonts w:cs="Arial"/>
        </w:rPr>
        <w:t xml:space="preserve">exposures </w:t>
      </w:r>
      <w:r w:rsidR="006953EA">
        <w:rPr>
          <w:rFonts w:cs="Arial"/>
        </w:rPr>
        <w:t>that</w:t>
      </w:r>
      <w:r w:rsidR="00424BBA" w:rsidRPr="00356510">
        <w:rPr>
          <w:rFonts w:cs="Arial"/>
        </w:rPr>
        <w:t xml:space="preserve"> have been under-reported and patterns of under-reporting.</w:t>
      </w:r>
    </w:p>
    <w:p w:rsidR="00FA2943" w:rsidRPr="00356510" w:rsidRDefault="00FA2943" w:rsidP="006953EA">
      <w:pPr>
        <w:rPr>
          <w:rFonts w:cs="Arial"/>
        </w:rPr>
      </w:pPr>
      <w:r w:rsidRPr="00356510">
        <w:rPr>
          <w:rFonts w:cs="Arial"/>
        </w:rPr>
        <w:t xml:space="preserve">Further research investigating the types of small businesses that are less likely to provide </w:t>
      </w:r>
      <w:r w:rsidR="007E6AF2" w:rsidRPr="00356510">
        <w:rPr>
          <w:rFonts w:cs="Arial"/>
        </w:rPr>
        <w:t xml:space="preserve">dermal </w:t>
      </w:r>
      <w:r w:rsidRPr="00356510">
        <w:rPr>
          <w:rFonts w:cs="Arial"/>
        </w:rPr>
        <w:t xml:space="preserve">exposure control measures and the factors </w:t>
      </w:r>
      <w:r w:rsidR="006953EA">
        <w:rPr>
          <w:rFonts w:cs="Arial"/>
        </w:rPr>
        <w:t>that</w:t>
      </w:r>
      <w:r w:rsidRPr="00356510">
        <w:rPr>
          <w:rFonts w:cs="Arial"/>
        </w:rPr>
        <w:t xml:space="preserve"> influence the management of chemical exposure risk would also be a useful extension of the NHEWS program. Future intervention research might focus on the development of tailored interventions </w:t>
      </w:r>
      <w:r w:rsidR="006953EA">
        <w:rPr>
          <w:rFonts w:cs="Arial"/>
        </w:rPr>
        <w:t>that will be acceptable and successful</w:t>
      </w:r>
      <w:r w:rsidRPr="00356510">
        <w:rPr>
          <w:rFonts w:cs="Arial"/>
        </w:rPr>
        <w:t xml:space="preserve"> within the small business context. </w:t>
      </w:r>
    </w:p>
    <w:p w:rsidR="00FA2943" w:rsidRPr="00356510" w:rsidRDefault="00FA2943" w:rsidP="006953EA">
      <w:pPr>
        <w:rPr>
          <w:rFonts w:cs="Arial"/>
        </w:rPr>
      </w:pPr>
      <w:r w:rsidRPr="00356510">
        <w:rPr>
          <w:rFonts w:cs="Arial"/>
        </w:rPr>
        <w:t xml:space="preserve">A number of the industries with high </w:t>
      </w:r>
      <w:r w:rsidR="007E6AF2" w:rsidRPr="00356510">
        <w:rPr>
          <w:rFonts w:cs="Arial"/>
        </w:rPr>
        <w:t xml:space="preserve">dermal </w:t>
      </w:r>
      <w:r w:rsidRPr="00356510">
        <w:rPr>
          <w:rFonts w:cs="Arial"/>
        </w:rPr>
        <w:t xml:space="preserve">exposures for chemicals </w:t>
      </w:r>
      <w:r w:rsidR="006953EA">
        <w:rPr>
          <w:rFonts w:cs="Arial"/>
        </w:rPr>
        <w:t>are</w:t>
      </w:r>
      <w:r w:rsidRPr="00356510">
        <w:rPr>
          <w:rFonts w:cs="Arial"/>
        </w:rPr>
        <w:t xml:space="preserve"> not </w:t>
      </w:r>
      <w:r w:rsidR="006953EA">
        <w:rPr>
          <w:rFonts w:cs="Arial"/>
        </w:rPr>
        <w:t>n</w:t>
      </w:r>
      <w:r w:rsidRPr="00356510">
        <w:rPr>
          <w:rFonts w:cs="Arial"/>
        </w:rPr>
        <w:t xml:space="preserve">ational </w:t>
      </w:r>
      <w:r w:rsidR="006953EA">
        <w:rPr>
          <w:rFonts w:cs="Arial"/>
        </w:rPr>
        <w:t>p</w:t>
      </w:r>
      <w:r w:rsidRPr="00356510">
        <w:rPr>
          <w:rFonts w:cs="Arial"/>
        </w:rPr>
        <w:t xml:space="preserve">riority </w:t>
      </w:r>
      <w:r w:rsidR="006953EA">
        <w:rPr>
          <w:rFonts w:cs="Arial"/>
        </w:rPr>
        <w:t>i</w:t>
      </w:r>
      <w:r w:rsidRPr="00356510">
        <w:rPr>
          <w:rFonts w:cs="Arial"/>
        </w:rPr>
        <w:t xml:space="preserve">ndustries. </w:t>
      </w:r>
      <w:r w:rsidR="00F428AE" w:rsidRPr="00356510">
        <w:rPr>
          <w:rFonts w:cs="Arial"/>
        </w:rPr>
        <w:t>Future surveys exploring dermal exposure to chemicals would benefit from a</w:t>
      </w:r>
      <w:r w:rsidRPr="00356510">
        <w:rPr>
          <w:rFonts w:cs="Arial"/>
        </w:rPr>
        <w:t xml:space="preserve"> sampling strategy more representative of the Australian workforce.</w:t>
      </w:r>
    </w:p>
    <w:p w:rsidR="00424BBA" w:rsidRPr="00356510" w:rsidRDefault="00424BBA" w:rsidP="006953EA">
      <w:pPr>
        <w:rPr>
          <w:rFonts w:cs="Arial"/>
        </w:rPr>
      </w:pPr>
      <w:r w:rsidRPr="00356510">
        <w:rPr>
          <w:rFonts w:cs="Arial"/>
        </w:rPr>
        <w:t xml:space="preserve">Future </w:t>
      </w:r>
      <w:r w:rsidR="006953EA">
        <w:rPr>
          <w:rFonts w:cs="Arial"/>
        </w:rPr>
        <w:t>hazard exposure</w:t>
      </w:r>
      <w:r w:rsidRPr="00356510">
        <w:rPr>
          <w:rFonts w:cs="Arial"/>
        </w:rPr>
        <w:t xml:space="preserve"> surveys </w:t>
      </w:r>
      <w:r w:rsidR="006953EA">
        <w:rPr>
          <w:rFonts w:cs="Arial"/>
        </w:rPr>
        <w:t>should</w:t>
      </w:r>
      <w:r w:rsidRPr="00356510">
        <w:rPr>
          <w:rFonts w:cs="Arial"/>
        </w:rPr>
        <w:t xml:space="preserve"> concentrate on assessing workplace exposure to particular chemicals of interest in specific industries or settings, or amongst high risk workers</w:t>
      </w:r>
      <w:r w:rsidR="006953EA">
        <w:rPr>
          <w:rFonts w:cs="Arial"/>
        </w:rPr>
        <w:t>. F</w:t>
      </w:r>
      <w:r w:rsidRPr="00356510">
        <w:rPr>
          <w:rFonts w:cs="Arial"/>
        </w:rPr>
        <w:t xml:space="preserve">or example exposure to </w:t>
      </w:r>
      <w:r w:rsidR="00610AAC" w:rsidRPr="00356510">
        <w:rPr>
          <w:rFonts w:cs="Arial"/>
          <w:i/>
        </w:rPr>
        <w:t>Cement and lime</w:t>
      </w:r>
      <w:r w:rsidR="005262C8" w:rsidRPr="00356510">
        <w:rPr>
          <w:rFonts w:cs="Arial"/>
        </w:rPr>
        <w:t xml:space="preserve"> amongst casual employees in the </w:t>
      </w:r>
      <w:r w:rsidR="005262C8" w:rsidRPr="006953EA">
        <w:rPr>
          <w:rFonts w:cs="Arial"/>
        </w:rPr>
        <w:t xml:space="preserve">Construction </w:t>
      </w:r>
      <w:r w:rsidR="005262C8" w:rsidRPr="00356510">
        <w:rPr>
          <w:rFonts w:cs="Arial"/>
        </w:rPr>
        <w:t>industry.</w:t>
      </w:r>
    </w:p>
    <w:p w:rsidR="00FA2943" w:rsidRPr="00356510" w:rsidRDefault="00FA2943" w:rsidP="006953EA">
      <w:pPr>
        <w:rPr>
          <w:rFonts w:cs="Arial"/>
        </w:rPr>
      </w:pPr>
      <w:r w:rsidRPr="00356510">
        <w:rPr>
          <w:rFonts w:cs="Arial"/>
        </w:rPr>
        <w:t xml:space="preserve">Dermal chemical exposure is one of the principal causes of occupational contact dermatitis. While this report details characteristics of dermal chemical exposure and </w:t>
      </w:r>
      <w:r w:rsidR="006953EA">
        <w:rPr>
          <w:rFonts w:cs="Arial"/>
        </w:rPr>
        <w:t>the provision</w:t>
      </w:r>
      <w:r w:rsidRPr="00356510">
        <w:rPr>
          <w:rFonts w:cs="Arial"/>
        </w:rPr>
        <w:t xml:space="preserve"> of control measures in the workplace, </w:t>
      </w:r>
      <w:r w:rsidR="006953EA">
        <w:rPr>
          <w:rFonts w:cs="Arial"/>
        </w:rPr>
        <w:t xml:space="preserve">the </w:t>
      </w:r>
      <w:r w:rsidRPr="00356510">
        <w:rPr>
          <w:rFonts w:cs="Arial"/>
        </w:rPr>
        <w:t>NHEWS</w:t>
      </w:r>
      <w:r w:rsidR="006953EA">
        <w:rPr>
          <w:rFonts w:cs="Arial"/>
        </w:rPr>
        <w:t xml:space="preserve"> survey </w:t>
      </w:r>
      <w:r w:rsidRPr="00356510">
        <w:rPr>
          <w:rFonts w:cs="Arial"/>
        </w:rPr>
        <w:t>did not collect information on health outcomes such as occupational contact dermatitis. Parallel studies to identify industries and workplace settings</w:t>
      </w:r>
      <w:r w:rsidR="00FF5C94" w:rsidRPr="00356510">
        <w:rPr>
          <w:rFonts w:cs="Arial"/>
        </w:rPr>
        <w:t xml:space="preserve"> associated</w:t>
      </w:r>
      <w:r w:rsidRPr="00356510">
        <w:rPr>
          <w:rFonts w:cs="Arial"/>
        </w:rPr>
        <w:t xml:space="preserve"> with elevated rates of diagnosis and compensation claims for occupational contact dermatitis would complement the NHEWS</w:t>
      </w:r>
      <w:r w:rsidR="006953EA">
        <w:rPr>
          <w:rFonts w:cs="Arial"/>
        </w:rPr>
        <w:t xml:space="preserve"> survey</w:t>
      </w:r>
      <w:r w:rsidRPr="00356510">
        <w:rPr>
          <w:rFonts w:cs="Arial"/>
        </w:rPr>
        <w:t xml:space="preserve"> findings</w:t>
      </w:r>
      <w:r w:rsidR="00FF5C94" w:rsidRPr="00356510">
        <w:rPr>
          <w:rFonts w:cs="Arial"/>
        </w:rPr>
        <w:t xml:space="preserve"> and extend its interpretation.</w:t>
      </w:r>
    </w:p>
    <w:p w:rsidR="006953EA" w:rsidRDefault="00FA2943">
      <w:pPr>
        <w:spacing w:after="0"/>
        <w:rPr>
          <w:rFonts w:cs="Arial"/>
          <w:b/>
          <w:bCs/>
          <w:sz w:val="32"/>
          <w:szCs w:val="32"/>
        </w:rPr>
      </w:pPr>
      <w:r w:rsidRPr="00356510">
        <w:rPr>
          <w:rFonts w:cs="Arial"/>
        </w:rPr>
        <w:br w:type="page"/>
      </w:r>
      <w:bookmarkStart w:id="13" w:name="_Toc309808243"/>
      <w:bookmarkEnd w:id="7"/>
      <w:r w:rsidR="006953EA">
        <w:rPr>
          <w:rFonts w:cs="Arial"/>
        </w:rPr>
        <w:lastRenderedPageBreak/>
        <w:br w:type="page"/>
      </w:r>
    </w:p>
    <w:p w:rsidR="00FA2943" w:rsidRPr="00356510" w:rsidRDefault="00FA2943" w:rsidP="00FA2943">
      <w:pPr>
        <w:pStyle w:val="Heading1"/>
        <w:rPr>
          <w:rFonts w:cs="Arial"/>
        </w:rPr>
      </w:pPr>
      <w:bookmarkStart w:id="14" w:name="_Toc312075692"/>
      <w:r w:rsidRPr="00356510">
        <w:rPr>
          <w:rFonts w:cs="Arial"/>
        </w:rPr>
        <w:lastRenderedPageBreak/>
        <w:t>Background and research objectives</w:t>
      </w:r>
      <w:bookmarkEnd w:id="13"/>
      <w:bookmarkEnd w:id="14"/>
    </w:p>
    <w:p w:rsidR="00FA2943" w:rsidRPr="00356510" w:rsidRDefault="00FA2943" w:rsidP="0066783F">
      <w:pPr>
        <w:pStyle w:val="Heading2"/>
      </w:pPr>
      <w:bookmarkStart w:id="15" w:name="_Toc270432020"/>
      <w:bookmarkStart w:id="16" w:name="_Toc280100814"/>
      <w:bookmarkStart w:id="17" w:name="_Toc309808244"/>
      <w:bookmarkStart w:id="18" w:name="_Toc312075693"/>
      <w:r w:rsidRPr="00356510">
        <w:t>Background</w:t>
      </w:r>
      <w:bookmarkEnd w:id="15"/>
      <w:bookmarkEnd w:id="16"/>
      <w:bookmarkEnd w:id="17"/>
      <w:bookmarkEnd w:id="18"/>
    </w:p>
    <w:p w:rsidR="00FA2943" w:rsidRPr="00356510" w:rsidRDefault="00FA2943" w:rsidP="0066783F">
      <w:r w:rsidRPr="00356510">
        <w:t xml:space="preserve">Many chemicals commonly handled in both workplaces and homes may have deleterious effects on human health. These health effects can </w:t>
      </w:r>
      <w:r w:rsidR="00555C5F">
        <w:t>be</w:t>
      </w:r>
      <w:r w:rsidRPr="00356510">
        <w:t xml:space="preserve"> either</w:t>
      </w:r>
      <w:r w:rsidR="001148DE" w:rsidRPr="00356510">
        <w:t xml:space="preserve"> short or long latency effects.</w:t>
      </w:r>
      <w:r w:rsidRPr="00356510">
        <w:t xml:space="preserve"> Long latency health effects are those where there is a long interval, usually years to decades, between the exposure and the consequent health outcome</w:t>
      </w:r>
      <w:r w:rsidR="001148DE" w:rsidRPr="00356510">
        <w:t xml:space="preserve">. </w:t>
      </w:r>
      <w:r w:rsidRPr="00356510">
        <w:t>Shorter latency effects are more immediate result</w:t>
      </w:r>
      <w:r w:rsidR="001148DE" w:rsidRPr="00356510">
        <w:t xml:space="preserve">s of the exposure in question. </w:t>
      </w:r>
      <w:r w:rsidRPr="00356510">
        <w:t>Short latency effects include poisoning, burns to skin or eyes as well as irritation and allergic reactions to the skin,</w:t>
      </w:r>
      <w:r w:rsidR="001148DE" w:rsidRPr="00356510">
        <w:t xml:space="preserve"> eyes or other mucus membranes.</w:t>
      </w:r>
      <w:r w:rsidRPr="00356510">
        <w:t xml:space="preserve"> Longer latency effects can include cancers, reproductive and </w:t>
      </w:r>
      <w:r w:rsidR="001148DE" w:rsidRPr="00356510">
        <w:t xml:space="preserve">cumulative neurotoxic effects. </w:t>
      </w:r>
      <w:r w:rsidRPr="00356510">
        <w:t>Attribution of longer latency effects to particular exposures is often problematic given the temporal separ</w:t>
      </w:r>
      <w:r w:rsidR="001148DE" w:rsidRPr="00356510">
        <w:t xml:space="preserve">ation of the cause and effect. </w:t>
      </w:r>
      <w:r w:rsidRPr="00356510">
        <w:t xml:space="preserve">Like most toxicological effects, the health effects of dermal chemical exposure are influenced by the intensity of exposure (dosage or concentration of the exposure), </w:t>
      </w:r>
      <w:r w:rsidR="000E392B" w:rsidRPr="00356510">
        <w:t xml:space="preserve">and </w:t>
      </w:r>
      <w:r w:rsidRPr="00356510">
        <w:t>the frequency and duration of exposure (how often the individual was exposed and for how long), in addition to the toxicological nature of the chemical substance in question</w:t>
      </w:r>
      <w:r w:rsidR="00F5051E">
        <w:t xml:space="preserve"> </w:t>
      </w:r>
      <w:r w:rsidR="00AB2546">
        <w:fldChar w:fldCharType="begin">
          <w:fldData xml:space="preserve">PEVuZE5vdGU+PENpdGU+PEF1dGhvcj5CZW5rZTwvQXV0aG9yPjxZZWFyPjE5OTc8L1llYXI+PFJl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==
</w:fldData>
        </w:fldChar>
      </w:r>
      <w:r w:rsidR="00D562B7">
        <w:instrText xml:space="preserve"> ADDIN EN.CITE </w:instrText>
      </w:r>
      <w:r w:rsidR="00AB2546">
        <w:fldChar w:fldCharType="begin">
          <w:fldData xml:space="preserve">PEVuZE5vdGU+PENpdGU+PEF1dGhvcj5CZW5rZTwvQXV0aG9yPjxZZWFyPjE5OTc8L1llYXI+PFJl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==
</w:fldData>
        </w:fldChar>
      </w:r>
      <w:r w:rsidR="00D562B7">
        <w:instrText xml:space="preserve"> ADDIN EN.CITE.DATA </w:instrText>
      </w:r>
      <w:r w:rsidR="00AB2546">
        <w:fldChar w:fldCharType="end"/>
      </w:r>
      <w:r w:rsidR="00AB2546">
        <w:fldChar w:fldCharType="separate"/>
      </w:r>
      <w:r w:rsidR="00D562B7">
        <w:rPr>
          <w:noProof/>
        </w:rPr>
        <w:t>(</w:t>
      </w:r>
      <w:hyperlink w:anchor="_ENREF_5" w:tooltip="Benke, 1997 #784" w:history="1">
        <w:r w:rsidR="008E2C8E">
          <w:rPr>
            <w:noProof/>
          </w:rPr>
          <w:t>Benke et al. 1997</w:t>
        </w:r>
      </w:hyperlink>
      <w:r w:rsidR="00D562B7">
        <w:rPr>
          <w:noProof/>
        </w:rPr>
        <w:t>)</w:t>
      </w:r>
      <w:r w:rsidR="00AB2546">
        <w:fldChar w:fldCharType="end"/>
      </w:r>
      <w:r w:rsidR="00F5051E">
        <w:t>.</w:t>
      </w:r>
    </w:p>
    <w:p w:rsidR="00FA2943" w:rsidRPr="00356510" w:rsidRDefault="00FA2943" w:rsidP="0066783F">
      <w:r w:rsidRPr="00356510">
        <w:t>Whilst we acknowledge the range and importance of these multiple health effects, the questions asked of the NHEWS survey participants were developed with the intention of collecting information about dermal (skin-related) health effects of exposure to</w:t>
      </w:r>
      <w:r w:rsidR="009910FB">
        <w:t xml:space="preserve"> chemicals </w:t>
      </w:r>
      <w:r w:rsidR="00AB2546">
        <w:fldChar w:fldCharType="begin"/>
      </w:r>
      <w:r w:rsidR="00300A67">
        <w:instrText xml:space="preserve"> ADDIN EN.CITE &lt;EndNote&gt;&lt;Cite&gt;&lt;Author&gt;ASCC&lt;/Author&gt;&lt;Year&gt;2008&lt;/Year&gt;&lt;RecNum&gt;523&lt;/RecNum&gt;&lt;DisplayText&gt;(ASCC 2008)&lt;/DisplayText&gt;&lt;record&gt;&lt;rec-number&gt;523&lt;/rec-number&gt;&lt;foreign-keys&gt;&lt;key app="EN" db-id="sx9edz2tiw2008erzw75s5a65aepf9d2pvs9"&gt;523&lt;/key&gt;&lt;/foreign-keys&gt;&lt;ref-type name="Report"&gt;27&lt;/ref-type&gt;&lt;contributors&gt;&lt;authors&gt;&lt;author&gt;ASCC&lt;/author&gt;&lt;/authors&gt;&lt;/contributors&gt;&lt;titles&gt;&lt;title&gt;National Hazard Exposure Worker Surveillance (NHEWS) Survey: 2008 Results&lt;/title&gt;&lt;/titles&gt;&lt;dates&gt;&lt;year&gt;2008&lt;/year&gt;&lt;/dates&gt;&lt;pub-location&gt;Canberra&lt;/pub-location&gt;&lt;publisher&gt;Australian Government &lt;/publisher&gt;&lt;urls&gt;&lt;/urls&gt;&lt;/record&gt;&lt;/Cite&gt;&lt;/EndNote&gt;</w:instrText>
      </w:r>
      <w:r w:rsidR="00AB2546">
        <w:fldChar w:fldCharType="separate"/>
      </w:r>
      <w:r w:rsidR="00300A67">
        <w:rPr>
          <w:noProof/>
        </w:rPr>
        <w:t>(</w:t>
      </w:r>
      <w:hyperlink w:anchor="_ENREF_3" w:tooltip="ASCC, 2008 #523" w:history="1">
        <w:r w:rsidR="008E2C8E">
          <w:rPr>
            <w:noProof/>
          </w:rPr>
          <w:t>ASCC 2008</w:t>
        </w:r>
      </w:hyperlink>
      <w:r w:rsidR="00300A67">
        <w:rPr>
          <w:noProof/>
        </w:rPr>
        <w:t>)</w:t>
      </w:r>
      <w:r w:rsidR="00AB2546">
        <w:fldChar w:fldCharType="end"/>
      </w:r>
      <w:r w:rsidRPr="00356510">
        <w:t>. It is also recognised that self-reported data as a source of occupational exposure information are less useful for conditions of long latency such as cancer, as the worker is seldom kno</w:t>
      </w:r>
      <w:r w:rsidR="00555C5F">
        <w:t>wledgeable about the chemicals that</w:t>
      </w:r>
      <w:r w:rsidRPr="00356510">
        <w:t xml:space="preserve"> might have led</w:t>
      </w:r>
      <w:r w:rsidR="00555C5F">
        <w:t xml:space="preserve"> or lead</w:t>
      </w:r>
      <w:r w:rsidRPr="00356510">
        <w:t xml:space="preserve"> to </w:t>
      </w:r>
      <w:r w:rsidR="00555C5F">
        <w:t xml:space="preserve">the </w:t>
      </w:r>
      <w:r w:rsidRPr="00356510">
        <w:t>development of disease</w:t>
      </w:r>
      <w:r w:rsidR="009910FB">
        <w:t xml:space="preserve"> </w:t>
      </w:r>
      <w:r w:rsidR="00AB2546">
        <w:fldChar w:fldCharType="begin"/>
      </w:r>
      <w:r w:rsidR="00D562B7">
        <w:instrText xml:space="preserve"> ADDIN EN.CITE &lt;EndNote&gt;&lt;Cite&gt;&lt;Author&gt;Brooke&lt;/Author&gt;&lt;Year&gt;2005&lt;/Year&gt;&lt;RecNum&gt;1058&lt;/RecNum&gt;&lt;DisplayText&gt;(Brooke et al. 2005)&lt;/DisplayText&gt;&lt;record&gt;&lt;rec-number&gt;1058&lt;/rec-number&gt;&lt;foreign-keys&gt;&lt;key app="EN" db-id="sx9edz2tiw2008erzw75s5a65aepf9d2pvs9"&gt;1058&lt;/key&gt;&lt;/foreign-keys&gt;&lt;ref-type name="Report"&gt;27&lt;/ref-type&gt;&lt;contributors&gt;&lt;authors&gt;&lt;author&gt;Brooke, D&lt;/author&gt;&lt;author&gt;Cowley, S&lt;/author&gt;&lt;author&gt;Else, D&lt;/author&gt;&lt;author&gt;Leggett, S&lt;/author&gt;&lt;/authors&gt;&lt;/contributors&gt;&lt;titles&gt;&lt;title&gt;International Review of Surveillance and Control of Workplace Exposures&lt;/title&gt;&lt;/titles&gt;&lt;dates&gt;&lt;year&gt;2005&lt;/year&gt;&lt;/dates&gt;&lt;publisher&gt;Commonwealth of Australia &lt;/publisher&gt;&lt;urls&gt;&lt;/urls&gt;&lt;/record&gt;&lt;/Cite&gt;&lt;/EndNote&gt;</w:instrText>
      </w:r>
      <w:r w:rsidR="00AB2546">
        <w:fldChar w:fldCharType="separate"/>
      </w:r>
      <w:r w:rsidR="00D562B7">
        <w:rPr>
          <w:noProof/>
        </w:rPr>
        <w:t>(</w:t>
      </w:r>
      <w:hyperlink w:anchor="_ENREF_6" w:tooltip="Brooke, 2005 #1058" w:history="1">
        <w:r w:rsidR="008E2C8E">
          <w:rPr>
            <w:noProof/>
          </w:rPr>
          <w:t>Brooke et al. 2005</w:t>
        </w:r>
      </w:hyperlink>
      <w:r w:rsidR="00D562B7">
        <w:rPr>
          <w:noProof/>
        </w:rPr>
        <w:t>)</w:t>
      </w:r>
      <w:r w:rsidR="00AB2546">
        <w:fldChar w:fldCharType="end"/>
      </w:r>
      <w:r w:rsidR="00D562B7">
        <w:t>.</w:t>
      </w:r>
      <w:r w:rsidRPr="00356510">
        <w:t xml:space="preserve"> Self-reported data </w:t>
      </w:r>
      <w:r w:rsidR="00555C5F">
        <w:t xml:space="preserve">are </w:t>
      </w:r>
      <w:r w:rsidRPr="00356510">
        <w:t xml:space="preserve">also </w:t>
      </w:r>
      <w:r w:rsidR="00555C5F">
        <w:t>associated with the</w:t>
      </w:r>
      <w:r w:rsidRPr="00356510">
        <w:t xml:space="preserve"> problems of recall bias, particularly when the health effect in question has a long latency. </w:t>
      </w:r>
    </w:p>
    <w:p w:rsidR="00FA2943" w:rsidRPr="00356510" w:rsidRDefault="00FA2943" w:rsidP="0066783F">
      <w:r w:rsidRPr="00356510">
        <w:t>Allergic and irritant occupational contact dermatitis, associated with skin exposure to chemicals, is a significant and widespread problem in Australian workplaces. Previous studies have reported associations between exposure of the skin to chemicals at work and the development of both irritant and allergic contact dermatitis</w:t>
      </w:r>
      <w:r w:rsidR="009910FB">
        <w:t xml:space="preserve"> </w:t>
      </w:r>
      <w:r w:rsidR="00AB2546">
        <w:fldChar w:fldCharType="begin">
          <w:fldData xml:space="preserve">PEVuZE5vdGU+PENpdGU+PEF1dGhvcj5OaXhvbjwvQXV0aG9yPjxZZWFyPjE5OTE8L1llYXI+PFJl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</w:fldData>
        </w:fldChar>
      </w:r>
      <w:r w:rsidR="009910FB">
        <w:instrText xml:space="preserve"> ADDIN EN.CITE </w:instrText>
      </w:r>
      <w:r w:rsidR="00AB2546">
        <w:fldChar w:fldCharType="begin">
          <w:fldData xml:space="preserve">PEVuZE5vdGU+PENpdGU+PEF1dGhvcj5OaXhvbjwvQXV0aG9yPjxZZWFyPjE5OTE8L1llYXI+PFJl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</w:fldData>
        </w:fldChar>
      </w:r>
      <w:r w:rsidR="009910FB">
        <w:instrText xml:space="preserve"> ADDIN EN.CITE.DATA </w:instrText>
      </w:r>
      <w:r w:rsidR="00AB2546">
        <w:fldChar w:fldCharType="end"/>
      </w:r>
      <w:r w:rsidR="00AB2546">
        <w:fldChar w:fldCharType="separate"/>
      </w:r>
      <w:r w:rsidR="009910FB">
        <w:rPr>
          <w:noProof/>
        </w:rPr>
        <w:t>(</w:t>
      </w:r>
      <w:hyperlink w:anchor="_ENREF_22" w:tooltip="Nixon, 1991 #290" w:history="1">
        <w:r w:rsidR="008E2C8E">
          <w:rPr>
            <w:noProof/>
          </w:rPr>
          <w:t>Nixon &amp; Frowen 1991</w:t>
        </w:r>
      </w:hyperlink>
      <w:r w:rsidR="009910FB">
        <w:rPr>
          <w:noProof/>
        </w:rPr>
        <w:t xml:space="preserve">; </w:t>
      </w:r>
      <w:hyperlink w:anchor="_ENREF_23" w:tooltip="Nixon, 2004 #314" w:history="1">
        <w:r w:rsidR="008E2C8E">
          <w:rPr>
            <w:noProof/>
          </w:rPr>
          <w:t>Nixon &amp; Moyle 2004</w:t>
        </w:r>
      </w:hyperlink>
      <w:r w:rsidR="009910FB">
        <w:rPr>
          <w:noProof/>
        </w:rPr>
        <w:t xml:space="preserve">; </w:t>
      </w:r>
      <w:hyperlink w:anchor="_ENREF_24" w:tooltip="Nixon, 2005 #318" w:history="1">
        <w:r w:rsidR="008E2C8E">
          <w:rPr>
            <w:noProof/>
          </w:rPr>
          <w:t>Nixon et al. 2005</w:t>
        </w:r>
      </w:hyperlink>
      <w:r w:rsidR="009910FB">
        <w:rPr>
          <w:noProof/>
        </w:rPr>
        <w:t xml:space="preserve">; </w:t>
      </w:r>
      <w:hyperlink w:anchor="_ENREF_26" w:tooltip="Nixon, 2007 #359" w:history="1">
        <w:r w:rsidR="008E2C8E">
          <w:rPr>
            <w:noProof/>
          </w:rPr>
          <w:t>Nixon &amp; Williams 2007</w:t>
        </w:r>
      </w:hyperlink>
      <w:r w:rsidR="009910FB">
        <w:rPr>
          <w:noProof/>
        </w:rPr>
        <w:t>)</w:t>
      </w:r>
      <w:r w:rsidR="00AB2546">
        <w:fldChar w:fldCharType="end"/>
      </w:r>
      <w:r w:rsidR="009910FB">
        <w:t>.</w:t>
      </w:r>
      <w:r w:rsidRPr="00356510">
        <w:t xml:space="preserve"> Allergic and irritant occupational contact dermatitis are comparatively short latency conditions and therefore self-reported data may be more informative in this context because of the temporal proximity of the exposure to the potential disease outcome. For these reasons the present report analyses the self-reported chemical exposures and protective measures data from the NHEWS survey primarily in the contextual framework of allergic and irritant occupational contact dermatitis.</w:t>
      </w:r>
    </w:p>
    <w:p w:rsidR="00FA2943" w:rsidRPr="00356510" w:rsidRDefault="00FA2943" w:rsidP="0066783F">
      <w:r w:rsidRPr="00356510">
        <w:t>Contact dermatitis is the most common occupational skin disease in westernised industrial countries (approximately 90-95% of all occupational skin disease)</w:t>
      </w:r>
      <w:r w:rsidR="00326A59">
        <w:t xml:space="preserve"> </w:t>
      </w:r>
      <w:r w:rsidR="00AB2546">
        <w:fldChar w:fldCharType="begin"/>
      </w:r>
      <w:r w:rsidR="00326A59">
        <w:instrText xml:space="preserve"> ADDIN EN.CITE &lt;EndNote&gt;&lt;Cite&gt;&lt;Author&gt;Lushniak&lt;/Author&gt;&lt;Year&gt;1995&lt;/Year&gt;&lt;RecNum&gt;418&lt;/RecNum&gt;&lt;DisplayText&gt;(Lushniak 1995)&lt;/DisplayText&gt;&lt;record&gt;&lt;rec-number&gt;418&lt;/rec-number&gt;&lt;foreign-keys&gt;&lt;key app="EN" db-id="sx9edz2tiw2008erzw75s5a65aepf9d2pvs9"&gt;418&lt;/key&gt;&lt;/foreign-keys&gt;&lt;ref-type name="Journal Article"&gt;17&lt;/ref-type&gt;&lt;contributors&gt;&lt;authors&gt;&lt;author&gt;Lushniak, B. D.&lt;/author&gt;&lt;/authors&gt;&lt;/contributors&gt;&lt;titles&gt;&lt;title&gt;The Epidemiology of Occupational Contact-Dermatitis&lt;/title&gt;&lt;secondary-title&gt;Dermatologic Clinics&lt;/secondary-title&gt;&lt;/titles&gt;&lt;pages&gt;671-680&lt;/pages&gt;&lt;volume&gt;13&lt;/volume&gt;&lt;number&gt;3&lt;/number&gt;&lt;dates&gt;&lt;year&gt;1995&lt;/year&gt;&lt;pub-dates&gt;&lt;date&gt;Jul&lt;/date&gt;&lt;/pub-dates&gt;&lt;/dates&gt;&lt;accession-num&gt;ISI:A1995RK27800016&lt;/accession-num&gt;&lt;urls&gt;&lt;related-urls&gt;&lt;url&gt;&amp;lt;Go to ISI&amp;gt;://A1995RK27800016 &lt;/url&gt;&lt;/related-urls&gt;&lt;/urls&gt;&lt;/record&gt;&lt;/Cite&gt;&lt;/EndNote&gt;</w:instrText>
      </w:r>
      <w:r w:rsidR="00AB2546">
        <w:fldChar w:fldCharType="separate"/>
      </w:r>
      <w:r w:rsidR="00326A59">
        <w:rPr>
          <w:noProof/>
        </w:rPr>
        <w:t>(</w:t>
      </w:r>
      <w:hyperlink w:anchor="_ENREF_17" w:tooltip="Lushniak, 1995 #418" w:history="1">
        <w:r w:rsidR="008E2C8E">
          <w:rPr>
            <w:noProof/>
          </w:rPr>
          <w:t>Lushniak 1995</w:t>
        </w:r>
      </w:hyperlink>
      <w:r w:rsidR="00326A59">
        <w:rPr>
          <w:noProof/>
        </w:rPr>
        <w:t>)</w:t>
      </w:r>
      <w:r w:rsidR="00AB2546">
        <w:fldChar w:fldCharType="end"/>
      </w:r>
      <w:r w:rsidR="009910FB">
        <w:t>.</w:t>
      </w:r>
      <w:r w:rsidRPr="00356510">
        <w:t xml:space="preserve"> </w:t>
      </w:r>
      <w:r w:rsidR="00F428AE" w:rsidRPr="00356510">
        <w:t>A recent analysis found o</w:t>
      </w:r>
      <w:r w:rsidRPr="00356510">
        <w:t>ccupational skin disease, which includes occupational contact dermatitis</w:t>
      </w:r>
      <w:r w:rsidR="00FE5F2D">
        <w:t>,</w:t>
      </w:r>
      <w:r w:rsidRPr="00356510">
        <w:t xml:space="preserve"> was the second most common work-related problem presenting to general practitioners in Australia</w:t>
      </w:r>
      <w:r w:rsidR="00326A59">
        <w:t xml:space="preserve"> </w:t>
      </w:r>
      <w:r w:rsidR="00AB2546">
        <w:fldChar w:fldCharType="begin"/>
      </w:r>
      <w:r w:rsidR="00326A59">
        <w:instrText xml:space="preserve"> ADDIN EN.CITE &lt;EndNote&gt;&lt;Cite&gt;&lt;Author&gt;Hendrie&lt;/Author&gt;&lt;Year&gt;2003&lt;/Year&gt;&lt;RecNum&gt;495&lt;/RecNum&gt;&lt;DisplayText&gt;(Hendrie &amp;amp; Driscoll 2003)&lt;/DisplayText&gt;&lt;record&gt;&lt;rec-number&gt;495&lt;/rec-number&gt;&lt;foreign-keys&gt;&lt;key app="EN" db-id="sx9edz2tiw2008erzw75s5a65aepf9d2pvs9"&gt;495&lt;/key&gt;&lt;/foreign-keys&gt;&lt;ref-type name="Journal Article"&gt;17&lt;/ref-type&gt;&lt;contributors&gt;&lt;authors&gt;&lt;author&gt;Hendrie, L&lt;/author&gt;&lt;author&gt;Driscoll, T&lt;/author&gt;&lt;/authors&gt;&lt;/contributors&gt;&lt;titles&gt;&lt;title&gt;Work-related presentations to general practitoners in Australia&lt;/title&gt;&lt;secondary-title&gt;Journal of Occupational Health and Safety- Australia and New Zealand&lt;/secondary-title&gt;&lt;/titles&gt;&lt;pages&gt;133-143&lt;/pages&gt;&lt;volume&gt;19&lt;/volume&gt;&lt;dates&gt;&lt;year&gt;2003&lt;/year&gt;&lt;/dates&gt;&lt;urls&gt;&lt;/urls&gt;&lt;/record&gt;&lt;/Cite&gt;&lt;/EndNote&gt;</w:instrText>
      </w:r>
      <w:r w:rsidR="00AB2546">
        <w:fldChar w:fldCharType="separate"/>
      </w:r>
      <w:r w:rsidR="00326A59">
        <w:rPr>
          <w:noProof/>
        </w:rPr>
        <w:t>(</w:t>
      </w:r>
      <w:hyperlink w:anchor="_ENREF_9" w:tooltip="Hendrie, 2003 #495" w:history="1">
        <w:r w:rsidR="008E2C8E">
          <w:rPr>
            <w:noProof/>
          </w:rPr>
          <w:t>Hendrie &amp; Driscoll 2003</w:t>
        </w:r>
      </w:hyperlink>
      <w:r w:rsidR="00326A59">
        <w:rPr>
          <w:noProof/>
        </w:rPr>
        <w:t>)</w:t>
      </w:r>
      <w:r w:rsidR="00AB2546">
        <w:fldChar w:fldCharType="end"/>
      </w:r>
      <w:r w:rsidR="009910FB">
        <w:rPr>
          <w:noProof/>
        </w:rPr>
        <w:t>.</w:t>
      </w:r>
      <w:r w:rsidRPr="00356510">
        <w:t xml:space="preserve"> Occupational contact dermatitis is a skin problem usually affecting the hands, although other sites may be affected or become involved later</w:t>
      </w:r>
      <w:r w:rsidR="00326A59">
        <w:t xml:space="preserve"> </w:t>
      </w:r>
      <w:r w:rsidR="00AB2546">
        <w:fldChar w:fldCharType="begin"/>
      </w:r>
      <w:r w:rsidR="00326A59">
        <w:instrText xml:space="preserve"> ADDIN EN.CITE &lt;EndNote&gt;&lt;Cite&gt;&lt;Author&gt;Rietschel&lt;/Author&gt;&lt;Year&gt;2002&lt;/Year&gt;&lt;RecNum&gt;216&lt;/RecNum&gt;&lt;DisplayText&gt;(Rietschel et al. 2002)&lt;/DisplayText&gt;&lt;record&gt;&lt;rec-number&gt;216&lt;/rec-number&gt;&lt;foreign-keys&gt;&lt;key app="EN" db-id="sx9edz2tiw2008erzw75s5a65aepf9d2pvs9"&gt;216&lt;/key&gt;&lt;/foreign-keys&gt;&lt;ref-type name="Journal Article"&gt;17&lt;/ref-type&gt;&lt;contributors&gt;&lt;authors&gt;&lt;author&gt;Rietschel, Robert L&lt;/author&gt;&lt;author&gt;Mathias, C G Toby&lt;/author&gt;&lt;author&gt;Fowler, Joseph F, Jr&lt;/author&gt;&lt;author&gt;Pratt, Melanie&lt;/author&gt;&lt;author&gt;Taylor, James S&lt;/author&gt;&lt;author&gt;Sheretz, Elizabeth F&lt;/author&gt;&lt;author&gt;Marks, James G, Jr&lt;/author&gt;&lt;author&gt;Belsito, Donald V&lt;/author&gt;&lt;author&gt;Storrs, Frances J&lt;/author&gt;&lt;author&gt;Maibach, Howard I&lt;/author&gt;&lt;author&gt;Fransway, Anthony F&lt;/author&gt;&lt;author&gt;DeLeo, Vincent&lt;/author&gt;&lt;/authors&gt;&lt;/contributors&gt;&lt;titles&gt;&lt;title&gt;Relationship of Occupation to Cotnact Dermatitis: Evaluation in Patients Tested from 1998 to 2000&lt;/title&gt;&lt;secondary-title&gt;American Journal of Contact Dermatitis&lt;/secondary-title&gt;&lt;/titles&gt;&lt;pages&gt;170-176&lt;/pages&gt;&lt;volume&gt;13&lt;/volume&gt;&lt;number&gt;4&lt;/number&gt;&lt;keywords&gt;&lt;keyword&gt;non-occupational environmental exposures&lt;/keyword&gt;&lt;keyword&gt;allergic contact dermatitis&lt;/keyword&gt;&lt;keyword&gt;evaluation in patients&lt;/keyword&gt;&lt;/keywords&gt;&lt;dates&gt;&lt;year&gt;2002&lt;/year&gt;&lt;/dates&gt;&lt;urls&gt;&lt;/urls&gt;&lt;/record&gt;&lt;/Cite&gt;&lt;/EndNote&gt;</w:instrText>
      </w:r>
      <w:r w:rsidR="00AB2546">
        <w:fldChar w:fldCharType="separate"/>
      </w:r>
      <w:r w:rsidR="00326A59">
        <w:rPr>
          <w:noProof/>
        </w:rPr>
        <w:t>(</w:t>
      </w:r>
      <w:hyperlink w:anchor="_ENREF_30" w:tooltip="Rietschel, 2002 #216" w:history="1">
        <w:r w:rsidR="008E2C8E">
          <w:rPr>
            <w:noProof/>
          </w:rPr>
          <w:t>Rietschel et al. 2002</w:t>
        </w:r>
      </w:hyperlink>
      <w:r w:rsidR="00326A59">
        <w:rPr>
          <w:noProof/>
        </w:rPr>
        <w:t>)</w:t>
      </w:r>
      <w:r w:rsidR="00AB2546">
        <w:fldChar w:fldCharType="end"/>
      </w:r>
      <w:r w:rsidR="00BA2D7B">
        <w:t xml:space="preserve">. </w:t>
      </w:r>
      <w:r w:rsidRPr="00356510">
        <w:t xml:space="preserve">There are two main types of contact dermatitis. Irritant contact dermatitis is caused by acute </w:t>
      </w:r>
      <w:r w:rsidR="000327D1" w:rsidRPr="00356510">
        <w:t xml:space="preserve">dermal </w:t>
      </w:r>
      <w:r w:rsidRPr="00356510">
        <w:t xml:space="preserve">exposure to strongly acidic or alkaline substances, or by the cumulative effect of ongoing </w:t>
      </w:r>
      <w:r w:rsidR="000327D1" w:rsidRPr="00356510">
        <w:t xml:space="preserve">dermal </w:t>
      </w:r>
      <w:r w:rsidRPr="00356510">
        <w:t>exposure to substances such as soap and water. Allergic contact dermatitis is caused by sensitisers contacting the skin and eliciting a Type IV immune response (typically delayed, 4-24 hours following contact), and is detected by patch testing</w:t>
      </w:r>
      <w:r w:rsidR="00326A59">
        <w:t xml:space="preserve"> </w:t>
      </w:r>
      <w:r w:rsidR="00AB2546">
        <w:fldChar w:fldCharType="begin"/>
      </w:r>
      <w:r w:rsidR="00326A59">
        <w:instrText xml:space="preserve"> ADDIN EN.CITE &lt;EndNote&gt;&lt;Cite&gt;&lt;Author&gt;Nixon&lt;/Author&gt;&lt;Year&gt;2005&lt;/Year&gt;&lt;RecNum&gt;322&lt;/RecNum&gt;&lt;DisplayText&gt;(Nixon &amp;amp; Frowen 2005)&lt;/DisplayText&gt;&lt;record&gt;&lt;rec-number&gt;322&lt;/rec-number&gt;&lt;foreign-keys&gt;&lt;key app="EN" db-id="sx9edz2tiw2008erzw75s5a65aepf9d2pvs9"&gt;322&lt;/key&gt;&lt;/foreign-keys&gt;&lt;ref-type name="Journal Article"&gt;17&lt;/ref-type&gt;&lt;contributors&gt;&lt;authors&gt;&lt;author&gt;Nixon, Rosemary &lt;/author&gt;&lt;author&gt;Frowen, Kathryn&lt;/author&gt;&lt;/authors&gt;&lt;/contributors&gt;&lt;titles&gt;&lt;title&gt;The importance of multiple diagnoses in patients with occupational contact dermatitis&lt;/title&gt;&lt;secondary-title&gt;Australasian Journal of Dermatology&lt;/secondary-title&gt;&lt;/titles&gt;&lt;pages&gt;A34-A35&lt;/pages&gt;&lt;volume&gt;46&lt;/volume&gt;&lt;keywords&gt;&lt;keyword&gt;nurse&lt;/keyword&gt;&lt;keyword&gt;hand dermatitis&lt;/keyword&gt;&lt;keyword&gt;patch testing&lt;/keyword&gt;&lt;keyword&gt;coconut dietanolamide&lt;/keyword&gt;&lt;/keywords&gt;&lt;dates&gt;&lt;year&gt;2005&lt;/year&gt;&lt;/dates&gt;&lt;urls&gt;&lt;/urls&gt;&lt;/record&gt;&lt;/Cite&gt;&lt;/EndNote&gt;</w:instrText>
      </w:r>
      <w:r w:rsidR="00AB2546">
        <w:fldChar w:fldCharType="separate"/>
      </w:r>
      <w:r w:rsidR="00326A59">
        <w:rPr>
          <w:noProof/>
        </w:rPr>
        <w:t>(</w:t>
      </w:r>
      <w:hyperlink w:anchor="_ENREF_25" w:tooltip="Nixon, 2005 #322" w:history="1">
        <w:r w:rsidR="008E2C8E">
          <w:rPr>
            <w:noProof/>
          </w:rPr>
          <w:t>Nixon &amp; Frowen 2005</w:t>
        </w:r>
      </w:hyperlink>
      <w:r w:rsidR="00326A59">
        <w:rPr>
          <w:noProof/>
        </w:rPr>
        <w:t>)</w:t>
      </w:r>
      <w:r w:rsidR="00AB2546">
        <w:fldChar w:fldCharType="end"/>
      </w:r>
      <w:r w:rsidR="00D97694">
        <w:t>.</w:t>
      </w:r>
      <w:r w:rsidRPr="00356510">
        <w:t xml:space="preserve"> Diagnosis of occupational contact dermatitis requires assessment by an occupational dermatologist, using a specific set of diagnostic criteria</w:t>
      </w:r>
      <w:r w:rsidR="00326A59">
        <w:t xml:space="preserve"> </w:t>
      </w:r>
      <w:r w:rsidR="00AB2546">
        <w:fldChar w:fldCharType="begin"/>
      </w:r>
      <w:r w:rsidR="00326A59">
        <w:instrText xml:space="preserve"> ADDIN EN.CITE &lt;EndNote&gt;&lt;Cite&gt;&lt;Author&gt;Mathias&lt;/Author&gt;&lt;Year&gt;1989&lt;/Year&gt;&lt;RecNum&gt;223&lt;/RecNum&gt;&lt;DisplayText&gt;(Mathias 1989)&lt;/DisplayText&gt;&lt;record&gt;&lt;rec-number&gt;223&lt;/rec-number&gt;&lt;foreign-keys&gt;&lt;key app="EN" db-id="sx9edz2tiw2008erzw75s5a65aepf9d2pvs9"&gt;223&lt;/key&gt;&lt;/foreign-keys&gt;&lt;ref-type name="Journal Article"&gt;17&lt;/ref-type&gt;&lt;contributors&gt;&lt;authors&gt;&lt;author&gt;Mathias, C G Toby&lt;/author&gt;&lt;/authors&gt;&lt;/contributors&gt;&lt;titles&gt;&lt;title&gt;Contact dermatitis and workers&amp;apos; compensation: Criteria for establishing occupational causation and aggravation&lt;/title&gt;&lt;secondary-title&gt;J Am Acad Dermatol&lt;/secondary-title&gt;&lt;/titles&gt;&lt;pages&gt;842-8&lt;/pages&gt;&lt;volume&gt;20&lt;/volume&gt;&lt;keywords&gt;&lt;keyword&gt;contact dermatitis&lt;/keyword&gt;&lt;keyword&gt;skin disease&lt;/keyword&gt;&lt;keyword&gt;workers&amp;apos; compensation&lt;/keyword&gt;&lt;/keywords&gt;&lt;dates&gt;&lt;year&gt;1989&lt;/year&gt;&lt;/dates&gt;&lt;urls&gt;&lt;/urls&gt;&lt;/record&gt;&lt;/Cite&gt;&lt;/EndNote&gt;</w:instrText>
      </w:r>
      <w:r w:rsidR="00AB2546">
        <w:fldChar w:fldCharType="separate"/>
      </w:r>
      <w:r w:rsidR="00326A59">
        <w:rPr>
          <w:noProof/>
        </w:rPr>
        <w:t>(</w:t>
      </w:r>
      <w:hyperlink w:anchor="_ENREF_21" w:tooltip="Mathias, 1989 #223" w:history="1">
        <w:r w:rsidR="008E2C8E">
          <w:rPr>
            <w:noProof/>
          </w:rPr>
          <w:t>Mathias 1989</w:t>
        </w:r>
      </w:hyperlink>
      <w:r w:rsidR="00326A59">
        <w:rPr>
          <w:noProof/>
        </w:rPr>
        <w:t>)</w:t>
      </w:r>
      <w:r w:rsidR="00AB2546">
        <w:fldChar w:fldCharType="end"/>
      </w:r>
      <w:r w:rsidR="00D97694">
        <w:t>,</w:t>
      </w:r>
      <w:r w:rsidRPr="00356510">
        <w:t xml:space="preserve"> along with patch testing, and if required, radioallergosorbent (RAST) tests or prick testing.</w:t>
      </w:r>
    </w:p>
    <w:p w:rsidR="00FA2943" w:rsidRPr="00356510" w:rsidRDefault="00FA2943" w:rsidP="0066783F">
      <w:r w:rsidRPr="00356510">
        <w:t>There are many inconsistencies in the terminology utilised for occupational contact dermatitis. Some authors use the term "hand eczema" or "hand dermatitis" to encompass all skin conditions affecting the hands, whil</w:t>
      </w:r>
      <w:r w:rsidR="00FE5F2D">
        <w:t>e</w:t>
      </w:r>
      <w:r w:rsidRPr="00356510">
        <w:t xml:space="preserve"> others prefer "hand eczema" for endogenous </w:t>
      </w:r>
      <w:r w:rsidRPr="00356510">
        <w:lastRenderedPageBreak/>
        <w:t>disease, and “hand dermatitis” for exogenous disease, some of which may be occupational in origin. The definition of occupational contact dermatitis may also vary, sometimes because of different legal requirements necessary for a successful workers' compensation claim. For the purpose of the present report, “occupational contact dermatitis” is understood as exogenous skin disease associated with occupational chemical exposures</w:t>
      </w:r>
      <w:r w:rsidR="001148DE" w:rsidRPr="00356510">
        <w:t xml:space="preserve">. </w:t>
      </w:r>
    </w:p>
    <w:p w:rsidR="00FA2943" w:rsidRPr="00356510" w:rsidRDefault="00FA2943" w:rsidP="0066783F">
      <w:r w:rsidRPr="00356510">
        <w:t>Available statistics for occupational contact dermatitis are generally considered to underestimate disease prevalence and incidence</w:t>
      </w:r>
      <w:r w:rsidR="00A903DC">
        <w:t xml:space="preserve"> </w:t>
      </w:r>
      <w:r w:rsidR="00AB2546">
        <w:fldChar w:fldCharType="begin">
          <w:fldData xml:space="preserve">PEVuZE5vdGU+PENpdGU+PEF1dGhvcj5Sb3NlbjwvQXV0aG9yPjxZZWFyPjE5OTI8L1llYXI+PFJl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</w:fldData>
        </w:fldChar>
      </w:r>
      <w:r w:rsidR="00A903DC">
        <w:instrText xml:space="preserve"> ADDIN EN.CITE </w:instrText>
      </w:r>
      <w:r w:rsidR="00AB2546">
        <w:fldChar w:fldCharType="begin">
          <w:fldData xml:space="preserve">PEVuZE5vdGU+PENpdGU+PEF1dGhvcj5Sb3NlbjwvQXV0aG9yPjxZZWFyPjE5OTI8L1llYXI+PFJl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</w:fldData>
        </w:fldChar>
      </w:r>
      <w:r w:rsidR="00A903DC">
        <w:instrText xml:space="preserve"> ADDIN EN.CITE.DATA </w:instrText>
      </w:r>
      <w:r w:rsidR="00AB2546">
        <w:fldChar w:fldCharType="end"/>
      </w:r>
      <w:r w:rsidR="00AB2546">
        <w:fldChar w:fldCharType="separate"/>
      </w:r>
      <w:r w:rsidR="00A903DC">
        <w:rPr>
          <w:noProof/>
        </w:rPr>
        <w:t>(</w:t>
      </w:r>
      <w:hyperlink w:anchor="_ENREF_12" w:tooltip="Keegel, 2005 #337" w:history="1">
        <w:r w:rsidR="008E2C8E">
          <w:rPr>
            <w:noProof/>
          </w:rPr>
          <w:t>Keegel et al. 2005</w:t>
        </w:r>
      </w:hyperlink>
      <w:r w:rsidR="00A903DC">
        <w:rPr>
          <w:noProof/>
        </w:rPr>
        <w:t xml:space="preserve">; </w:t>
      </w:r>
      <w:hyperlink w:anchor="_ENREF_13" w:tooltip="Keegel, 2007 #364" w:history="1">
        <w:r w:rsidR="008E2C8E">
          <w:rPr>
            <w:noProof/>
          </w:rPr>
          <w:t>Keegel et al. 2007</w:t>
        </w:r>
      </w:hyperlink>
      <w:r w:rsidR="00A903DC">
        <w:rPr>
          <w:noProof/>
        </w:rPr>
        <w:t xml:space="preserve">; </w:t>
      </w:r>
      <w:hyperlink w:anchor="_ENREF_31" w:tooltip="Rosen, 1992 #460" w:history="1">
        <w:r w:rsidR="008E2C8E">
          <w:rPr>
            <w:noProof/>
          </w:rPr>
          <w:t>Rosen &amp; Freeman 1992</w:t>
        </w:r>
      </w:hyperlink>
      <w:r w:rsidR="00A903DC">
        <w:rPr>
          <w:noProof/>
        </w:rPr>
        <w:t>)</w:t>
      </w:r>
      <w:r w:rsidR="00AB2546">
        <w:fldChar w:fldCharType="end"/>
      </w:r>
      <w:r w:rsidR="00D97694">
        <w:rPr>
          <w:noProof/>
        </w:rPr>
        <w:t>.</w:t>
      </w:r>
      <w:r w:rsidRPr="00356510">
        <w:t xml:space="preserve"> There are many underlying reasons for this. Medical practitioners do not always ask about workplace exposures and thus do not recognise the contribution of the workplace to the disease</w:t>
      </w:r>
      <w:r w:rsidR="00A903DC">
        <w:t xml:space="preserve"> </w:t>
      </w:r>
      <w:r w:rsidR="00AB2546">
        <w:fldChar w:fldCharType="begin"/>
      </w:r>
      <w:r w:rsidR="00A903DC">
        <w:instrText xml:space="preserve"> ADDIN EN.CITE &lt;EndNote&gt;&lt;Cite&gt;&lt;Author&gt;Holness&lt;/Author&gt;&lt;Year&gt;2004&lt;/Year&gt;&lt;RecNum&gt;342&lt;/RecNum&gt;&lt;DisplayText&gt;(Holness 2004)&lt;/DisplayText&gt;&lt;record&gt;&lt;rec-number&gt;342&lt;/rec-number&gt;&lt;foreign-keys&gt;&lt;key app="EN" db-id="sx9edz2tiw2008erzw75s5a65aepf9d2pvs9"&gt;342&lt;/key&gt;&lt;/foreign-keys&gt;&lt;ref-type name="Journal Article"&gt;17&lt;/ref-type&gt;&lt;contributors&gt;&lt;authors&gt;&lt;author&gt;Holness, D. L.&lt;/author&gt;&lt;/authors&gt;&lt;/contributors&gt;&lt;titles&gt;&lt;title&gt;Health care services use by workers with work-related contact dermatitis&lt;/title&gt;&lt;secondary-title&gt;Dermatitis&lt;/secondary-title&gt;&lt;/titles&gt;&lt;pages&gt;18-24&lt;/pages&gt;&lt;volume&gt;15&lt;/volume&gt;&lt;number&gt;1&lt;/number&gt;&lt;keywords&gt;&lt;keyword&gt;Adult&lt;/keyword&gt;&lt;keyword&gt;Dermatitis, Allergic Contact/pa [Pathology]&lt;/keyword&gt;&lt;keyword&gt;*Dermatitis, Allergic Contact/th [Therapy]&lt;/keyword&gt;&lt;keyword&gt;Dermatitis, Occupational/pa [Pathology]&lt;/keyword&gt;&lt;keyword&gt;*Dermatitis, Occupational/th [Therapy]&lt;/keyword&gt;&lt;keyword&gt;Female&lt;/keyword&gt;&lt;keyword&gt;Humans&lt;/keyword&gt;&lt;keyword&gt;Male&lt;/keyword&gt;&lt;keyword&gt;Middle Aged&lt;/keyword&gt;&lt;keyword&gt;*Occupational Health Services/ut [Utilization]&lt;/keyword&gt;&lt;keyword&gt;Ontario&lt;/keyword&gt;&lt;keyword&gt;Patient Acceptance of Health Care&lt;/keyword&gt;&lt;keyword&gt;Questionnaires&lt;/keyword&gt;&lt;keyword&gt;Research Support, Non-U.S. Gov&amp;apos;t&lt;/keyword&gt;&lt;/keywords&gt;&lt;dates&gt;&lt;year&gt;2004&lt;/year&gt;&lt;/dates&gt;&lt;urls&gt;&lt;/urls&gt;&lt;/record&gt;&lt;/Cite&gt;&lt;/EndNote&gt;</w:instrText>
      </w:r>
      <w:r w:rsidR="00AB2546">
        <w:fldChar w:fldCharType="separate"/>
      </w:r>
      <w:r w:rsidR="00A903DC">
        <w:rPr>
          <w:noProof/>
        </w:rPr>
        <w:t>(</w:t>
      </w:r>
      <w:hyperlink w:anchor="_ENREF_11" w:tooltip="Holness, 2004 #342" w:history="1">
        <w:r w:rsidR="008E2C8E">
          <w:rPr>
            <w:noProof/>
          </w:rPr>
          <w:t>Holness 2004</w:t>
        </w:r>
      </w:hyperlink>
      <w:r w:rsidR="00A903DC">
        <w:rPr>
          <w:noProof/>
        </w:rPr>
        <w:t>)</w:t>
      </w:r>
      <w:r w:rsidR="00AB2546">
        <w:fldChar w:fldCharType="end"/>
      </w:r>
      <w:r w:rsidR="00D97694">
        <w:t xml:space="preserve">. </w:t>
      </w:r>
      <w:r w:rsidRPr="00356510">
        <w:t>Even if an occupational relationship is suspected, many workers affected by occupational contact dermatitis do not claim workers' compensation or even seek medical advice, and their access to both varies widely throughout the world. Relevant insurance bodies may not accept some claims even if the dermatitis does arise from work exposures. Meeting an expense threshold, or minimum period away from work, or the existence of permanent impairment may be required for a successful claim in some jurisdictions. Best international estimates of incidence and prevalence rates of occupational contact dermatitis, obtained from reporting schemes using medical practitioners as voluntary reporters</w:t>
      </w:r>
      <w:r w:rsidR="00285E59" w:rsidRPr="00356510">
        <w:t>,</w:t>
      </w:r>
      <w:r w:rsidRPr="00356510">
        <w:t xml:space="preserve"> range between 1.3 per 10 000 workers in the UK to 15 per 10 000 workers in the Netherlands</w:t>
      </w:r>
      <w:r w:rsidR="00A903DC">
        <w:t xml:space="preserve"> </w:t>
      </w:r>
      <w:r w:rsidR="00AB2546">
        <w:fldChar w:fldCharType="begin"/>
      </w:r>
      <w:r w:rsidR="00A903DC">
        <w:instrText xml:space="preserve"> ADDIN EN.CITE &lt;EndNote&gt;&lt;Cite&gt;&lt;Author&gt;Keegel&lt;/Author&gt;&lt;Year&gt;2009&lt;/Year&gt;&lt;RecNum&gt;480&lt;/RecNum&gt;&lt;DisplayText&gt;(Keegel et al. 2009)&lt;/DisplayText&gt;&lt;record&gt;&lt;rec-number&gt;480&lt;/rec-number&gt;&lt;foreign-keys&gt;&lt;key app="EN" db-id="sx9edz2tiw2008erzw75s5a65aepf9d2pvs9"&gt;480&lt;/key&gt;&lt;/foreign-keys&gt;&lt;ref-type name="Journal Article"&gt;17&lt;/ref-type&gt;&lt;contributors&gt;&lt;authors&gt;&lt;author&gt;Keegel, T.&lt;/author&gt;&lt;author&gt;Moyle, M.&lt;/author&gt;&lt;author&gt;Dharmage, S.&lt;/author&gt;&lt;author&gt;Frowen, K.&lt;/author&gt;&lt;author&gt;Nixon, R.&lt;/author&gt;&lt;/authors&gt;&lt;/contributors&gt;&lt;auth-address&gt;Occupational Dermatology Research and Education Centre, Skin and Cancer Foundation Inc., Melbourne, Victoria, Australia.&lt;/auth-address&gt;&lt;titles&gt;&lt;title&gt;The epidemiology of occupational contact dermatitis (1990-2007): a systematic review&lt;/title&gt;&lt;secondary-title&gt;Int J Dermatol&lt;/secondary-title&gt;&lt;/titles&gt;&lt;pages&gt;571-8&lt;/pages&gt;&lt;volume&gt;48&lt;/volume&gt;&lt;number&gt;6&lt;/number&gt;&lt;edition&gt;2009/06/23&lt;/edition&gt;&lt;keywords&gt;&lt;keyword&gt;Dermatitis, Contact/*epidemiology&lt;/keyword&gt;&lt;keyword&gt;Humans&lt;/keyword&gt;&lt;keyword&gt;Occupational Diseases/*epidemiology&lt;/keyword&gt;&lt;keyword&gt;World Health&lt;/keyword&gt;&lt;/keywords&gt;&lt;dates&gt;&lt;year&gt;2009&lt;/year&gt;&lt;pub-dates&gt;&lt;date&gt;Jun&lt;/date&gt;&lt;/pub-dates&gt;&lt;/dates&gt;&lt;isbn&gt;1365-4632 (Electronic)&amp;#xD;0011-9059 (Linking)&lt;/isbn&gt;&lt;accession-num&gt;19538363&lt;/accession-num&gt;&lt;urls&gt;&lt;related-urls&gt;&lt;url&gt;http://www.ncbi.nlm.nih.gov/entrez/query.fcgi?cmd=Retrieve&amp;amp;db=PubMed&amp;amp;dopt=Citation&amp;amp;list_uids=19538363&lt;/url&gt;&lt;/related-urls&gt;&lt;/urls&gt;&lt;electronic-resource-num&gt;IJD4004 [pii]&amp;#xD;10.1111/j.1365-4632.2009.04004.x&lt;/electronic-resource-num&gt;&lt;language&gt;eng&lt;/language&gt;&lt;/record&gt;&lt;/Cite&gt;&lt;/EndNote&gt;</w:instrText>
      </w:r>
      <w:r w:rsidR="00AB2546">
        <w:fldChar w:fldCharType="separate"/>
      </w:r>
      <w:r w:rsidR="00A903DC">
        <w:rPr>
          <w:noProof/>
        </w:rPr>
        <w:t>(</w:t>
      </w:r>
      <w:hyperlink w:anchor="_ENREF_14" w:tooltip="Keegel, 2009 #480" w:history="1">
        <w:r w:rsidR="008E2C8E">
          <w:rPr>
            <w:noProof/>
          </w:rPr>
          <w:t>Keegel et al. 2009</w:t>
        </w:r>
      </w:hyperlink>
      <w:r w:rsidR="00A903DC">
        <w:rPr>
          <w:noProof/>
        </w:rPr>
        <w:t>)</w:t>
      </w:r>
      <w:r w:rsidR="00AB2546">
        <w:fldChar w:fldCharType="end"/>
      </w:r>
      <w:r w:rsidR="00D97694">
        <w:t>.</w:t>
      </w:r>
      <w:r w:rsidRPr="00356510">
        <w:t xml:space="preserve"> An Australian reporting scheme using general practitioners and dermatologists as reporters found an incidence rate of 2.2 (95% </w:t>
      </w:r>
      <w:r w:rsidR="00F428AE" w:rsidRPr="00356510">
        <w:t xml:space="preserve">Confidence Interval [95% </w:t>
      </w:r>
      <w:r w:rsidRPr="00356510">
        <w:t>CI</w:t>
      </w:r>
      <w:r w:rsidR="00F428AE" w:rsidRPr="00356510">
        <w:t>]</w:t>
      </w:r>
      <w:r w:rsidRPr="00356510">
        <w:t>, 1.3-3.2) per 10 000 workers and a one year period prevalence rate of 3.5 (95% CI, 2.4-4.8) per 10 000 workers</w:t>
      </w:r>
      <w:r w:rsidR="00A903DC">
        <w:t xml:space="preserve"> </w:t>
      </w:r>
      <w:r w:rsidR="00AB2546">
        <w:fldChar w:fldCharType="begin"/>
      </w:r>
      <w:r w:rsidR="00A903DC">
        <w:instrText xml:space="preserve"> ADDIN EN.CITE &lt;EndNote&gt;&lt;Cite&gt;&lt;Author&gt;Keegel&lt;/Author&gt;&lt;Year&gt;2005&lt;/Year&gt;&lt;RecNum&gt;337&lt;/RecNum&gt;&lt;DisplayText&gt;(Keegel et al. 2005)&lt;/DisplayText&gt;&lt;record&gt;&lt;rec-number&gt;337&lt;/rec-number&gt;&lt;foreign-keys&gt;&lt;key app="EN" db-id="sx9edz2tiw2008erzw75s5a65aepf9d2pvs9"&gt;337&lt;/key&gt;&lt;/foreign-keys&gt;&lt;ref-type name="Journal Article"&gt;17&lt;/ref-type&gt;&lt;contributors&gt;&lt;authors&gt;&lt;author&gt;Keegel, T.&lt;/author&gt;&lt;author&gt;Cahill, J.&lt;/author&gt;&lt;author&gt;Noonan, A.&lt;/author&gt;&lt;author&gt;Dharmage, S.&lt;/author&gt;&lt;author&gt;Saunders, H.&lt;/author&gt;&lt;author&gt;Frowen, K.&lt;/author&gt;&lt;author&gt;Nixon, R.&lt;/author&gt;&lt;/authors&gt;&lt;/contributors&gt;&lt;titles&gt;&lt;title&gt;Incidence and prevalence rates for occupational contact dermatitis in an Australian suburban area&lt;/title&gt;&lt;secondary-title&gt;Contact Dermatitis&lt;/secondary-title&gt;&lt;/titles&gt;&lt;periodical&gt;&lt;full-title&gt;Contact Dermatitis&lt;/full-title&gt;&lt;/periodical&gt;&lt;pages&gt;254-9&lt;/pages&gt;&lt;volume&gt;52&lt;/volume&gt;&lt;number&gt;5&lt;/number&gt;&lt;keywords&gt;&lt;keyword&gt;Adult&lt;/keyword&gt;&lt;keyword&gt;Age Distribution&lt;/keyword&gt;&lt;keyword&gt;Aged&lt;/keyword&gt;&lt;keyword&gt;Allergens/ae [Adverse Effects]&lt;/keyword&gt;&lt;keyword&gt;Cohort Studies&lt;/keyword&gt;&lt;keyword&gt;Comparative Study&lt;/keyword&gt;&lt;keyword&gt;Confidence Intervals&lt;/keyword&gt;&lt;keyword&gt;*Dermatitis, Irritant/ep [Epidemiology]&lt;/keyword&gt;&lt;keyword&gt;*Dermatitis, Irritant/et [Etiology]&lt;/keyword&gt;&lt;keyword&gt;*Dermatitis, Occupational/ep [Epidemiology]&lt;/keyword&gt;&lt;keyword&gt;*Dermatitis, Occupational/et [Etiology]&lt;/keyword&gt;&lt;keyword&gt;Dermatitis, Occupational/pp [Physiopathology]&lt;/keyword&gt;&lt;keyword&gt;Female&lt;/keyword&gt;&lt;keyword&gt;Humans&lt;/keyword&gt;&lt;keyword&gt;Incidence&lt;/keyword&gt;&lt;keyword&gt;Male&lt;/keyword&gt;&lt;keyword&gt;Middle Aged&lt;/keyword&gt;&lt;keyword&gt;Patch Tests&lt;/keyword&gt;&lt;keyword&gt;Prevalence&lt;/keyword&gt;&lt;keyword&gt;Probability&lt;/keyword&gt;&lt;keyword&gt;Prospective Studies&lt;/keyword&gt;&lt;keyword&gt;Risk Assessment&lt;/keyword&gt;&lt;keyword&gt;Rural Population&lt;/keyword&gt;&lt;keyword&gt;Severity of Illness Index&lt;/keyword&gt;&lt;keyword&gt;Sex Distribution&lt;/keyword&gt;&lt;keyword&gt;Victoria/ep [Epidemiology]&lt;/keyword&gt;&lt;/keywords&gt;&lt;dates&gt;&lt;year&gt;2005&lt;/year&gt;&lt;/dates&gt;&lt;urls&gt;&lt;/urls&gt;&lt;/record&gt;&lt;/Cite&gt;&lt;/EndNote&gt;</w:instrText>
      </w:r>
      <w:r w:rsidR="00AB2546">
        <w:fldChar w:fldCharType="separate"/>
      </w:r>
      <w:r w:rsidR="00A903DC">
        <w:rPr>
          <w:noProof/>
        </w:rPr>
        <w:t>(</w:t>
      </w:r>
      <w:hyperlink w:anchor="_ENREF_12" w:tooltip="Keegel, 2005 #337" w:history="1">
        <w:r w:rsidR="008E2C8E">
          <w:rPr>
            <w:noProof/>
          </w:rPr>
          <w:t>Keegel et al. 2005</w:t>
        </w:r>
      </w:hyperlink>
      <w:r w:rsidR="00A903DC">
        <w:rPr>
          <w:noProof/>
        </w:rPr>
        <w:t>)</w:t>
      </w:r>
      <w:r w:rsidR="00AB2546">
        <w:fldChar w:fldCharType="end"/>
      </w:r>
      <w:r w:rsidR="00D97694">
        <w:t>.</w:t>
      </w:r>
      <w:r w:rsidRPr="00356510">
        <w:rPr>
          <w:noProof/>
        </w:rPr>
        <w:t xml:space="preserve"> </w:t>
      </w:r>
    </w:p>
    <w:p w:rsidR="00FA2943" w:rsidRPr="00356510" w:rsidRDefault="00FA2943" w:rsidP="0066783F">
      <w:r w:rsidRPr="00356510">
        <w:t>Contact dermatitis can have profound effects on workplace productivity and workplace costs</w:t>
      </w:r>
      <w:r w:rsidR="00A903DC">
        <w:t xml:space="preserve"> </w:t>
      </w:r>
      <w:r w:rsidR="00AB2546">
        <w:fldChar w:fldCharType="begin"/>
      </w:r>
      <w:r w:rsidR="00A903DC">
        <w:instrText xml:space="preserve"> ADDIN EN.CITE &lt;EndNote&gt;&lt;Cite&gt;&lt;Author&gt;Burnett&lt;/Author&gt;&lt;Year&gt;1998&lt;/Year&gt;&lt;RecNum&gt;406&lt;/RecNum&gt;&lt;DisplayText&gt;(Burnett et al. 1998)&lt;/DisplayText&gt;&lt;record&gt;&lt;rec-number&gt;406&lt;/rec-number&gt;&lt;foreign-keys&gt;&lt;key app="EN" db-id="sx9edz2tiw2008erzw75s5a65aepf9d2pvs9"&gt;406&lt;/key&gt;&lt;/foreign-keys&gt;&lt;ref-type name="Journal Article"&gt;17&lt;/ref-type&gt;&lt;contributors&gt;&lt;authors&gt;&lt;author&gt;Burnett, C. A.&lt;/author&gt;&lt;author&gt;Lushniak, B. D.&lt;/author&gt;&lt;author&gt;McCarthy, W.&lt;/author&gt;&lt;author&gt;Kaufman, J.&lt;/author&gt;&lt;/authors&gt;&lt;/contributors&gt;&lt;titles&gt;&lt;title&gt;Occupational dermatitis causing days away from work in US private industry, 1993&lt;/title&gt;&lt;secondary-title&gt;American Journal of Industrial Medicine&lt;/secondary-title&gt;&lt;/titles&gt;&lt;pages&gt;568-573&lt;/pages&gt;&lt;volume&gt;34&lt;/volume&gt;&lt;number&gt;6&lt;/number&gt;&lt;dates&gt;&lt;year&gt;1998&lt;/year&gt;&lt;pub-dates&gt;&lt;date&gt;Dec&lt;/date&gt;&lt;/pub-dates&gt;&lt;/dates&gt;&lt;accession-num&gt;ISI:000076855200004&lt;/accession-num&gt;&lt;urls&gt;&lt;related-urls&gt;&lt;url&gt;&amp;lt;Go to ISI&amp;gt;://000076855200004 &lt;/url&gt;&lt;/related-urls&gt;&lt;/urls&gt;&lt;/record&gt;&lt;/Cite&gt;&lt;/EndNote&gt;</w:instrText>
      </w:r>
      <w:r w:rsidR="00AB2546">
        <w:fldChar w:fldCharType="separate"/>
      </w:r>
      <w:r w:rsidR="00A903DC">
        <w:rPr>
          <w:noProof/>
        </w:rPr>
        <w:t>(</w:t>
      </w:r>
      <w:hyperlink w:anchor="_ENREF_7" w:tooltip="Burnett, 1998 #406" w:history="1">
        <w:r w:rsidR="008E2C8E">
          <w:rPr>
            <w:noProof/>
          </w:rPr>
          <w:t>Burnett et al. 1998</w:t>
        </w:r>
      </w:hyperlink>
      <w:r w:rsidR="00A903DC">
        <w:rPr>
          <w:noProof/>
        </w:rPr>
        <w:t>)</w:t>
      </w:r>
      <w:r w:rsidR="00AB2546">
        <w:fldChar w:fldCharType="end"/>
      </w:r>
      <w:r w:rsidR="00D97694">
        <w:t xml:space="preserve">. </w:t>
      </w:r>
      <w:r w:rsidRPr="00356510">
        <w:t>Affected workers may require prolonged time off work and changes in workplace practices. Some workers may need to change their occupations</w:t>
      </w:r>
      <w:r w:rsidR="00A903DC">
        <w:t xml:space="preserve"> </w:t>
      </w:r>
      <w:r w:rsidR="00AB2546">
        <w:fldChar w:fldCharType="begin"/>
      </w:r>
      <w:r w:rsidR="00A903DC">
        <w:instrText xml:space="preserve"> ADDIN EN.CITE &lt;EndNote&gt;&lt;Cite&gt;&lt;Author&gt;Rosen&lt;/Author&gt;&lt;Year&gt;1993&lt;/Year&gt;&lt;RecNum&gt;425&lt;/RecNum&gt;&lt;DisplayText&gt;(Burnett et al. 1998; Rosen &amp;amp; Freeman 1993)&lt;/DisplayText&gt;&lt;record&gt;&lt;rec-number&gt;425&lt;/rec-number&gt;&lt;foreign-keys&gt;&lt;key app="EN" db-id="sx9edz2tiw2008erzw75s5a65aepf9d2pvs9"&gt;425&lt;/key&gt;&lt;/foreign-keys&gt;&lt;ref-type name="Journal Article"&gt;17&lt;/ref-type&gt;&lt;contributors&gt;&lt;authors&gt;&lt;author&gt;Rosen, R. H.&lt;/author&gt;&lt;author&gt;Freeman, S.&lt;/author&gt;&lt;/authors&gt;&lt;/contributors&gt;&lt;titles&gt;&lt;title&gt;Prognosis of Occupational Contact-Dermatitis in New-South-Wales, Australia&lt;/title&gt;&lt;secondary-title&gt;Contact Dermatitis&lt;/secondary-title&gt;&lt;/titles&gt;&lt;periodical&gt;&lt;full-title&gt;Contact Dermatitis&lt;/full-title&gt;&lt;/periodical&gt;&lt;pages&gt;88-93&lt;/pages&gt;&lt;volume&gt;29&lt;/volume&gt;&lt;number&gt;2&lt;/number&gt;&lt;dates&gt;&lt;year&gt;1993&lt;/year&gt;&lt;pub-dates&gt;&lt;date&gt;Aug&lt;/date&gt;&lt;/pub-dates&gt;&lt;/dates&gt;&lt;accession-num&gt;ISI:A1993LP06000007&lt;/accession-num&gt;&lt;urls&gt;&lt;related-urls&gt;&lt;url&gt;&amp;lt;Go to ISI&amp;gt;://A1993LP06000007 &lt;/url&gt;&lt;/related-urls&gt;&lt;/urls&gt;&lt;/record&gt;&lt;/Cite&gt;&lt;Cite&gt;&lt;Author&gt;Burnett&lt;/Author&gt;&lt;Year&gt;1998&lt;/Year&gt;&lt;RecNum&gt;406&lt;/RecNum&gt;&lt;record&gt;&lt;rec-number&gt;406&lt;/rec-number&gt;&lt;foreign-keys&gt;&lt;key app="EN" db-id="sx9edz2tiw2008erzw75s5a65aepf9d2pvs9"&gt;406&lt;/key&gt;&lt;/foreign-keys&gt;&lt;ref-type name="Journal Article"&gt;17&lt;/ref-type&gt;&lt;contributors&gt;&lt;authors&gt;&lt;author&gt;Burnett, C. A.&lt;/author&gt;&lt;author&gt;Lushniak, B. D.&lt;/author&gt;&lt;author&gt;McCarthy, W.&lt;/author&gt;&lt;author&gt;Kaufman, J.&lt;/author&gt;&lt;/authors&gt;&lt;/contributors&gt;&lt;titles&gt;&lt;title&gt;Occupational dermatitis causing days away from work in US private industry, 1993&lt;/title&gt;&lt;secondary-title&gt;American Journal of Industrial Medicine&lt;/secondary-title&gt;&lt;/titles&gt;&lt;pages&gt;568-573&lt;/pages&gt;&lt;volume&gt;34&lt;/volume&gt;&lt;number&gt;6&lt;/number&gt;&lt;dates&gt;&lt;year&gt;1998&lt;/year&gt;&lt;pub-dates&gt;&lt;date&gt;Dec&lt;/date&gt;&lt;/pub-dates&gt;&lt;/dates&gt;&lt;accession-num&gt;ISI:000076855200004&lt;/accession-num&gt;&lt;urls&gt;&lt;related-urls&gt;&lt;url&gt;&amp;lt;Go to ISI&amp;gt;://000076855200004 &lt;/url&gt;&lt;/related-urls&gt;&lt;/urls&gt;&lt;/record&gt;&lt;/Cite&gt;&lt;/EndNote&gt;</w:instrText>
      </w:r>
      <w:r w:rsidR="00AB2546">
        <w:fldChar w:fldCharType="separate"/>
      </w:r>
      <w:r w:rsidR="00A903DC">
        <w:rPr>
          <w:noProof/>
        </w:rPr>
        <w:t>(</w:t>
      </w:r>
      <w:hyperlink w:anchor="_ENREF_7" w:tooltip="Burnett, 1998 #406" w:history="1">
        <w:r w:rsidR="008E2C8E">
          <w:rPr>
            <w:noProof/>
          </w:rPr>
          <w:t>Burnett et al. 1998</w:t>
        </w:r>
      </w:hyperlink>
      <w:r w:rsidR="00A903DC">
        <w:rPr>
          <w:noProof/>
        </w:rPr>
        <w:t xml:space="preserve">; </w:t>
      </w:r>
      <w:hyperlink w:anchor="_ENREF_32" w:tooltip="Rosen, 1993 #425" w:history="1">
        <w:r w:rsidR="008E2C8E">
          <w:rPr>
            <w:noProof/>
          </w:rPr>
          <w:t>Rosen &amp; Freeman 1993</w:t>
        </w:r>
      </w:hyperlink>
      <w:r w:rsidR="00A903DC">
        <w:rPr>
          <w:noProof/>
        </w:rPr>
        <w:t>)</w:t>
      </w:r>
      <w:r w:rsidR="00AB2546">
        <w:fldChar w:fldCharType="end"/>
      </w:r>
      <w:r w:rsidR="00D97694">
        <w:rPr>
          <w:noProof/>
        </w:rPr>
        <w:t xml:space="preserve">. </w:t>
      </w:r>
      <w:r w:rsidRPr="00356510">
        <w:t>The worker may also accrue an ongoing financial burden as a result of treatment expenses (medical costs including topical corticosteroids) and preventative items (such as soap substitutes and moisturisers), which the employer or compensation authority do not recompense. Occupational contact dermatitis impacts on domestic activities, can necessitate social restrictions and may have detrimental psychological effects</w:t>
      </w:r>
      <w:r w:rsidR="00946126">
        <w:t xml:space="preserve"> </w:t>
      </w:r>
      <w:r w:rsidR="00AB2546">
        <w:fldChar w:fldCharType="begin"/>
      </w:r>
      <w:r w:rsidR="00946126">
        <w:instrText xml:space="preserve"> ADDIN EN.CITE &lt;EndNote&gt;&lt;Cite&gt;&lt;Author&gt;Holness&lt;/Author&gt;&lt;Year&gt;2001&lt;/Year&gt;&lt;RecNum&gt;1059&lt;/RecNum&gt;&lt;DisplayText&gt;(Holness 2001)&lt;/DisplayText&gt;&lt;record&gt;&lt;rec-number&gt;1059&lt;/rec-number&gt;&lt;foreign-keys&gt;&lt;key app="EN" db-id="sx9edz2tiw2008erzw75s5a65aepf9d2pvs9"&gt;1059&lt;/key&gt;&lt;/foreign-keys&gt;&lt;ref-type name="Journal Article"&gt;17&lt;/ref-type&gt;&lt;contributors&gt;&lt;authors&gt;&lt;author&gt;Holness, D. L.&lt;/author&gt;&lt;/authors&gt;&lt;/contributors&gt;&lt;auth-address&gt;Gage Occupational and Environmental Health Unit, St Michael&amp;apos;s Hospital, University of Toronto, Ontario, Canada.&lt;/auth-address&gt;&lt;titles&gt;&lt;title&gt;Results of a quality of life questionnaire in a patch test clinic population&lt;/title&gt;&lt;secondary-title&gt;Contact Dermatitis&lt;/secondary-title&gt;&lt;/titles&gt;&lt;periodical&gt;&lt;full-title&gt;Contact Dermatitis&lt;/full-title&gt;&lt;/periodical&gt;&lt;pages&gt;80-4&lt;/pages&gt;&lt;volume&gt;44&lt;/volume&gt;&lt;number&gt;2&lt;/number&gt;&lt;edition&gt;2001/02/24&lt;/edition&gt;&lt;keywords&gt;&lt;keyword&gt;Activities of Daily Living&lt;/keyword&gt;&lt;keyword&gt;Adult&lt;/keyword&gt;&lt;keyword&gt;*Attitude to Health&lt;/keyword&gt;&lt;keyword&gt;Dermatitis, Contact/*psychology&lt;/keyword&gt;&lt;keyword&gt;Female&lt;/keyword&gt;&lt;keyword&gt;Health Status Indicators&lt;/keyword&gt;&lt;keyword&gt;Humans&lt;/keyword&gt;&lt;keyword&gt;Male&lt;/keyword&gt;&lt;keyword&gt;Outcome Assessment (Health Care)&lt;/keyword&gt;&lt;keyword&gt;Patch Tests&lt;/keyword&gt;&lt;keyword&gt;Pilot Projects&lt;/keyword&gt;&lt;keyword&gt;*Quality of Life&lt;/keyword&gt;&lt;keyword&gt;Questionnaires&lt;/keyword&gt;&lt;/keywords&gt;&lt;dates&gt;&lt;year&gt;2001&lt;/year&gt;&lt;pub-dates&gt;&lt;date&gt;Feb&lt;/date&gt;&lt;/pub-dates&gt;&lt;/dates&gt;&lt;isbn&gt;0105-1873 (Print)&amp;#xD;0105-1873 (Linking)&lt;/isbn&gt;&lt;accession-num&gt;11205408&lt;/accession-num&gt;&lt;urls&gt;&lt;related-urls&gt;&lt;url&gt;http://www.ncbi.nlm.nih.gov/entrez/query.fcgi?cmd=Retrieve&amp;amp;db=PubMed&amp;amp;dopt=Citation&amp;amp;list_uids=11205408&lt;/url&gt;&lt;/related-urls&gt;&lt;/urls&gt;&lt;language&gt;eng&lt;/language&gt;&lt;/record&gt;&lt;/Cite&gt;&lt;/EndNote&gt;</w:instrText>
      </w:r>
      <w:r w:rsidR="00AB2546">
        <w:fldChar w:fldCharType="separate"/>
      </w:r>
      <w:r w:rsidR="00946126">
        <w:rPr>
          <w:noProof/>
        </w:rPr>
        <w:t>(</w:t>
      </w:r>
      <w:hyperlink w:anchor="_ENREF_10" w:tooltip="Holness, 2001 #1059" w:history="1">
        <w:r w:rsidR="008E2C8E">
          <w:rPr>
            <w:noProof/>
          </w:rPr>
          <w:t>Holness 2001</w:t>
        </w:r>
      </w:hyperlink>
      <w:r w:rsidR="00946126">
        <w:rPr>
          <w:noProof/>
        </w:rPr>
        <w:t>)</w:t>
      </w:r>
      <w:r w:rsidR="00AB2546">
        <w:fldChar w:fldCharType="end"/>
      </w:r>
      <w:r w:rsidR="00D97694">
        <w:t>.</w:t>
      </w:r>
      <w:r w:rsidR="00D97694" w:rsidRPr="00356510">
        <w:t xml:space="preserve"> </w:t>
      </w:r>
    </w:p>
    <w:p w:rsidR="00FA2943" w:rsidRPr="00356510" w:rsidRDefault="006A692D" w:rsidP="006A692D">
      <w:pPr>
        <w:pStyle w:val="Heading3"/>
      </w:pPr>
      <w:bookmarkStart w:id="19" w:name="_Toc280100815"/>
      <w:bookmarkStart w:id="20" w:name="_Toc309808245"/>
      <w:bookmarkStart w:id="21" w:name="_Toc312075694"/>
      <w:r>
        <w:t xml:space="preserve">Dermal </w:t>
      </w:r>
      <w:r w:rsidRPr="00356510">
        <w:t>chemical</w:t>
      </w:r>
      <w:r w:rsidR="00FA2943" w:rsidRPr="00356510">
        <w:t xml:space="preserve"> exposure</w:t>
      </w:r>
      <w:bookmarkEnd w:id="19"/>
      <w:bookmarkEnd w:id="20"/>
      <w:bookmarkEnd w:id="21"/>
    </w:p>
    <w:p w:rsidR="00FA2943" w:rsidRPr="00356510" w:rsidRDefault="00FA2943" w:rsidP="0066783F">
      <w:r w:rsidRPr="00356510">
        <w:t>Australian workers participating in the NHEWS study reported working with a wide range of chemicals and substances. Some of these chemicals are clearly hazardous, even when handled at very low concentrations and for short periods of time, whil</w:t>
      </w:r>
      <w:r w:rsidR="00FE5F2D">
        <w:t>e</w:t>
      </w:r>
      <w:r w:rsidRPr="00356510">
        <w:t xml:space="preserve"> other chemical products such as soaps or detergents may only have deleterious health effects at high concentrations or with repeated or prolonged exposure. </w:t>
      </w:r>
    </w:p>
    <w:p w:rsidR="00FA2943" w:rsidRPr="00A24910" w:rsidRDefault="00FA2943" w:rsidP="0066783F">
      <w:pPr>
        <w:rPr>
          <w:color w:val="000000" w:themeColor="text1"/>
        </w:rPr>
      </w:pPr>
      <w:r w:rsidRPr="00356510">
        <w:t xml:space="preserve">Information about hazardous chemicals is available from Safe Work Australia in the form of an online database called the Hazardous Substances Information System (HSIS) </w:t>
      </w:r>
      <w:hyperlink r:id="rId10" w:history="1">
        <w:r w:rsidRPr="00356510">
          <w:rPr>
            <w:rStyle w:val="Hyperlink"/>
            <w:rFonts w:cs="Arial"/>
            <w:szCs w:val="22"/>
          </w:rPr>
          <w:t>http://hsis.ascc.gov.au/</w:t>
        </w:r>
      </w:hyperlink>
      <w:r w:rsidR="00054B41">
        <w:t>.</w:t>
      </w:r>
      <w:r w:rsidR="005656A4" w:rsidRPr="00356510">
        <w:t xml:space="preserve"> </w:t>
      </w:r>
      <w:r w:rsidRPr="00356510">
        <w:t>The HSIS provides information about many substances which have been classified as hazardous according to the Approved Criteria for Classifying Hazardous Substances [NOHSC:1008</w:t>
      </w:r>
      <w:r w:rsidR="00A24910">
        <w:t xml:space="preserve"> </w:t>
      </w:r>
      <w:r w:rsidRPr="00356510">
        <w:t>(2004)]</w:t>
      </w:r>
      <w:r w:rsidR="003A3971">
        <w:t xml:space="preserve"> </w:t>
      </w:r>
      <w:r w:rsidR="00AB2546">
        <w:fldChar w:fldCharType="begin"/>
      </w:r>
      <w:r w:rsidR="008E2C8E">
        <w:instrText xml:space="preserve"> ADDIN EN.CITE &lt;EndNote&gt;&lt;Cite&gt;&lt;Author&gt;NOHSC&lt;/Author&gt;&lt;Year&gt;2004&lt;/Year&gt;&lt;RecNum&gt;1065&lt;/RecNum&gt;&lt;DisplayText&gt;(NOHSC 2004)&lt;/DisplayText&gt;&lt;record&gt;&lt;rec-number&gt;1065&lt;/rec-number&gt;&lt;foreign-keys&gt;&lt;key app="EN" db-id="sx9edz2tiw2008erzw75s5a65aepf9d2pvs9"&gt;1065&lt;/key&gt;&lt;/foreign-keys&gt;&lt;ref-type name="Book"&gt;6&lt;/ref-type&gt;&lt;contributors&gt;&lt;authors&gt;&lt;author&gt;NOHSC&lt;/author&gt;&lt;/authors&gt;&lt;/contributors&gt;&lt;titles&gt;&lt;title&gt;Approved criteria for classifying hazardous substances [NOHSC:1008(2004)]&lt;/title&gt;&lt;/titles&gt;&lt;edition&gt;Third&lt;/edition&gt;&lt;dates&gt;&lt;year&gt;2004&lt;/year&gt;&lt;pub-dates&gt;&lt;date&gt;2004&lt;/date&gt;&lt;/pub-dates&gt;&lt;/dates&gt;&lt;pub-location&gt;Canberra&lt;/pub-location&gt;&lt;publisher&gt;National Occupational Health and Safety Commission, Commonwealth of Australia&lt;/publisher&gt;&lt;urls&gt;&lt;/urls&gt;&lt;/record&gt;&lt;/Cite&gt;&lt;/EndNote&gt;</w:instrText>
      </w:r>
      <w:r w:rsidR="00AB2546">
        <w:fldChar w:fldCharType="separate"/>
      </w:r>
      <w:r w:rsidR="008E2C8E">
        <w:rPr>
          <w:noProof/>
        </w:rPr>
        <w:t>(</w:t>
      </w:r>
      <w:hyperlink w:anchor="_ENREF_29" w:tooltip="NOHSC, 2004 #1065" w:history="1">
        <w:r w:rsidR="008E2C8E">
          <w:rPr>
            <w:noProof/>
          </w:rPr>
          <w:t>NOHSC 2004</w:t>
        </w:r>
      </w:hyperlink>
      <w:r w:rsidR="008E2C8E">
        <w:rPr>
          <w:noProof/>
        </w:rPr>
        <w:t>)</w:t>
      </w:r>
      <w:r w:rsidR="00AB2546">
        <w:fldChar w:fldCharType="end"/>
      </w:r>
      <w:r w:rsidR="00054B41">
        <w:t>.</w:t>
      </w:r>
      <w:r w:rsidRPr="00356510">
        <w:t xml:space="preserve"> Some of these chemicals/substances will also have </w:t>
      </w:r>
      <w:r w:rsidR="00A24910">
        <w:t>n</w:t>
      </w:r>
      <w:r w:rsidRPr="00356510">
        <w:t>ational exposure standards as declared by the Adopted National Exposure Standards for Atmospheric Contaminants in the Occupational Environment [NOHSC:1003</w:t>
      </w:r>
      <w:r w:rsidR="00A24910">
        <w:t xml:space="preserve"> </w:t>
      </w:r>
      <w:r w:rsidRPr="00356510">
        <w:t>(1995)]</w:t>
      </w:r>
      <w:r w:rsidR="003A3971">
        <w:t xml:space="preserve"> </w:t>
      </w:r>
      <w:r w:rsidR="00AB2546">
        <w:fldChar w:fldCharType="begin"/>
      </w:r>
      <w:r w:rsidR="008E2C8E">
        <w:instrText xml:space="preserve"> ADDIN EN.CITE &lt;EndNote&gt;&lt;Cite&gt;&lt;Author&gt;NOHSC&lt;/Author&gt;&lt;Year&gt;1995&lt;/Year&gt;&lt;RecNum&gt;1066&lt;/RecNum&gt;&lt;DisplayText&gt;(NOHSC 1995)&lt;/DisplayText&gt;&lt;record&gt;&lt;rec-number&gt;1066&lt;/rec-number&gt;&lt;foreign-keys&gt;&lt;key app="EN" db-id="sx9edz2tiw2008erzw75s5a65aepf9d2pvs9"&gt;1066&lt;/key&gt;&lt;/foreign-keys&gt;&lt;ref-type name="Report"&gt;27&lt;/ref-type&gt;&lt;contributors&gt;&lt;authors&gt;&lt;author&gt;NOHSC&lt;/author&gt;&lt;/authors&gt;&lt;/contributors&gt;&lt;titles&gt;&lt;title&gt;Adopted National Exposure Standards for Atmospheric Contaminants in the Occupational Environment &lt;/title&gt;&lt;/titles&gt;&lt;dates&gt;&lt;year&gt;1995&lt;/year&gt;&lt;/dates&gt;&lt;pub-location&gt;Canberra&lt;/pub-location&gt;&lt;publisher&gt;National Occupational Health and Safety Commission, Commonwealth of Australia&lt;/publisher&gt;&lt;urls&gt;&lt;/urls&gt;&lt;/record&gt;&lt;/Cite&gt;&lt;/EndNote&gt;</w:instrText>
      </w:r>
      <w:r w:rsidR="00AB2546">
        <w:fldChar w:fldCharType="separate"/>
      </w:r>
      <w:r w:rsidR="008E2C8E">
        <w:rPr>
          <w:noProof/>
        </w:rPr>
        <w:t>(</w:t>
      </w:r>
      <w:hyperlink w:anchor="_ENREF_27" w:tooltip="NOHSC, 1995 #1066" w:history="1">
        <w:r w:rsidR="008E2C8E">
          <w:rPr>
            <w:noProof/>
          </w:rPr>
          <w:t>NOHSC 1995</w:t>
        </w:r>
      </w:hyperlink>
      <w:r w:rsidR="008E2C8E">
        <w:rPr>
          <w:noProof/>
        </w:rPr>
        <w:t>)</w:t>
      </w:r>
      <w:r w:rsidR="00AB2546">
        <w:fldChar w:fldCharType="end"/>
      </w:r>
      <w:r w:rsidR="00054B41">
        <w:t>.</w:t>
      </w:r>
      <w:r w:rsidRPr="00356510">
        <w:t xml:space="preserve"> Chemicals listed in the HSIS are subject to specific risk management provisions. </w:t>
      </w:r>
    </w:p>
    <w:p w:rsidR="00FA2943" w:rsidRPr="00356510" w:rsidRDefault="00FA2943" w:rsidP="0066783F">
      <w:r w:rsidRPr="00356510">
        <w:t xml:space="preserve">There is very little information in the published literature regarding the nature and extent of </w:t>
      </w:r>
      <w:r w:rsidR="000327D1" w:rsidRPr="00356510">
        <w:t xml:space="preserve">dermal </w:t>
      </w:r>
      <w:r w:rsidRPr="00356510">
        <w:t xml:space="preserve">exposure of Australian workers to chemicals in the workplace, either self-reported or through objective observation. Adequate information </w:t>
      </w:r>
      <w:r w:rsidR="00285E59" w:rsidRPr="00356510">
        <w:t xml:space="preserve">on </w:t>
      </w:r>
      <w:r w:rsidRPr="00356510">
        <w:t xml:space="preserve">the distribution of </w:t>
      </w:r>
      <w:r w:rsidR="000327D1" w:rsidRPr="00356510">
        <w:t xml:space="preserve">dermal </w:t>
      </w:r>
      <w:r w:rsidRPr="00356510">
        <w:t xml:space="preserve">exposures and levels of exposure in different industries or to describe </w:t>
      </w:r>
      <w:r w:rsidR="000327D1" w:rsidRPr="00356510">
        <w:t xml:space="preserve">dermal </w:t>
      </w:r>
      <w:r w:rsidRPr="00356510">
        <w:t xml:space="preserve">exposure conditions in specific contexts, such as small businesses, is required by workers, employers and policy-makers to help protect </w:t>
      </w:r>
      <w:r w:rsidR="005262C8" w:rsidRPr="00356510">
        <w:t>workers</w:t>
      </w:r>
      <w:r w:rsidRPr="00356510">
        <w:t xml:space="preserve">. </w:t>
      </w:r>
      <w:r w:rsidR="005262C8" w:rsidRPr="00356510">
        <w:t>An</w:t>
      </w:r>
      <w:r w:rsidRPr="00356510">
        <w:t xml:space="preserve"> important employment-related determinant of </w:t>
      </w:r>
      <w:r w:rsidR="000327D1" w:rsidRPr="00356510">
        <w:t xml:space="preserve">dermal </w:t>
      </w:r>
      <w:r w:rsidRPr="00356510">
        <w:lastRenderedPageBreak/>
        <w:t xml:space="preserve">chemical exposure risks is the manner in which specific tasks are performed by individual workers and this may vary considerably from worker to worker within the same industry, within the same occupation, and even within particular workplaces. Information about the patterns of </w:t>
      </w:r>
      <w:r w:rsidR="000327D1" w:rsidRPr="00356510">
        <w:t xml:space="preserve">dermal </w:t>
      </w:r>
      <w:r w:rsidRPr="00356510">
        <w:t xml:space="preserve">exposure to chemicals will also serve as a guide for the development and implementation of workplace interventions and information campaigns targeting reduction of potentially harmful chemical exposures, thereby reducing the potential for health effects among workers. </w:t>
      </w:r>
    </w:p>
    <w:p w:rsidR="00FA2943" w:rsidRPr="00356510" w:rsidRDefault="00FA2943" w:rsidP="0066783F">
      <w:pPr>
        <w:rPr>
          <w:rFonts w:eastAsia="Calibri"/>
        </w:rPr>
      </w:pPr>
      <w:r w:rsidRPr="00356510">
        <w:t xml:space="preserve">The </w:t>
      </w:r>
      <w:r w:rsidR="00F10888" w:rsidRPr="00356510">
        <w:t>NHEWS</w:t>
      </w:r>
      <w:r w:rsidRPr="00356510">
        <w:t xml:space="preserve"> survey represents a first Australian attempt at obtaining this crucial information. Workers who participated in the survey were asked to estimate how long they spent working with chemicals on a typical working day and to identify the chemicals they worked with. The questions about exposure to chemicals are based on questions used in European Union and Swedish surveys</w:t>
      </w:r>
      <w:r w:rsidR="003A3971">
        <w:t xml:space="preserve"> </w:t>
      </w:r>
      <w:r w:rsidR="00AB2546">
        <w:fldChar w:fldCharType="begin"/>
      </w:r>
      <w:r w:rsidR="003A3971">
        <w:instrText xml:space="preserve"> ADDIN EN.CITE &lt;EndNote&gt;&lt;Cite&gt;&lt;Author&gt;ASCC&lt;/Author&gt;&lt;Year&gt;2008&lt;/Year&gt;&lt;RecNum&gt;523&lt;/RecNum&gt;&lt;DisplayText&gt;(ASCC 2008)&lt;/DisplayText&gt;&lt;record&gt;&lt;rec-number&gt;523&lt;/rec-number&gt;&lt;foreign-keys&gt;&lt;key app="EN" db-id="sx9edz2tiw2008erzw75s5a65aepf9d2pvs9"&gt;523&lt;/key&gt;&lt;/foreign-keys&gt;&lt;ref-type name="Report"&gt;27&lt;/ref-type&gt;&lt;contributors&gt;&lt;authors&gt;&lt;author&gt;ASCC&lt;/author&gt;&lt;/authors&gt;&lt;/contributors&gt;&lt;titles&gt;&lt;title&gt;National Hazard Exposure Worker Surveillance (NHEWS) Survey: 2008 Results&lt;/title&gt;&lt;/titles&gt;&lt;dates&gt;&lt;year&gt;2008&lt;/year&gt;&lt;/dates&gt;&lt;pub-location&gt;Canberra&lt;/pub-location&gt;&lt;publisher&gt;Australian Government &lt;/publisher&gt;&lt;urls&gt;&lt;/urls&gt;&lt;/record&gt;&lt;/Cite&gt;&lt;/EndNote&gt;</w:instrText>
      </w:r>
      <w:r w:rsidR="00AB2546">
        <w:fldChar w:fldCharType="separate"/>
      </w:r>
      <w:r w:rsidR="003A3971">
        <w:rPr>
          <w:noProof/>
        </w:rPr>
        <w:t>(</w:t>
      </w:r>
      <w:hyperlink w:anchor="_ENREF_3" w:tooltip="ASCC, 2008 #523" w:history="1">
        <w:r w:rsidR="008E2C8E">
          <w:rPr>
            <w:noProof/>
          </w:rPr>
          <w:t>ASCC 2008</w:t>
        </w:r>
      </w:hyperlink>
      <w:r w:rsidR="003A3971">
        <w:rPr>
          <w:noProof/>
        </w:rPr>
        <w:t>)</w:t>
      </w:r>
      <w:r w:rsidR="00AB2546">
        <w:fldChar w:fldCharType="end"/>
      </w:r>
      <w:r w:rsidR="00054B41">
        <w:t xml:space="preserve">. </w:t>
      </w:r>
      <w:r w:rsidRPr="00356510">
        <w:t>Self-reported exposure to chemicals from the European Working Conditions survey 2005 was used in a Swiss study as a determinant for self-reported work-related symptoms</w:t>
      </w:r>
      <w:r w:rsidR="003A3971">
        <w:t xml:space="preserve"> </w:t>
      </w:r>
      <w:r w:rsidR="00AB2546">
        <w:fldChar w:fldCharType="begin"/>
      </w:r>
      <w:r w:rsidR="004451D6">
        <w:instrText xml:space="preserve"> ADDIN EN.CITE &lt;EndNote&gt;&lt;Cite&gt;&lt;Author&gt;Gallup Europe&lt;/Author&gt;&lt;Year&gt;2006&lt;/Year&gt;&lt;RecNum&gt;1056&lt;/RecNum&gt;&lt;DisplayText&gt;(Arial et al. 2011; Gallup Europe 2006)&lt;/DisplayText&gt;&lt;record&gt;&lt;rec-number&gt;1056&lt;/rec-number&gt;&lt;foreign-keys&gt;&lt;key app="EN" db-id="sx9edz2tiw2008erzw75s5a65aepf9d2pvs9"&gt;1056&lt;/key&gt;&lt;/foreign-keys&gt;&lt;ref-type name="Report"&gt;27&lt;/ref-type&gt;&lt;contributors&gt;&lt;authors&gt;&lt;author&gt;Gallup Europe,&lt;/author&gt;&lt;/authors&gt;&lt;tertiary-authors&gt;&lt;author&gt;Gallup Europe &lt;/author&gt;&lt;/tertiary-authors&gt;&lt;/contributors&gt;&lt;titles&gt;&lt;title&gt;European Working Conditions Survey 2005: Technical Fieldwork and Methodology Report&lt;/title&gt;&lt;/titles&gt;&lt;pages&gt;1-105&lt;/pages&gt;&lt;dates&gt;&lt;year&gt;2006&lt;/year&gt;&lt;/dates&gt;&lt;urls&gt;&lt;/urls&gt;&lt;/record&gt;&lt;/Cite&gt;&lt;Cite&gt;&lt;Author&gt;Arial&lt;/Author&gt;&lt;Year&gt;2011&lt;/Year&gt;&lt;RecNum&gt;1055&lt;/RecNum&gt;&lt;record&gt;&lt;rec-number&gt;1055&lt;/rec-number&gt;&lt;foreign-keys&gt;&lt;key app="EN" db-id="sx9edz2tiw2008erzw75s5a65aepf9d2pvs9"&gt;1055&lt;/key&gt;&lt;/foreign-keys&gt;&lt;ref-type name="Journal Article"&gt;17&lt;/ref-type&gt;&lt;contributors&gt;&lt;authors&gt;&lt;author&gt;Arial, M.&lt;/author&gt;&lt;author&gt;Wild, P.&lt;/author&gt;&lt;author&gt;Vernez, D.&lt;/author&gt;&lt;author&gt;Danuser, B.&lt;/author&gt;&lt;/authors&gt;&lt;/contributors&gt;&lt;titles&gt;&lt;title&gt;Association of working conditions with self-reported work-related symptoms: results from the Swiss dataset of the European Working Conditions Survey&lt;/title&gt;&lt;secondary-title&gt;The Open Occupational Health and Safety Journal &lt;/secondary-title&gt;&lt;/titles&gt;&lt;periodical&gt;&lt;full-title&gt;The Open Occupational Health and Safety Journal&lt;/full-title&gt;&lt;/periodical&gt;&lt;pages&gt;1-7&lt;/pages&gt;&lt;volume&gt;3&lt;/volume&gt;&lt;dates&gt;&lt;year&gt;2011&lt;/year&gt;&lt;/dates&gt;&lt;urls&gt;&lt;/urls&gt;&lt;/record&gt;&lt;/Cite&gt;&lt;/EndNote&gt;</w:instrText>
      </w:r>
      <w:r w:rsidR="00AB2546">
        <w:fldChar w:fldCharType="separate"/>
      </w:r>
      <w:r w:rsidR="004451D6">
        <w:rPr>
          <w:noProof/>
        </w:rPr>
        <w:t>(</w:t>
      </w:r>
      <w:hyperlink w:anchor="_ENREF_1" w:tooltip="Arial, 2011 #1055" w:history="1">
        <w:r w:rsidR="008E2C8E">
          <w:rPr>
            <w:noProof/>
          </w:rPr>
          <w:t>Arial et al. 2011</w:t>
        </w:r>
      </w:hyperlink>
      <w:r w:rsidR="004451D6">
        <w:rPr>
          <w:noProof/>
        </w:rPr>
        <w:t xml:space="preserve">; </w:t>
      </w:r>
      <w:hyperlink w:anchor="_ENREF_8" w:tooltip="Gallup Europe, 2006 #1056" w:history="1">
        <w:r w:rsidR="008E2C8E">
          <w:rPr>
            <w:noProof/>
          </w:rPr>
          <w:t>Gallup Europe 2006</w:t>
        </w:r>
      </w:hyperlink>
      <w:r w:rsidR="004451D6">
        <w:rPr>
          <w:noProof/>
        </w:rPr>
        <w:t>)</w:t>
      </w:r>
      <w:r w:rsidR="00AB2546">
        <w:fldChar w:fldCharType="end"/>
      </w:r>
      <w:r w:rsidRPr="00356510">
        <w:t xml:space="preserve">. </w:t>
      </w:r>
    </w:p>
    <w:p w:rsidR="00FA2943" w:rsidRPr="00356510" w:rsidRDefault="005262C8" w:rsidP="0066783F">
      <w:r w:rsidRPr="00356510">
        <w:t>S</w:t>
      </w:r>
      <w:r w:rsidR="00FA2943" w:rsidRPr="00356510">
        <w:t xml:space="preserve">elf-reported data has a number of inherent limitations. Workers may not be aware of the chemical constituents of products they are using and may also be unaware of their properties and potential for harm. A related problem is that workers may identify different substances as “chemicals” or “exposures” for idiosyncratic reasons, possibly related to familiarity, ubiquity or popular reputation of the substance in question. Some exposures are simply more obvious than others and those </w:t>
      </w:r>
      <w:r w:rsidR="00E05362">
        <w:t>that</w:t>
      </w:r>
      <w:r w:rsidR="00FA2943" w:rsidRPr="00356510">
        <w:t xml:space="preserve"> form a more central role in the core tasks of a particular operation may be better reported than those </w:t>
      </w:r>
      <w:r w:rsidR="006872D4">
        <w:t>that</w:t>
      </w:r>
      <w:r w:rsidR="00FA2943" w:rsidRPr="00356510">
        <w:t xml:space="preserve"> are more peripheral. For example, a concreter may report cement exposure but may overlook sand and aggregate exposure because cement is the defining product used in this particular </w:t>
      </w:r>
      <w:r w:rsidRPr="00356510">
        <w:t>job. O</w:t>
      </w:r>
      <w:r w:rsidR="00FA2943" w:rsidRPr="00356510">
        <w:t xml:space="preserve">ther exposures may be less readily identified if perceived as either non-central ingredients or as items </w:t>
      </w:r>
      <w:r w:rsidR="006872D4">
        <w:t xml:space="preserve">that </w:t>
      </w:r>
      <w:r w:rsidR="00FA2943" w:rsidRPr="00356510">
        <w:t xml:space="preserve">are not seen as “chemicals” or as “exposures”. Using the same example, another possibility is that a concreter may perceive sand and aggregate (necessary ingredients in concrete) as somehow encompassed by the reported “cement” exposure, particularly since the modern concreting process often relies on ready-mixed product in which the components are less obviously separate elements. Finally, in self-report surveys, the wording of the question/s can influence respondents’ recall of different exposures. For example, respondents are more likely to recall exposures related to those provided as examples by the interviewer. The limitations of self-reported data similarly apply to exposure control measures. These limitations must be acknowledged </w:t>
      </w:r>
      <w:r w:rsidR="00732A4D" w:rsidRPr="00356510">
        <w:t xml:space="preserve">and taken into account </w:t>
      </w:r>
      <w:r w:rsidR="00FA2943" w:rsidRPr="00356510">
        <w:t>when interpreting the results presented in this report.</w:t>
      </w:r>
    </w:p>
    <w:p w:rsidR="00FA2943" w:rsidRPr="00356510" w:rsidRDefault="00FA2943" w:rsidP="006872D4">
      <w:pPr>
        <w:pStyle w:val="Heading3"/>
      </w:pPr>
      <w:bookmarkStart w:id="22" w:name="_Toc280100816"/>
      <w:bookmarkStart w:id="23" w:name="_Toc309808246"/>
      <w:bookmarkStart w:id="24" w:name="_Toc312075695"/>
      <w:r w:rsidRPr="00356510">
        <w:t>Chemical exposure control measures</w:t>
      </w:r>
      <w:bookmarkEnd w:id="22"/>
      <w:bookmarkEnd w:id="23"/>
      <w:bookmarkEnd w:id="24"/>
    </w:p>
    <w:p w:rsidR="00FA2943" w:rsidRPr="00356510" w:rsidRDefault="00FA2943" w:rsidP="0066783F">
      <w:r w:rsidRPr="00356510">
        <w:t xml:space="preserve">There are many control measures that might potentially be utilised to reduce </w:t>
      </w:r>
      <w:r w:rsidR="00F10888" w:rsidRPr="00356510">
        <w:t xml:space="preserve">dermal </w:t>
      </w:r>
      <w:r w:rsidRPr="00356510">
        <w:t xml:space="preserve">exposure to chemicals in the workplace. Occupational exposure management is generally based on the ‘hierarchy of controls’ approach for limiting workers’ exposure. The hierarchy classifies controls according to their likely effectiveness based on the extent to which each control relies on the behavioural contributions of individual workers. In other words, controls that do not depend on worker behaviour are the most effective. In practice, multiple control measures are normally used to ensure effective workplace protection. </w:t>
      </w:r>
    </w:p>
    <w:p w:rsidR="00FA2943" w:rsidRPr="00356510" w:rsidRDefault="00FA2943" w:rsidP="0066783F">
      <w:r w:rsidRPr="00356510">
        <w:t>In descending order, controls may be classified as:</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hazard-elimination</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hazard-substitution</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hazard-isolation</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engineering controls</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work practices/administrative controls, and</w:t>
      </w:r>
    </w:p>
    <w:p w:rsidR="00FA2943" w:rsidRPr="004C7B1B" w:rsidRDefault="00FA2943" w:rsidP="004C7B1B">
      <w:pPr>
        <w:pStyle w:val="ListParagraph"/>
        <w:numPr>
          <w:ilvl w:val="0"/>
          <w:numId w:val="29"/>
        </w:numPr>
        <w:rPr>
          <w:rFonts w:ascii="Arial" w:hAnsi="Arial" w:cs="Arial"/>
          <w:sz w:val="22"/>
          <w:szCs w:val="22"/>
        </w:rPr>
      </w:pPr>
      <w:r w:rsidRPr="004C7B1B">
        <w:rPr>
          <w:rFonts w:ascii="Arial" w:hAnsi="Arial" w:cs="Arial"/>
          <w:sz w:val="22"/>
          <w:szCs w:val="22"/>
        </w:rPr>
        <w:t>personal protective equipment</w:t>
      </w:r>
      <w:r w:rsidR="00FE5F2D">
        <w:rPr>
          <w:rFonts w:ascii="Arial" w:hAnsi="Arial" w:cs="Arial"/>
          <w:sz w:val="22"/>
          <w:szCs w:val="22"/>
        </w:rPr>
        <w:t xml:space="preserve"> (PPE)</w:t>
      </w:r>
      <w:r w:rsidRPr="004C7B1B">
        <w:rPr>
          <w:rFonts w:ascii="Arial" w:hAnsi="Arial" w:cs="Arial"/>
          <w:sz w:val="22"/>
          <w:szCs w:val="22"/>
        </w:rPr>
        <w:t>.</w:t>
      </w:r>
    </w:p>
    <w:p w:rsidR="00FA2943" w:rsidRPr="00356510" w:rsidRDefault="00FE5F2D" w:rsidP="0066783F">
      <w:r>
        <w:t>PPE</w:t>
      </w:r>
      <w:r w:rsidR="00FA2943" w:rsidRPr="00356510">
        <w:t xml:space="preserve"> (for example, gloves) and administrative measures (for example, task rotation) are low on the hierarchy of controls, implying that they should not be considered sufficient in </w:t>
      </w:r>
      <w:r w:rsidR="00FA2943" w:rsidRPr="00356510">
        <w:lastRenderedPageBreak/>
        <w:t>themselves as protective measures for workers. They should be considered components of larger exposure mitigation schemes</w:t>
      </w:r>
      <w:r w:rsidR="004C7B1B">
        <w:t>,</w:t>
      </w:r>
      <w:r w:rsidR="00FA2943" w:rsidRPr="00356510">
        <w:t xml:space="preserve"> which also incorporate appropriate, higher level controls. For example, the effectiveness of gloves relies on workers remembering to wear them, </w:t>
      </w:r>
      <w:r w:rsidR="00ED0F9B" w:rsidRPr="00356510">
        <w:t xml:space="preserve">and </w:t>
      </w:r>
      <w:r w:rsidR="00FA2943" w:rsidRPr="00356510">
        <w:t xml:space="preserve">making sure they are correctly fitted, of the correct type, changed at appropriate intervals and </w:t>
      </w:r>
      <w:r w:rsidR="00F10888" w:rsidRPr="00356510">
        <w:t>are not removed</w:t>
      </w:r>
      <w:r w:rsidR="00FA2943" w:rsidRPr="00356510">
        <w:t xml:space="preserve"> at inappropriate times – all common problems with the use of personal protective equipment. Eliminating the exposure altogether or substituting the exposure for a less hazardous one (for example by modifying the manufacturing process) are more effective control measures </w:t>
      </w:r>
      <w:r w:rsidR="004C7B1B">
        <w:t>and</w:t>
      </w:r>
      <w:r w:rsidR="00FA2943" w:rsidRPr="00356510">
        <w:t xml:space="preserve"> may reduce the need for lower level controls such as </w:t>
      </w:r>
      <w:r>
        <w:t>PPE</w:t>
      </w:r>
      <w:r w:rsidR="00FA2943" w:rsidRPr="00356510">
        <w:t xml:space="preserve"> or administrative controls.</w:t>
      </w:r>
    </w:p>
    <w:p w:rsidR="00FA2943" w:rsidRPr="004C7B1B" w:rsidRDefault="00FA2943" w:rsidP="0066783F">
      <w:pPr>
        <w:rPr>
          <w:rStyle w:val="Hyperlink"/>
          <w:color w:val="auto"/>
          <w:u w:val="none"/>
        </w:rPr>
      </w:pPr>
      <w:r w:rsidRPr="00356510">
        <w:t xml:space="preserve">The </w:t>
      </w:r>
      <w:r w:rsidRPr="00356510">
        <w:rPr>
          <w:i/>
        </w:rPr>
        <w:t>Skin Exposure</w:t>
      </w:r>
      <w:r w:rsidRPr="00356510">
        <w:t xml:space="preserve"> website (US National Institute of Occupational Safety and Health) explains in detail how the hierarchy might be applied to skin exposures: </w:t>
      </w:r>
      <w:hyperlink r:id="rId11" w:history="1">
        <w:r w:rsidRPr="00356510">
          <w:rPr>
            <w:rStyle w:val="Hyperlink"/>
            <w:rFonts w:cs="Arial"/>
            <w:szCs w:val="22"/>
          </w:rPr>
          <w:t>http://www.cdc.gov/niosh/topics/skin/recommendations.html</w:t>
        </w:r>
      </w:hyperlink>
      <w:r w:rsidR="00054B41">
        <w:t>.</w:t>
      </w:r>
      <w:r w:rsidR="00AB2546">
        <w:fldChar w:fldCharType="begin"/>
      </w:r>
      <w:r w:rsidR="009201A4">
        <w:instrText xml:space="preserve"> ADDIN EN.CITE &lt;EndNote&gt;&lt;Cite&gt;&lt;Author&gt;US National Institute of Occupational Safety and Health&lt;/Author&gt;&lt;Year&gt;2010&lt;/Year&gt;&lt;RecNum&gt;1072&lt;/RecNum&gt;&lt;DisplayText&gt;(US National Institute of Occupational Safety and Health 2010)&lt;/DisplayText&gt;&lt;record&gt;&lt;rec-number&gt;1072&lt;/rec-number&gt;&lt;foreign-keys&gt;&lt;key app="EN" db-id="sx9edz2tiw2008erzw75s5a65aepf9d2pvs9"&gt;1072&lt;/key&gt;&lt;/foreign-keys&gt;&lt;ref-type name="Web Page"&gt;12&lt;/ref-type&gt;&lt;contributors&gt;&lt;authors&gt;&lt;author&gt;US National Institute of Occupational Safety and Health,&lt;/author&gt;&lt;/authors&gt;&lt;/contributors&gt;&lt;titles&gt;&lt;title&gt;The Skin Exposure website &lt;/title&gt;&lt;/titles&gt;&lt;number&gt;26/8/11&lt;/number&gt;&lt;dates&gt;&lt;year&gt;2010&lt;/year&gt;&lt;/dates&gt;&lt;urls&gt;&lt;related-urls&gt;&lt;url&gt;http://www.cdc.gov/niosh/topics/skin/recommendations.html&lt;/url&gt;&lt;/related-urls&gt;&lt;/urls&gt;&lt;/record&gt;&lt;/Cite&gt;&lt;/EndNote&gt;</w:instrText>
      </w:r>
      <w:r w:rsidR="00AB2546">
        <w:fldChar w:fldCharType="separate"/>
      </w:r>
      <w:r w:rsidR="009201A4">
        <w:rPr>
          <w:noProof/>
        </w:rPr>
        <w:t>(</w:t>
      </w:r>
      <w:hyperlink w:anchor="_ENREF_34" w:tooltip="US National Institute of Occupational Safety and Health, 2010 #1072" w:history="1">
        <w:r w:rsidR="008E2C8E">
          <w:rPr>
            <w:noProof/>
          </w:rPr>
          <w:t>US National Institute of Occupational Safety and Health 2010</w:t>
        </w:r>
      </w:hyperlink>
      <w:r w:rsidR="009201A4">
        <w:rPr>
          <w:noProof/>
        </w:rPr>
        <w:t>)</w:t>
      </w:r>
      <w:r w:rsidR="00AB2546">
        <w:fldChar w:fldCharType="end"/>
      </w:r>
      <w:r w:rsidR="00054B41">
        <w:t xml:space="preserve"> </w:t>
      </w:r>
      <w:r w:rsidRPr="00356510">
        <w:t xml:space="preserve">In the Australian context, Safe Work Australia and its predecessors, the Australian Safety and Compensation Council (ASCC) and the National Occupational Health and Safety Commission (NOHSC) have National Standards and Codes of Practice for a range of hazardous substances </w:t>
      </w:r>
      <w:hyperlink r:id="rId12" w:history="1">
        <w:r w:rsidRPr="00356510">
          <w:rPr>
            <w:rStyle w:val="Hyperlink"/>
            <w:rFonts w:cs="Arial"/>
            <w:szCs w:val="22"/>
          </w:rPr>
          <w:t>http://www.safeworkaustralia.gov.au/</w:t>
        </w:r>
      </w:hyperlink>
      <w:r w:rsidR="00D77D38" w:rsidRPr="00356510">
        <w:rPr>
          <w:rStyle w:val="Hyperlink"/>
          <w:rFonts w:cs="Arial"/>
          <w:color w:val="auto"/>
          <w:szCs w:val="22"/>
          <w:u w:val="none"/>
        </w:rPr>
        <w:t>.</w:t>
      </w:r>
    </w:p>
    <w:p w:rsidR="00FA2943" w:rsidRPr="00356510" w:rsidRDefault="00FA2943" w:rsidP="0066783F">
      <w:r w:rsidRPr="00356510">
        <w:t>Exposure to a potentially hazardous chemical can be eliminated if the process is changed</w:t>
      </w:r>
      <w:r w:rsidR="005262C8" w:rsidRPr="00356510">
        <w:t>,</w:t>
      </w:r>
      <w:r w:rsidRPr="00356510">
        <w:t xml:space="preserve"> eliminating the use of the chemical or substituting it for a less hazardous alternative. This could be either a less hazardous chemical or a less hazardous form of the chemical </w:t>
      </w:r>
      <w:r w:rsidR="00ED0F9B" w:rsidRPr="00356510">
        <w:t>e.g.</w:t>
      </w:r>
      <w:r w:rsidRPr="00356510">
        <w:t xml:space="preserve"> capsules instead of powders. This principle is often possible as new processes and products become available </w:t>
      </w:r>
      <w:r w:rsidR="004C7B1B">
        <w:t>that</w:t>
      </w:r>
      <w:r w:rsidRPr="00356510">
        <w:t xml:space="preserve"> involve fewer hazardous chemicals or less hazardous alternatives. The general aim of engineering controls is to separate the operator from the hazard. In the context of skin exposures this may include remote operation, </w:t>
      </w:r>
      <w:r w:rsidR="005262C8" w:rsidRPr="00356510">
        <w:t xml:space="preserve">or </w:t>
      </w:r>
      <w:r w:rsidRPr="00356510">
        <w:t xml:space="preserve">mechanisation of processes otherwise done by hand. </w:t>
      </w:r>
    </w:p>
    <w:p w:rsidR="00FA2943" w:rsidRPr="00356510" w:rsidRDefault="00FA2943" w:rsidP="0066783F">
      <w:r w:rsidRPr="00356510">
        <w:t xml:space="preserve">Administrative controls are controls managed at the workplace-level and include training, labelling and signage, and systems </w:t>
      </w:r>
      <w:r w:rsidR="004C7B1B">
        <w:t>that</w:t>
      </w:r>
      <w:r w:rsidRPr="00356510">
        <w:t xml:space="preserve"> rotate workers through tasks with high exposure potential and/or redeployment of workers when a certain predefined limit of exposure has been reached during a specified time period. In situations where </w:t>
      </w:r>
      <w:r w:rsidR="00FE5F2D">
        <w:t>PPE</w:t>
      </w:r>
      <w:r w:rsidRPr="00356510">
        <w:t xml:space="preserve"> has a defined break-through time, or where workers would find wearing protective equipment uncomfortable for long periods administrative controls to limit cumulative exposure are a particularly useful adjunct</w:t>
      </w:r>
      <w:r w:rsidR="006051A6" w:rsidRPr="00356510">
        <w:t>. In this way</w:t>
      </w:r>
      <w:r w:rsidRPr="00356510">
        <w:t xml:space="preserve"> exposed tasks are distributed among a group of workers over time so that the total cumulative exposure time of each individual worker is minimised. However, solutions designed to reduce the cumulative duration of </w:t>
      </w:r>
      <w:r w:rsidR="000327D1" w:rsidRPr="00356510">
        <w:t xml:space="preserve">dermal </w:t>
      </w:r>
      <w:r w:rsidRPr="00356510">
        <w:t xml:space="preserve">exposure are often ineffective for preventing sensitisation and subsequent allergic contact dermatitis skin reactions since these effects are not generally associated with cumulative </w:t>
      </w:r>
      <w:r w:rsidR="000327D1" w:rsidRPr="00356510">
        <w:t xml:space="preserve">dermal </w:t>
      </w:r>
      <w:r w:rsidRPr="00356510">
        <w:t>exposure. In some cases the use of specific administrative controls is required by relevant regulations.</w:t>
      </w:r>
    </w:p>
    <w:p w:rsidR="00FA2943" w:rsidRPr="00356510" w:rsidRDefault="00FA2943" w:rsidP="0066783F">
      <w:pPr>
        <w:rPr>
          <w:noProof/>
        </w:rPr>
      </w:pPr>
      <w:r w:rsidRPr="00356510">
        <w:t xml:space="preserve">PPE is a last line of exposure mitigation and may include a range of items worn by the worker to create a proximate barrier between the worker’s skin and the contaminant. All </w:t>
      </w:r>
      <w:r w:rsidR="00FE5F2D">
        <w:t>PPE</w:t>
      </w:r>
      <w:r w:rsidRPr="00356510">
        <w:t xml:space="preserve"> has limitations and for gloves and other skin protective </w:t>
      </w:r>
      <w:r w:rsidR="004C7B1B">
        <w:t>equipment</w:t>
      </w:r>
      <w:r w:rsidRPr="00356510">
        <w:t xml:space="preserve"> these are often quantified as break-through times. In the case of a glove, the break-through time represents the point in time at which the chemical is expected to permeate the material of the glove, in other words the duration of protection which the glove is capable of providing in practice. It should be noted that the correct choice of protective equipment, for example the correct glove-type for the chemical being used and the task being performed, is key to its effectiveness</w:t>
      </w:r>
      <w:r w:rsidR="009201A4">
        <w:t xml:space="preserve"> </w:t>
      </w:r>
      <w:r w:rsidR="00AB2546">
        <w:fldChar w:fldCharType="begin">
          <w:fldData xml:space="preserve">PEVuZE5vdGU+PENpdGU+PEF1dGhvcj5NYWNGYXJsYW5lPC9BdXRob3I+PFllYXI+MjAwNzwvWWVh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</w:fldData>
        </w:fldChar>
      </w:r>
      <w:r w:rsidR="009201A4">
        <w:instrText xml:space="preserve"> ADDIN EN.CITE </w:instrText>
      </w:r>
      <w:r w:rsidR="00AB2546">
        <w:fldChar w:fldCharType="begin">
          <w:fldData xml:space="preserve">PEVuZE5vdGU+PENpdGU+PEF1dGhvcj5NYWNGYXJsYW5lPC9BdXRob3I+PFllYXI+MjAwNzwvWWVh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</w:fldData>
        </w:fldChar>
      </w:r>
      <w:r w:rsidR="009201A4">
        <w:instrText xml:space="preserve"> ADDIN EN.CITE.DATA </w:instrText>
      </w:r>
      <w:r w:rsidR="00AB2546">
        <w:fldChar w:fldCharType="end"/>
      </w:r>
      <w:r w:rsidR="00AB2546">
        <w:fldChar w:fldCharType="separate"/>
      </w:r>
      <w:r w:rsidR="009201A4">
        <w:rPr>
          <w:noProof/>
        </w:rPr>
        <w:t>(</w:t>
      </w:r>
      <w:hyperlink w:anchor="_ENREF_18" w:tooltip="MacFarlane, 2007 #617" w:history="1">
        <w:r w:rsidR="008E2C8E">
          <w:rPr>
            <w:noProof/>
          </w:rPr>
          <w:t>MacFarlane et al. 2007</w:t>
        </w:r>
      </w:hyperlink>
      <w:r w:rsidR="009201A4">
        <w:rPr>
          <w:noProof/>
        </w:rPr>
        <w:t xml:space="preserve">; </w:t>
      </w:r>
      <w:hyperlink w:anchor="_ENREF_19" w:tooltip="Macfarlane, 2008 #611" w:history="1">
        <w:r w:rsidR="008E2C8E">
          <w:rPr>
            <w:noProof/>
          </w:rPr>
          <w:t>Macfarlane et al. 2008</w:t>
        </w:r>
      </w:hyperlink>
      <w:r w:rsidR="009201A4">
        <w:rPr>
          <w:noProof/>
        </w:rPr>
        <w:t xml:space="preserve">; </w:t>
      </w:r>
      <w:hyperlink w:anchor="_ENREF_20" w:tooltip="MacFarlane, 2010 #1054" w:history="1">
        <w:r w:rsidR="008E2C8E">
          <w:rPr>
            <w:noProof/>
          </w:rPr>
          <w:t>MacFarlane 2010</w:t>
        </w:r>
      </w:hyperlink>
      <w:r w:rsidR="009201A4">
        <w:rPr>
          <w:noProof/>
        </w:rPr>
        <w:t>)</w:t>
      </w:r>
      <w:r w:rsidR="00AB2546">
        <w:fldChar w:fldCharType="end"/>
      </w:r>
      <w:r w:rsidR="00054B41">
        <w:t xml:space="preserve">. </w:t>
      </w:r>
      <w:r w:rsidRPr="00356510">
        <w:rPr>
          <w:rFonts w:eastAsia="Calibri"/>
        </w:rPr>
        <w:t xml:space="preserve">It should also be noted that the use of gloves in some circumstances may also cause or contribute to occupational contact dermatitis, particularly when occlusive gloves provide an environment </w:t>
      </w:r>
      <w:r w:rsidR="004C7B1B">
        <w:rPr>
          <w:rFonts w:eastAsia="Calibri"/>
        </w:rPr>
        <w:t>that</w:t>
      </w:r>
      <w:r w:rsidRPr="00356510">
        <w:rPr>
          <w:rFonts w:eastAsia="Calibri"/>
        </w:rPr>
        <w:t xml:space="preserve"> may result in excessive sweating. </w:t>
      </w:r>
      <w:r w:rsidRPr="00356510">
        <w:t>If occlusive gloves are used for long periods it is recommended that thin cotton gloves are worn under the outer gloves to address the potential damage to the skin from excessive sweating</w:t>
      </w:r>
      <w:r w:rsidR="009201A4">
        <w:t xml:space="preserve"> </w:t>
      </w:r>
      <w:r w:rsidR="00AB2546">
        <w:fldChar w:fldCharType="begin"/>
      </w:r>
      <w:r w:rsidR="002C49A5">
        <w:instrText xml:space="preserve"> ADDIN EN.CITE &lt;EndNote&gt;&lt;Cite&gt;&lt;Author&gt;ASCC&lt;/Author&gt;&lt;Year&gt;2005&lt;/Year&gt;&lt;RecNum&gt;463&lt;/RecNum&gt;&lt;DisplayText&gt;(ASCC 2005)&lt;/DisplayText&gt;&lt;record&gt;&lt;rec-number&gt;463&lt;/rec-number&gt;&lt;foreign-keys&gt;&lt;key app="EN" db-id="sx9edz2tiw2008erzw75s5a65aepf9d2pvs9"&gt;463&lt;/key&gt;&lt;/foreign-keys&gt;&lt;ref-type name="Government Document"&gt;46&lt;/ref-type&gt;&lt;contributors&gt;&lt;authors&gt;&lt;author&gt;ASCC,&lt;/author&gt;&lt;/authors&gt;&lt;secondary-authors&gt;&lt;author&gt;Australian Safety and Compensation Council&lt;/author&gt;&lt;/secondary-authors&gt;&lt;/contributors&gt;&lt;titles&gt;&lt;title&gt;Guidance on the prevention of dermatitis caused by wet work&lt;/title&gt;&lt;/titles&gt;&lt;dates&gt;&lt;year&gt;2005&lt;/year&gt;&lt;/dates&gt;&lt;pub-location&gt;Canberra&lt;/pub-location&gt;&lt;publisher&gt;Australian Government: Australian Safety and Compensation Council&lt;/publisher&gt;&lt;urls&gt;&lt;/urls&gt;&lt;/record&gt;&lt;/Cite&gt;&lt;/EndNote&gt;</w:instrText>
      </w:r>
      <w:r w:rsidR="00AB2546">
        <w:fldChar w:fldCharType="separate"/>
      </w:r>
      <w:r w:rsidR="009201A4">
        <w:rPr>
          <w:noProof/>
        </w:rPr>
        <w:t>(</w:t>
      </w:r>
      <w:hyperlink w:anchor="_ENREF_2" w:tooltip="ASCC, 2005 #463" w:history="1">
        <w:r w:rsidR="008E2C8E">
          <w:rPr>
            <w:noProof/>
          </w:rPr>
          <w:t>ASCC 2005</w:t>
        </w:r>
      </w:hyperlink>
      <w:r w:rsidR="009201A4">
        <w:rPr>
          <w:noProof/>
        </w:rPr>
        <w:t>)</w:t>
      </w:r>
      <w:r w:rsidR="00AB2546">
        <w:fldChar w:fldCharType="end"/>
      </w:r>
      <w:r w:rsidR="00054B41">
        <w:t>. W</w:t>
      </w:r>
      <w:r w:rsidRPr="00356510">
        <w:rPr>
          <w:rFonts w:eastAsia="Calibri"/>
        </w:rPr>
        <w:t xml:space="preserve">orkers may also inadvertently use contaminated gloves. For example in hairdressing salons workers commonly turn gloves inside out between clients and reuse them with the contaminated surfaces of the glove touching the skin. These </w:t>
      </w:r>
      <w:r w:rsidR="005262C8" w:rsidRPr="00356510">
        <w:rPr>
          <w:rFonts w:eastAsia="Calibri"/>
        </w:rPr>
        <w:t>examples</w:t>
      </w:r>
      <w:r w:rsidRPr="00356510">
        <w:rPr>
          <w:rFonts w:eastAsia="Calibri"/>
        </w:rPr>
        <w:t xml:space="preserve"> highlight the reasons why </w:t>
      </w:r>
      <w:r w:rsidR="00FE5F2D">
        <w:rPr>
          <w:rFonts w:eastAsia="Calibri"/>
        </w:rPr>
        <w:t>PPE</w:t>
      </w:r>
      <w:r w:rsidRPr="00356510">
        <w:rPr>
          <w:rFonts w:eastAsia="Calibri"/>
        </w:rPr>
        <w:t xml:space="preserve"> is low on the hierarchy of </w:t>
      </w:r>
      <w:r w:rsidRPr="00356510">
        <w:rPr>
          <w:rFonts w:eastAsia="Calibri"/>
        </w:rPr>
        <w:lastRenderedPageBreak/>
        <w:t xml:space="preserve">controls and should be seen as a last line of exposure mitigation and why higher level control measures are so important. </w:t>
      </w:r>
    </w:p>
    <w:p w:rsidR="00FA2943" w:rsidRPr="00356510" w:rsidRDefault="00FA2943" w:rsidP="0066783F">
      <w:pPr>
        <w:rPr>
          <w:highlight w:val="yellow"/>
        </w:rPr>
      </w:pPr>
      <w:r w:rsidRPr="00356510">
        <w:rPr>
          <w:noProof/>
        </w:rPr>
        <w:t>The NHEWS survey also collected information regarding provision of workplace amen</w:t>
      </w:r>
      <w:r w:rsidR="00930F20">
        <w:rPr>
          <w:noProof/>
        </w:rPr>
        <w:t>i</w:t>
      </w:r>
      <w:r w:rsidRPr="00356510">
        <w:rPr>
          <w:noProof/>
        </w:rPr>
        <w:t xml:space="preserve">ties in the form of washing facilities. Provision of washing facilities are an important workplace resource in case of failure of PPE or other higher order controls. </w:t>
      </w:r>
    </w:p>
    <w:p w:rsidR="00FA2943" w:rsidRPr="00356510" w:rsidRDefault="00FA2943" w:rsidP="0066783F">
      <w:r w:rsidRPr="00356510">
        <w:t>Finally it is important to note that under Australian state-based legislation, employers have a number of obligations if they introduce a new product into the workplace, particularly if the product is classified as ‘hazardous’. Employers are obliged to provide information to employees about any changes to the work environment, including for hazards associated with new chemicals/substances introduced to workplaces. They are also required to fulfil labelling and MSDS requirements, carry out appropriate induction and training, and in some cases keep a record of risk assessments and carry out regular health surveillance. In Part 4, Section 36 of the current Victorian legislation</w:t>
      </w:r>
      <w:r w:rsidR="00AB05B9">
        <w:t xml:space="preserve"> (Occupational Health and Safety Act 2004)</w:t>
      </w:r>
      <w:r w:rsidR="00AB05B9">
        <w:rPr>
          <w:rStyle w:val="FootnoteReference"/>
        </w:rPr>
        <w:footnoteReference w:id="1"/>
      </w:r>
      <w:r w:rsidRPr="00356510">
        <w:t xml:space="preserve">, employers are required to consult with their employees when identifying or assessing hazards or risks, making decisions about controlling risks, or when proposing changes to how work is done, or to the workplace, plant, substances or other </w:t>
      </w:r>
      <w:r w:rsidRPr="00806A25">
        <w:t>things used at the workplace</w:t>
      </w:r>
      <w:r w:rsidR="00054B41" w:rsidRPr="00806A25">
        <w:t>.</w:t>
      </w:r>
      <w:r w:rsidRPr="00806A25">
        <w:t xml:space="preserve"> This is also reflected in Part 5, division 2 of the Model Work, Health and Safety Act</w:t>
      </w:r>
      <w:r w:rsidR="0071389F" w:rsidRPr="00806A25">
        <w:rPr>
          <w:rStyle w:val="FootnoteReference"/>
        </w:rPr>
        <w:footnoteReference w:id="2"/>
      </w:r>
      <w:r w:rsidR="00054B41" w:rsidRPr="00806A25">
        <w:t xml:space="preserve">. </w:t>
      </w:r>
      <w:r w:rsidRPr="00806A25">
        <w:t>This legislation provides policy guidelines regarding communication of chemical risks within the workplace.</w:t>
      </w:r>
      <w:r w:rsidRPr="00356510">
        <w:t xml:space="preserve"> </w:t>
      </w:r>
    </w:p>
    <w:p w:rsidR="00FA2943" w:rsidRPr="00356510" w:rsidRDefault="00FA2943" w:rsidP="0066783F">
      <w:r w:rsidRPr="00356510">
        <w:t xml:space="preserve">Questions that may have elicited information about control measures that eliminate the use of hazardous workplace chemicals, change the way tasks with </w:t>
      </w:r>
      <w:r w:rsidR="000327D1" w:rsidRPr="00356510">
        <w:t xml:space="preserve">dermal </w:t>
      </w:r>
      <w:r w:rsidRPr="00356510">
        <w:t xml:space="preserve">chemical exposure are undertaken, or substitute a hazardous workplace chemical with a less hazardous substances were not included in the 2008 NHEWS survey. Thus, </w:t>
      </w:r>
      <w:r w:rsidR="000327D1" w:rsidRPr="00356510">
        <w:t xml:space="preserve">information about </w:t>
      </w:r>
      <w:r w:rsidRPr="00356510">
        <w:t xml:space="preserve">the use of higher level controls in Australian workplaces </w:t>
      </w:r>
      <w:r w:rsidR="00F10888" w:rsidRPr="00356510">
        <w:t>are outside the scope of this report</w:t>
      </w:r>
      <w:r w:rsidRPr="00356510">
        <w:t>.</w:t>
      </w:r>
    </w:p>
    <w:p w:rsidR="00FA2943" w:rsidRPr="00356510" w:rsidRDefault="00FA2943" w:rsidP="004C7B1B">
      <w:pPr>
        <w:pStyle w:val="Heading2"/>
      </w:pPr>
      <w:bookmarkStart w:id="25" w:name="_Toc280100818"/>
      <w:bookmarkStart w:id="26" w:name="_Toc309808247"/>
      <w:bookmarkStart w:id="27" w:name="_Toc312075696"/>
      <w:r w:rsidRPr="00356510">
        <w:t>Research objectives</w:t>
      </w:r>
      <w:bookmarkEnd w:id="25"/>
      <w:bookmarkEnd w:id="26"/>
      <w:bookmarkEnd w:id="27"/>
    </w:p>
    <w:p w:rsidR="00FA2943" w:rsidRPr="00356510" w:rsidRDefault="00FA2943" w:rsidP="0066783F">
      <w:r w:rsidRPr="00356510">
        <w:t xml:space="preserve">This report has three main objectives. </w:t>
      </w:r>
    </w:p>
    <w:p w:rsidR="00FA2943" w:rsidRPr="00356510" w:rsidRDefault="00FA2943" w:rsidP="0066783F">
      <w:r w:rsidRPr="00356510">
        <w:t xml:space="preserve">The first is to determine the percentage of Australian workers who self-report </w:t>
      </w:r>
      <w:r w:rsidR="00F10888" w:rsidRPr="00356510">
        <w:t xml:space="preserve">dermal </w:t>
      </w:r>
      <w:r w:rsidRPr="00356510">
        <w:t xml:space="preserve">exposure to chemicals in the workplace and to describe the various employment and demographic characteristics of groups of workers who report these exposures. </w:t>
      </w:r>
    </w:p>
    <w:p w:rsidR="00FA2943" w:rsidRPr="00356510" w:rsidRDefault="00FA2943" w:rsidP="0066783F">
      <w:r w:rsidRPr="00356510">
        <w:t xml:space="preserve">The second is to discern patterns in the provision of chemical control measures with reference to the employment and demographic characteristics of the workers. Information from these first two research objectives will inform work health and safety policy and workplace intervention and it is hoped that this will contribute ultimately to reduction and better management of workplace exposure to chemicals associated with occupational contact dermatitis and subsequent reduction in occupational contact dermatitis occurrence. </w:t>
      </w:r>
    </w:p>
    <w:p w:rsidR="007C515D" w:rsidRDefault="00FA2943" w:rsidP="00AB05B9">
      <w:r w:rsidRPr="00356510">
        <w:t xml:space="preserve">The third objective of this report is to provide researchers with directions for future research. While the results of this survey </w:t>
      </w:r>
      <w:r w:rsidR="004501E7" w:rsidRPr="00356510">
        <w:t>may provide</w:t>
      </w:r>
      <w:r w:rsidRPr="00356510">
        <w:t xml:space="preserve"> advances for the body of knowledge in the area, more research in this field is required. Recommendations regarding further research are included in the report, as well as recommendations regarding the type of exposure surveillance data which is required over time to discern trends in exposure patterns across industries and groups of workers.</w:t>
      </w:r>
      <w:bookmarkStart w:id="28" w:name="_Toc262655362"/>
      <w:bookmarkStart w:id="29" w:name="_Toc309808248"/>
      <w:bookmarkStart w:id="30" w:name="_Toc312075697"/>
    </w:p>
    <w:p w:rsidR="00FA2943" w:rsidRPr="003B5EC9" w:rsidRDefault="00FA2943" w:rsidP="003B5EC9">
      <w:pPr>
        <w:pStyle w:val="Heading1"/>
      </w:pPr>
      <w:r w:rsidRPr="003B5EC9">
        <w:t>Overview of NHEWS survey methodology</w:t>
      </w:r>
      <w:bookmarkEnd w:id="28"/>
      <w:bookmarkEnd w:id="29"/>
      <w:bookmarkEnd w:id="30"/>
    </w:p>
    <w:p w:rsidR="00FA2943" w:rsidRPr="00356510" w:rsidRDefault="00FA2943" w:rsidP="00FA2943">
      <w:pPr>
        <w:rPr>
          <w:rFonts w:cs="Arial"/>
          <w:szCs w:val="22"/>
        </w:rPr>
      </w:pPr>
      <w:r w:rsidRPr="00356510">
        <w:rPr>
          <w:rFonts w:cs="Arial"/>
          <w:szCs w:val="22"/>
        </w:rPr>
        <w:t xml:space="preserve">The NHEWS survey collected data on occupational exposures, including skin exposure to chemicals, from 4500 Australian workers using computer assisted telephone interviews </w:t>
      </w:r>
      <w:r w:rsidRPr="00356510">
        <w:rPr>
          <w:rFonts w:cs="Arial"/>
          <w:szCs w:val="22"/>
        </w:rPr>
        <w:lastRenderedPageBreak/>
        <w:t>(CATI). An earlier report has described the results of airborne exposure to chemicals</w:t>
      </w:r>
      <w:r w:rsidR="003F6155">
        <w:rPr>
          <w:rFonts w:cs="Arial"/>
          <w:szCs w:val="22"/>
        </w:rPr>
        <w:t xml:space="preserve"> </w:t>
      </w:r>
      <w:r w:rsidR="00AB2546">
        <w:rPr>
          <w:rFonts w:cs="Arial"/>
          <w:szCs w:val="22"/>
        </w:rPr>
        <w:fldChar w:fldCharType="begin"/>
      </w:r>
      <w:r w:rsidR="003F6155">
        <w:rPr>
          <w:rFonts w:cs="Arial"/>
          <w:szCs w:val="22"/>
        </w:rPr>
        <w:instrText xml:space="preserve"> ADDIN EN.CITE &lt;EndNote&gt;&lt;Cite&gt;&lt;Author&gt;Safe Work Australia&lt;/Author&gt;&lt;Year&gt;2010&lt;/Year&gt;&lt;RecNum&gt;1075&lt;/RecNum&gt;&lt;DisplayText&gt;(Safe Work Australia 2010)&lt;/DisplayText&gt;&lt;record&gt;&lt;rec-number&gt;1075&lt;/rec-number&gt;&lt;foreign-keys&gt;&lt;key app="EN" db-id="sx9edz2tiw2008erzw75s5a65aepf9d2pvs9"&gt;1075&lt;/key&gt;&lt;/foreign-keys&gt;&lt;ref-type name="Report"&gt;27&lt;/ref-type&gt;&lt;contributors&gt;&lt;authors&gt;&lt;author&gt;Safe Work Australia,&lt;/author&gt;&lt;/authors&gt;&lt;subsidiary-authors&gt;&lt;author&gt;Safe Work Australia&lt;/author&gt;&lt;/subsidiary-authors&gt;&lt;/contributors&gt;&lt;titles&gt;&lt;title&gt;National Hazard Exposure Worker Surveillance: Exposure to dust, gases, vapours, smoke and fumes and the provision of controls for these airborne hazards in Australian workplaces&lt;/title&gt;&lt;/titles&gt;&lt;dates&gt;&lt;year&gt;2010&lt;/year&gt;&lt;/dates&gt;&lt;pub-location&gt;Canberra&lt;/pub-location&gt;&lt;publisher&gt;Safe Work Australia&lt;/publisher&gt;&lt;urls&gt;&lt;/urls&gt;&lt;/record&gt;&lt;/Cite&gt;&lt;/EndNote&gt;</w:instrText>
      </w:r>
      <w:r w:rsidR="00AB2546">
        <w:rPr>
          <w:rFonts w:cs="Arial"/>
          <w:szCs w:val="22"/>
        </w:rPr>
        <w:fldChar w:fldCharType="separate"/>
      </w:r>
      <w:r w:rsidR="003F6155">
        <w:rPr>
          <w:rFonts w:cs="Arial"/>
          <w:noProof/>
          <w:szCs w:val="22"/>
        </w:rPr>
        <w:t>(</w:t>
      </w:r>
      <w:hyperlink w:anchor="_ENREF_33" w:tooltip="Safe Work Australia, 2010 #1075" w:history="1">
        <w:r w:rsidR="008E2C8E">
          <w:rPr>
            <w:rFonts w:cs="Arial"/>
            <w:noProof/>
            <w:szCs w:val="22"/>
          </w:rPr>
          <w:t>Safe Work Australia 2010</w:t>
        </w:r>
      </w:hyperlink>
      <w:r w:rsidR="003F6155">
        <w:rPr>
          <w:rFonts w:cs="Arial"/>
          <w:noProof/>
          <w:szCs w:val="22"/>
        </w:rPr>
        <w:t>)</w:t>
      </w:r>
      <w:r w:rsidR="00AB2546">
        <w:rPr>
          <w:rFonts w:cs="Arial"/>
          <w:szCs w:val="22"/>
        </w:rPr>
        <w:fldChar w:fldCharType="end"/>
      </w:r>
      <w:r w:rsidR="00054B41">
        <w:rPr>
          <w:rFonts w:cs="Arial"/>
          <w:szCs w:val="22"/>
        </w:rPr>
        <w:t>.</w:t>
      </w:r>
      <w:r w:rsidRPr="00356510">
        <w:rPr>
          <w:rFonts w:cs="Arial"/>
          <w:szCs w:val="22"/>
        </w:rPr>
        <w:t xml:space="preserve"> </w:t>
      </w:r>
    </w:p>
    <w:p w:rsidR="00FA2943" w:rsidRPr="00356510" w:rsidRDefault="00FA2943" w:rsidP="00FA2943">
      <w:pPr>
        <w:rPr>
          <w:rFonts w:cs="Arial"/>
          <w:szCs w:val="22"/>
        </w:rPr>
      </w:pPr>
      <w:r w:rsidRPr="00356510">
        <w:rPr>
          <w:rFonts w:cs="Arial"/>
          <w:szCs w:val="22"/>
        </w:rPr>
        <w:t>Survey participants were asked the following questions relevant to chemical exposures:</w:t>
      </w:r>
    </w:p>
    <w:p w:rsidR="00FA2943" w:rsidRPr="00356510" w:rsidRDefault="00FA2943" w:rsidP="003B5EC9">
      <w:pPr>
        <w:numPr>
          <w:ilvl w:val="0"/>
          <w:numId w:val="28"/>
        </w:numPr>
        <w:ind w:left="567" w:hanging="567"/>
        <w:rPr>
          <w:rFonts w:cs="Arial"/>
          <w:szCs w:val="22"/>
        </w:rPr>
      </w:pPr>
      <w:r w:rsidRPr="00356510">
        <w:rPr>
          <w:rFonts w:cs="Arial"/>
          <w:szCs w:val="22"/>
        </w:rPr>
        <w:t>On a typical day at work last week, how long did you work with chemicals such as cement, cleaning products, disinfectants, solvents, resins, paints, pesticides or other chemical substances?</w:t>
      </w:r>
    </w:p>
    <w:p w:rsidR="00FA2943" w:rsidRPr="00356510" w:rsidRDefault="00FA2943" w:rsidP="003B5EC9">
      <w:pPr>
        <w:numPr>
          <w:ilvl w:val="0"/>
          <w:numId w:val="28"/>
        </w:numPr>
        <w:ind w:left="567" w:hanging="567"/>
        <w:rPr>
          <w:rFonts w:cs="Arial"/>
          <w:szCs w:val="22"/>
        </w:rPr>
      </w:pPr>
      <w:r w:rsidRPr="00356510">
        <w:rPr>
          <w:rFonts w:cs="Arial"/>
          <w:szCs w:val="22"/>
        </w:rPr>
        <w:t xml:space="preserve">What were the main types of chemical products or substances you worked with last week? </w:t>
      </w:r>
      <w:r w:rsidR="00F10888" w:rsidRPr="00356510">
        <w:rPr>
          <w:rFonts w:cs="Arial"/>
          <w:szCs w:val="22"/>
        </w:rPr>
        <w:t>(</w:t>
      </w:r>
      <w:r w:rsidRPr="00356510">
        <w:rPr>
          <w:rFonts w:cs="Arial"/>
          <w:szCs w:val="22"/>
        </w:rPr>
        <w:t>Workers could identify multiple chemical product</w:t>
      </w:r>
      <w:r w:rsidR="003B5EC9">
        <w:rPr>
          <w:rFonts w:cs="Arial"/>
          <w:szCs w:val="22"/>
        </w:rPr>
        <w:t>s</w:t>
      </w:r>
      <w:r w:rsidRPr="00356510">
        <w:rPr>
          <w:rFonts w:cs="Arial"/>
          <w:szCs w:val="22"/>
        </w:rPr>
        <w:t xml:space="preserve"> or substance</w:t>
      </w:r>
      <w:r w:rsidR="003B5EC9">
        <w:rPr>
          <w:rFonts w:cs="Arial"/>
          <w:szCs w:val="22"/>
        </w:rPr>
        <w:t>s</w:t>
      </w:r>
      <w:r w:rsidR="00F10888" w:rsidRPr="00356510">
        <w:rPr>
          <w:rFonts w:cs="Arial"/>
          <w:szCs w:val="22"/>
        </w:rPr>
        <w:t>)</w:t>
      </w:r>
      <w:r w:rsidRPr="00356510">
        <w:rPr>
          <w:rFonts w:cs="Arial"/>
          <w:szCs w:val="22"/>
        </w:rPr>
        <w:t>.</w:t>
      </w:r>
    </w:p>
    <w:p w:rsidR="00FA2943" w:rsidRPr="00356510" w:rsidRDefault="00FA2943" w:rsidP="00FA2943">
      <w:pPr>
        <w:rPr>
          <w:rFonts w:cs="Arial"/>
          <w:szCs w:val="22"/>
        </w:rPr>
      </w:pPr>
      <w:r w:rsidRPr="00356510">
        <w:rPr>
          <w:rFonts w:cs="Arial"/>
          <w:szCs w:val="22"/>
        </w:rPr>
        <w:t xml:space="preserve">Workers who reported </w:t>
      </w:r>
      <w:r w:rsidR="003B5EC9">
        <w:rPr>
          <w:rFonts w:cs="Arial"/>
          <w:szCs w:val="22"/>
        </w:rPr>
        <w:t>that they worked with chemicals</w:t>
      </w:r>
      <w:r w:rsidRPr="00356510">
        <w:rPr>
          <w:rFonts w:cs="Arial"/>
          <w:szCs w:val="22"/>
        </w:rPr>
        <w:t xml:space="preserve"> were also asked:</w:t>
      </w:r>
    </w:p>
    <w:p w:rsidR="00FA2943" w:rsidRPr="003B5EC9" w:rsidRDefault="00FA2943" w:rsidP="003B5EC9">
      <w:pPr>
        <w:numPr>
          <w:ilvl w:val="0"/>
          <w:numId w:val="26"/>
        </w:numPr>
        <w:ind w:left="567" w:hanging="567"/>
        <w:rPr>
          <w:rFonts w:cs="Arial"/>
          <w:szCs w:val="22"/>
        </w:rPr>
      </w:pPr>
      <w:r w:rsidRPr="00356510">
        <w:rPr>
          <w:rFonts w:cs="Arial"/>
          <w:szCs w:val="22"/>
        </w:rPr>
        <w:t>(If self-employed ‘Do you’: If an employee ‘Does your employer’) do any of the following to prevent health problems caused by exposure to chemical products or substances?</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provide gloves</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provide protective clothing</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provide labelling and warning signs</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provide washing facilities</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provide training</w:t>
      </w:r>
    </w:p>
    <w:p w:rsidR="00FA2943" w:rsidRPr="00356510" w:rsidRDefault="00FA2943" w:rsidP="003B5EC9">
      <w:pPr>
        <w:pStyle w:val="ListParagraph"/>
        <w:numPr>
          <w:ilvl w:val="0"/>
          <w:numId w:val="12"/>
        </w:numPr>
        <w:ind w:left="1134" w:hanging="567"/>
        <w:rPr>
          <w:rFonts w:ascii="Arial" w:hAnsi="Arial" w:cs="Arial"/>
          <w:sz w:val="22"/>
          <w:szCs w:val="22"/>
        </w:rPr>
      </w:pPr>
      <w:r w:rsidRPr="00356510">
        <w:rPr>
          <w:rFonts w:ascii="Arial" w:hAnsi="Arial" w:cs="Arial"/>
          <w:sz w:val="22"/>
          <w:szCs w:val="22"/>
        </w:rPr>
        <w:t>nothing</w:t>
      </w:r>
    </w:p>
    <w:p w:rsidR="00FA2943" w:rsidRDefault="00FA2943" w:rsidP="003B5EC9">
      <w:r w:rsidRPr="00356510">
        <w:t>Workers were also asked:</w:t>
      </w:r>
    </w:p>
    <w:p w:rsidR="00FA2943" w:rsidRPr="003B5EC9" w:rsidRDefault="00FA2943" w:rsidP="003B5EC9">
      <w:pPr>
        <w:pStyle w:val="ListParagraph"/>
        <w:numPr>
          <w:ilvl w:val="0"/>
          <w:numId w:val="31"/>
        </w:numPr>
        <w:ind w:left="567" w:hanging="567"/>
        <w:rPr>
          <w:rFonts w:ascii="Arial" w:hAnsi="Arial" w:cs="Arial"/>
          <w:sz w:val="22"/>
          <w:szCs w:val="22"/>
        </w:rPr>
      </w:pPr>
      <w:r w:rsidRPr="003B5EC9">
        <w:rPr>
          <w:rFonts w:ascii="Arial" w:hAnsi="Arial" w:cs="Arial"/>
          <w:sz w:val="22"/>
          <w:szCs w:val="22"/>
        </w:rPr>
        <w:t>What kind of gloves do you normally use?</w:t>
      </w:r>
    </w:p>
    <w:p w:rsidR="00FA2943" w:rsidRPr="00356510" w:rsidRDefault="00FA2943" w:rsidP="003B5EC9">
      <w:r w:rsidRPr="00356510">
        <w:t xml:space="preserve">The chemicals/substances </w:t>
      </w:r>
      <w:r w:rsidR="007802D6">
        <w:t xml:space="preserve">that were reported by the workers surveyed </w:t>
      </w:r>
      <w:r w:rsidRPr="00356510">
        <w:t>were grouped according to the Type of Occurrence Classification System (TOOCS version 2.1)</w:t>
      </w:r>
      <w:r w:rsidR="00FE5F2D">
        <w:t xml:space="preserve"> </w:t>
      </w:r>
      <w:r w:rsidR="00AB2546">
        <w:fldChar w:fldCharType="begin"/>
      </w:r>
      <w:r w:rsidR="00FE5F2D">
        <w:instrText xml:space="preserve"> ADDIN EN.CITE &lt;EndNote&gt;&lt;Cite&gt;&lt;Author&gt;NOHSC&lt;/Author&gt;&lt;Year&gt;2002&lt;/Year&gt;&lt;RecNum&gt;1051&lt;/RecNum&gt;&lt;DisplayText&gt;(NOHSC 2002)&lt;/DisplayText&gt;&lt;record&gt;&lt;rec-number&gt;1051&lt;/rec-number&gt;&lt;foreign-keys&gt;&lt;key app="EN" db-id="sx9edz2tiw2008erzw75s5a65aepf9d2pvs9"&gt;1051&lt;/key&gt;&lt;/foreign-keys&gt;&lt;ref-type name="Report"&gt;27&lt;/ref-type&gt;&lt;contributors&gt;&lt;authors&gt;&lt;author&gt;NOHSC&lt;/author&gt;&lt;/authors&gt;&lt;/contributors&gt;&lt;titles&gt;&lt;title&gt;Type of Occurrence Classification System Revised 2.1 Edition&lt;/title&gt;&lt;/titles&gt;&lt;edition&gt;Revised 2.1 Edition&lt;/edition&gt;&lt;dates&gt;&lt;year&gt;2002&lt;/year&gt;&lt;/dates&gt;&lt;pub-location&gt;Canberra&lt;/pub-location&gt;&lt;publisher&gt;National Occupational Health and Safety Commission&lt;/publisher&gt;&lt;urls&gt;&lt;/urls&gt;&lt;/record&gt;&lt;/Cite&gt;&lt;/EndNote&gt;</w:instrText>
      </w:r>
      <w:r w:rsidR="00AB2546">
        <w:fldChar w:fldCharType="separate"/>
      </w:r>
      <w:r w:rsidR="00FE5F2D">
        <w:rPr>
          <w:noProof/>
        </w:rPr>
        <w:t>(</w:t>
      </w:r>
      <w:hyperlink w:anchor="_ENREF_28" w:tooltip="NOHSC, 2002 #1051" w:history="1">
        <w:r w:rsidR="008E2C8E">
          <w:rPr>
            <w:noProof/>
          </w:rPr>
          <w:t>NOHSC 2002</w:t>
        </w:r>
      </w:hyperlink>
      <w:r w:rsidR="00FE5F2D">
        <w:rPr>
          <w:noProof/>
        </w:rPr>
        <w:t>)</w:t>
      </w:r>
      <w:r w:rsidR="00AB2546">
        <w:fldChar w:fldCharType="end"/>
      </w:r>
      <w:r w:rsidR="00054B41">
        <w:t>,</w:t>
      </w:r>
      <w:r w:rsidRPr="00356510">
        <w:t xml:space="preserve"> which is used to classify the agency of injury or illness in the National Data Set (NDS) for compensation-based statistics. The coding was based on standard coding practices and two expert coders cross-checked a sample of cases to ensure consistency. The self-reported exposure data was recorded verbatim by the interviewers, as far as possible and expert </w:t>
      </w:r>
      <w:r w:rsidR="00F10888" w:rsidRPr="00356510">
        <w:t>judgment</w:t>
      </w:r>
      <w:r w:rsidRPr="00356510">
        <w:t>, informed by the job and industry details, was used to resolve cases where insufficient detail was recorded or where the recorded information was ambiguous.</w:t>
      </w:r>
    </w:p>
    <w:p w:rsidR="00FA2943" w:rsidRPr="00356510" w:rsidRDefault="00FA2943" w:rsidP="003B5EC9">
      <w:r w:rsidRPr="00356510">
        <w:t>Demographic and workplace data collected by the NHEWS survey are presented as descriptive statistics (percentages). Data w</w:t>
      </w:r>
      <w:r w:rsidR="007802D6">
        <w:t>ere</w:t>
      </w:r>
      <w:r w:rsidRPr="00356510">
        <w:t xml:space="preserve"> analysed using univariate logistic regression</w:t>
      </w:r>
      <w:r w:rsidR="007802D6">
        <w:t>s</w:t>
      </w:r>
      <w:r w:rsidRPr="00356510">
        <w:t>. Significant variables from the univariate models were included in the multiple logistic regression models. These models described the odds of reporting skin exposure to chemicals/substances with respect to employment and demographic factors</w:t>
      </w:r>
      <w:r w:rsidR="007802D6">
        <w:t xml:space="preserve"> for</w:t>
      </w:r>
      <w:r w:rsidRPr="00356510">
        <w:t xml:space="preserve"> each of the seven</w:t>
      </w:r>
      <w:r w:rsidR="007802D6">
        <w:t xml:space="preserve"> main</w:t>
      </w:r>
      <w:r w:rsidRPr="00356510">
        <w:t xml:space="preserve"> chemical exposures. Models for each of the chemical exposure variables were run separately, however the models are presented in two common tables, with the same included categories for ease of comparison. If a variable was significant in a model for one chemical exposure it was retained for all models. For example, number of employees at a workplace was a </w:t>
      </w:r>
      <w:r w:rsidR="004501E7" w:rsidRPr="00356510">
        <w:t>common confounder and was included in each of the models</w:t>
      </w:r>
      <w:r w:rsidRPr="00356510">
        <w:t>. Variables were removed sequentially from the models until the most parsimonious model (across all the chemical exposure variables) was obtained</w:t>
      </w:r>
      <w:r w:rsidR="001148DE" w:rsidRPr="00356510">
        <w:t xml:space="preserve">. </w:t>
      </w:r>
    </w:p>
    <w:p w:rsidR="00FA2943" w:rsidRPr="00356510" w:rsidRDefault="00FA2943" w:rsidP="00FA2943">
      <w:pPr>
        <w:rPr>
          <w:rFonts w:cs="Arial"/>
          <w:szCs w:val="22"/>
        </w:rPr>
      </w:pPr>
      <w:r w:rsidRPr="00356510">
        <w:rPr>
          <w:rFonts w:cs="Arial"/>
          <w:szCs w:val="22"/>
        </w:rPr>
        <w:t xml:space="preserve">This approach was also used to present the descriptive data for </w:t>
      </w:r>
      <w:r w:rsidR="007802D6">
        <w:rPr>
          <w:rFonts w:cs="Arial"/>
          <w:szCs w:val="22"/>
        </w:rPr>
        <w:t xml:space="preserve">the </w:t>
      </w:r>
      <w:r w:rsidRPr="00356510">
        <w:rPr>
          <w:rFonts w:cs="Arial"/>
          <w:szCs w:val="22"/>
        </w:rPr>
        <w:t>provision of workplace controls and to estimate the odds of exposed workers being provided with particular types of control measures against chemical/substance exposure.</w:t>
      </w:r>
    </w:p>
    <w:p w:rsidR="00FA2943" w:rsidRPr="00356510" w:rsidRDefault="00FA2943" w:rsidP="00FA2943">
      <w:pPr>
        <w:rPr>
          <w:rFonts w:cs="Arial"/>
          <w:szCs w:val="22"/>
        </w:rPr>
      </w:pPr>
      <w:r w:rsidRPr="00356510">
        <w:rPr>
          <w:rFonts w:cs="Arial"/>
          <w:szCs w:val="22"/>
        </w:rPr>
        <w:t xml:space="preserve">The data presented in this report are unweighted and are therefore only representative of the survey sample. Unless otherwise stated, the data presented in this report relate to the portion of the sample </w:t>
      </w:r>
      <w:r w:rsidR="00FF40AA">
        <w:rPr>
          <w:rFonts w:cs="Arial"/>
          <w:szCs w:val="22"/>
        </w:rPr>
        <w:t>that</w:t>
      </w:r>
      <w:r w:rsidR="00707DF7" w:rsidRPr="00356510">
        <w:rPr>
          <w:rFonts w:cs="Arial"/>
          <w:szCs w:val="22"/>
        </w:rPr>
        <w:t xml:space="preserve"> </w:t>
      </w:r>
      <w:r w:rsidRPr="00356510">
        <w:rPr>
          <w:rFonts w:cs="Arial"/>
          <w:szCs w:val="22"/>
        </w:rPr>
        <w:t xml:space="preserve">reported skin exposure to chemicals. </w:t>
      </w:r>
      <w:r w:rsidR="00F10888" w:rsidRPr="00356510">
        <w:rPr>
          <w:rFonts w:cs="Arial"/>
          <w:szCs w:val="22"/>
        </w:rPr>
        <w:t xml:space="preserve">Some descriptions of </w:t>
      </w:r>
      <w:r w:rsidR="00F10888" w:rsidRPr="00356510">
        <w:rPr>
          <w:rFonts w:cs="Arial"/>
          <w:szCs w:val="22"/>
        </w:rPr>
        <w:lastRenderedPageBreak/>
        <w:t>categorical variables (such as occupational skill level categories</w:t>
      </w:r>
      <w:r w:rsidR="00D27F6A" w:rsidRPr="00356510">
        <w:rPr>
          <w:rStyle w:val="FootnoteReference"/>
          <w:rFonts w:cs="Arial"/>
        </w:rPr>
        <w:footnoteReference w:id="3"/>
      </w:r>
      <w:r w:rsidR="00F10888" w:rsidRPr="00356510">
        <w:rPr>
          <w:rFonts w:cs="Arial"/>
          <w:szCs w:val="22"/>
        </w:rPr>
        <w:t xml:space="preserve">) are presented elsewhere in this report to facilitate ease of reading. </w:t>
      </w:r>
      <w:r w:rsidRPr="00356510">
        <w:rPr>
          <w:rFonts w:cs="Arial"/>
          <w:szCs w:val="22"/>
        </w:rPr>
        <w:t>Full details of the survey design, fielding methodology and the data analysis methodology can be found in Appendix A of this report.</w:t>
      </w:r>
    </w:p>
    <w:p w:rsidR="00FA2943" w:rsidRPr="00356510" w:rsidRDefault="00FA2943" w:rsidP="00FA2943">
      <w:pPr>
        <w:pStyle w:val="Heading1"/>
        <w:rPr>
          <w:rFonts w:cs="Arial"/>
        </w:rPr>
      </w:pPr>
      <w:bookmarkStart w:id="31" w:name="_Toc309808249"/>
      <w:bookmarkStart w:id="32" w:name="_Toc312075698"/>
      <w:r w:rsidRPr="00356510">
        <w:rPr>
          <w:rFonts w:cs="Arial"/>
        </w:rPr>
        <w:t>Results</w:t>
      </w:r>
      <w:bookmarkEnd w:id="1"/>
      <w:bookmarkEnd w:id="31"/>
      <w:bookmarkEnd w:id="32"/>
    </w:p>
    <w:p w:rsidR="00FA2943" w:rsidRPr="00356510" w:rsidRDefault="00FA2943" w:rsidP="00FA2943">
      <w:pPr>
        <w:rPr>
          <w:rFonts w:cs="Arial"/>
        </w:rPr>
      </w:pPr>
      <w:r w:rsidRPr="00356510">
        <w:rPr>
          <w:rFonts w:cs="Arial"/>
        </w:rPr>
        <w:t xml:space="preserve">This section provides an overview of the main results from </w:t>
      </w:r>
      <w:r w:rsidR="007B2493">
        <w:rPr>
          <w:rFonts w:cs="Arial"/>
        </w:rPr>
        <w:t xml:space="preserve">the </w:t>
      </w:r>
      <w:r w:rsidRPr="00356510">
        <w:rPr>
          <w:rFonts w:cs="Arial"/>
        </w:rPr>
        <w:t>analys</w:t>
      </w:r>
      <w:r w:rsidR="007B2493">
        <w:rPr>
          <w:rFonts w:cs="Arial"/>
        </w:rPr>
        <w:t>i</w:t>
      </w:r>
      <w:r w:rsidRPr="00356510">
        <w:rPr>
          <w:rFonts w:cs="Arial"/>
        </w:rPr>
        <w:t xml:space="preserve">s of the </w:t>
      </w:r>
      <w:r w:rsidR="007B2493">
        <w:rPr>
          <w:rFonts w:cs="Arial"/>
        </w:rPr>
        <w:t>data pertaining to</w:t>
      </w:r>
      <w:r w:rsidRPr="00356510">
        <w:rPr>
          <w:rFonts w:cs="Arial"/>
        </w:rPr>
        <w:t xml:space="preserve"> dermal chemical exposures</w:t>
      </w:r>
      <w:r w:rsidR="00AB438E" w:rsidRPr="00AB438E">
        <w:rPr>
          <w:rFonts w:cs="Arial"/>
        </w:rPr>
        <w:t xml:space="preserve"> </w:t>
      </w:r>
      <w:r w:rsidR="00AB438E">
        <w:rPr>
          <w:rFonts w:cs="Arial"/>
        </w:rPr>
        <w:t>from the</w:t>
      </w:r>
      <w:r w:rsidR="00AB438E" w:rsidRPr="00356510">
        <w:rPr>
          <w:rFonts w:cs="Arial"/>
        </w:rPr>
        <w:t xml:space="preserve"> 2008 NHEWS </w:t>
      </w:r>
      <w:r w:rsidR="00AB438E">
        <w:rPr>
          <w:rFonts w:cs="Arial"/>
        </w:rPr>
        <w:t>s</w:t>
      </w:r>
      <w:r w:rsidR="00AB438E" w:rsidRPr="00356510">
        <w:rPr>
          <w:rFonts w:cs="Arial"/>
        </w:rPr>
        <w:t>urvey</w:t>
      </w:r>
      <w:r w:rsidRPr="0076435A">
        <w:rPr>
          <w:rFonts w:cs="Arial"/>
        </w:rPr>
        <w:t xml:space="preserve">. </w:t>
      </w:r>
      <w:r w:rsidR="00F10888" w:rsidRPr="0076435A">
        <w:rPr>
          <w:rFonts w:cs="Arial"/>
        </w:rPr>
        <w:t>Additional</w:t>
      </w:r>
      <w:r w:rsidRPr="0076435A">
        <w:rPr>
          <w:rFonts w:cs="Arial"/>
        </w:rPr>
        <w:t xml:space="preserve"> </w:t>
      </w:r>
      <w:r w:rsidR="00F10888" w:rsidRPr="0076435A">
        <w:rPr>
          <w:rFonts w:cs="Arial"/>
        </w:rPr>
        <w:t>tables</w:t>
      </w:r>
      <w:r w:rsidRPr="0076435A">
        <w:rPr>
          <w:rFonts w:cs="Arial"/>
        </w:rPr>
        <w:t xml:space="preserve"> </w:t>
      </w:r>
      <w:r w:rsidR="00F10888" w:rsidRPr="0076435A">
        <w:rPr>
          <w:rFonts w:cs="Arial"/>
        </w:rPr>
        <w:t>are</w:t>
      </w:r>
      <w:r w:rsidRPr="0076435A">
        <w:rPr>
          <w:rFonts w:cs="Arial"/>
        </w:rPr>
        <w:t xml:space="preserve"> presented in Appendix </w:t>
      </w:r>
      <w:r w:rsidR="00F10888" w:rsidRPr="0076435A">
        <w:rPr>
          <w:rFonts w:cs="Arial"/>
        </w:rPr>
        <w:t>B</w:t>
      </w:r>
      <w:r w:rsidRPr="0076435A">
        <w:rPr>
          <w:rFonts w:cs="Arial"/>
        </w:rPr>
        <w:t>.</w:t>
      </w:r>
      <w:r w:rsidRPr="00356510">
        <w:rPr>
          <w:rFonts w:cs="Arial"/>
        </w:rPr>
        <w:t xml:space="preserve"> </w:t>
      </w:r>
      <w:bookmarkStart w:id="33" w:name="_Toc270432027"/>
      <w:bookmarkStart w:id="34" w:name="_Toc280100821"/>
    </w:p>
    <w:p w:rsidR="00FA2943" w:rsidRPr="00356510" w:rsidRDefault="00D27F6A" w:rsidP="007B2493">
      <w:pPr>
        <w:pStyle w:val="Heading2"/>
      </w:pPr>
      <w:bookmarkStart w:id="35" w:name="_Toc309808250"/>
      <w:bookmarkStart w:id="36" w:name="_Toc312075699"/>
      <w:bookmarkEnd w:id="33"/>
      <w:bookmarkEnd w:id="34"/>
      <w:r>
        <w:t>Overall</w:t>
      </w:r>
      <w:r w:rsidR="00FA2943" w:rsidRPr="00356510">
        <w:t xml:space="preserve"> exposure to chemicals in the workplace</w:t>
      </w:r>
      <w:bookmarkEnd w:id="35"/>
      <w:bookmarkEnd w:id="36"/>
      <w:r w:rsidR="00FA2943" w:rsidRPr="00356510">
        <w:t xml:space="preserve"> </w:t>
      </w:r>
    </w:p>
    <w:p w:rsidR="00FA2943" w:rsidRPr="00356510" w:rsidRDefault="00FA2943" w:rsidP="00FA2943">
      <w:pPr>
        <w:rPr>
          <w:rFonts w:cs="Arial"/>
        </w:rPr>
      </w:pPr>
      <w:r w:rsidRPr="00356510">
        <w:rPr>
          <w:rFonts w:cs="Arial"/>
        </w:rPr>
        <w:t>Overall 1679 or 37% (95% Confidence Interval [95% CI]: 36-39%) of NHEWS survey respondents reported that they had worked with chemicals in the week preceding the survey.</w:t>
      </w:r>
    </w:p>
    <w:p w:rsidR="00FA2943" w:rsidRPr="00356510" w:rsidRDefault="00FA2943" w:rsidP="00FA2943">
      <w:pPr>
        <w:rPr>
          <w:rFonts w:cs="Arial"/>
        </w:rPr>
      </w:pPr>
      <w:r w:rsidRPr="00356510">
        <w:rPr>
          <w:rFonts w:cs="Arial"/>
        </w:rPr>
        <w:t xml:space="preserve">A higher percentage of males (39%) compared to females (35%) reported </w:t>
      </w:r>
      <w:r w:rsidR="00D27F6A">
        <w:rPr>
          <w:rFonts w:cs="Arial"/>
        </w:rPr>
        <w:t>exposure to at least one type of chemical</w:t>
      </w:r>
      <w:r w:rsidRPr="00356510">
        <w:rPr>
          <w:rFonts w:cs="Arial"/>
        </w:rPr>
        <w:t>, and this difference was statistically significant (p&lt;0.05). There were also significant differences in the reporting of chemical exposure by age group. The age group that recorded the highest percentage (52%) of workers who reported exposure was the 15-24 year old age group (p&lt;0.000). For occupational skill level, workers classified as ‘Tradesperson or related work and advanced clerical or service work’ (</w:t>
      </w:r>
      <w:r w:rsidR="00AB438E">
        <w:rPr>
          <w:rFonts w:cs="Arial"/>
        </w:rPr>
        <w:t>s</w:t>
      </w:r>
      <w:r w:rsidRPr="00356510">
        <w:rPr>
          <w:rFonts w:cs="Arial"/>
        </w:rPr>
        <w:t xml:space="preserve">kill </w:t>
      </w:r>
      <w:r w:rsidR="00AB438E">
        <w:rPr>
          <w:rFonts w:cs="Arial"/>
        </w:rPr>
        <w:t>l</w:t>
      </w:r>
      <w:r w:rsidRPr="00356510">
        <w:rPr>
          <w:rFonts w:cs="Arial"/>
        </w:rPr>
        <w:t xml:space="preserve">evel </w:t>
      </w:r>
      <w:r w:rsidR="00AB438E">
        <w:rPr>
          <w:rFonts w:cs="Arial"/>
        </w:rPr>
        <w:t>three</w:t>
      </w:r>
      <w:r w:rsidRPr="00356510">
        <w:rPr>
          <w:rFonts w:cs="Arial"/>
        </w:rPr>
        <w:t>) were the group with the highest percentage of workers (53%) who reported exposure to chemicals. The group that recorded the second highest percentage was the lowest occupational skill level group ‘Elementary clerical, sales or service work and labourer or related work’ (</w:t>
      </w:r>
      <w:r w:rsidR="00AB438E">
        <w:rPr>
          <w:rFonts w:cs="Arial"/>
        </w:rPr>
        <w:t>s</w:t>
      </w:r>
      <w:r w:rsidRPr="00356510">
        <w:rPr>
          <w:rFonts w:cs="Arial"/>
        </w:rPr>
        <w:t xml:space="preserve">kill </w:t>
      </w:r>
      <w:r w:rsidR="00AB438E">
        <w:rPr>
          <w:rFonts w:cs="Arial"/>
        </w:rPr>
        <w:t>l</w:t>
      </w:r>
      <w:r w:rsidRPr="00356510">
        <w:rPr>
          <w:rFonts w:cs="Arial"/>
        </w:rPr>
        <w:t xml:space="preserve">evel </w:t>
      </w:r>
      <w:r w:rsidR="00AB438E">
        <w:rPr>
          <w:rFonts w:cs="Arial"/>
        </w:rPr>
        <w:t>five</w:t>
      </w:r>
      <w:r w:rsidR="0009301E" w:rsidRPr="00356510">
        <w:rPr>
          <w:rFonts w:cs="Arial"/>
        </w:rPr>
        <w:t xml:space="preserve">) - </w:t>
      </w:r>
      <w:r w:rsidRPr="00356510">
        <w:rPr>
          <w:rFonts w:cs="Arial"/>
        </w:rPr>
        <w:t>50% of workers i</w:t>
      </w:r>
      <w:r w:rsidR="007768CB" w:rsidRPr="00356510">
        <w:rPr>
          <w:rFonts w:cs="Arial"/>
        </w:rPr>
        <w:t xml:space="preserve">n this group reported exposure. </w:t>
      </w:r>
    </w:p>
    <w:p w:rsidR="00FA2943" w:rsidRPr="00356510" w:rsidRDefault="00FA2943" w:rsidP="00FA2943">
      <w:pPr>
        <w:rPr>
          <w:rFonts w:cs="Arial"/>
        </w:rPr>
      </w:pPr>
      <w:r w:rsidRPr="00356510">
        <w:rPr>
          <w:rFonts w:cs="Arial"/>
        </w:rPr>
        <w:t xml:space="preserve">A higher percentage (41%) of temporary or casual workers reported exposure </w:t>
      </w:r>
      <w:r w:rsidR="00D27F6A">
        <w:rPr>
          <w:rFonts w:cs="Arial"/>
        </w:rPr>
        <w:t>to at least one</w:t>
      </w:r>
      <w:r w:rsidR="00D27F6A" w:rsidRPr="00356510">
        <w:rPr>
          <w:rFonts w:cs="Arial"/>
        </w:rPr>
        <w:t xml:space="preserve"> chemical </w:t>
      </w:r>
      <w:r w:rsidRPr="00356510">
        <w:rPr>
          <w:rFonts w:cs="Arial"/>
        </w:rPr>
        <w:t xml:space="preserve">compared to workers on permanent or fixed term contracts (35%) (p&lt;0.05). There were also differences in self reported exposure to chemicals by workplace size. Workplaces with fewer than five employees recorded the highest percentage of workers who reported </w:t>
      </w:r>
      <w:r w:rsidR="00D27F6A">
        <w:rPr>
          <w:rFonts w:cs="Arial"/>
        </w:rPr>
        <w:t>exposure to at least one</w:t>
      </w:r>
      <w:r w:rsidRPr="00356510">
        <w:rPr>
          <w:rFonts w:cs="Arial"/>
        </w:rPr>
        <w:t xml:space="preserve"> chemical (46%). The percentage of workers who reported exposure to chemicals decreased with increasing workplace size: 43% of workers in workplaces with five to 19 employees, 32% of workers in workplaces with between 20 to 199 employees and 31% of workers in workplaces with 200 or more employees reported exposure to </w:t>
      </w:r>
      <w:r w:rsidR="00D27F6A">
        <w:rPr>
          <w:rFonts w:cs="Arial"/>
        </w:rPr>
        <w:t>at least one type of chemical</w:t>
      </w:r>
      <w:r w:rsidRPr="00356510">
        <w:rPr>
          <w:rFonts w:cs="Arial"/>
        </w:rPr>
        <w:t xml:space="preserve">. </w:t>
      </w:r>
    </w:p>
    <w:p w:rsidR="00FA2943" w:rsidRPr="00356510" w:rsidRDefault="00FA2943" w:rsidP="00FA2943">
      <w:pPr>
        <w:rPr>
          <w:rFonts w:cs="Arial"/>
        </w:rPr>
      </w:pPr>
      <w:r w:rsidRPr="00356510">
        <w:rPr>
          <w:rFonts w:cs="Arial"/>
        </w:rPr>
        <w:t xml:space="preserve">When considering </w:t>
      </w:r>
      <w:r w:rsidR="00D27F6A">
        <w:rPr>
          <w:rFonts w:cs="Arial"/>
        </w:rPr>
        <w:t>overall</w:t>
      </w:r>
      <w:r w:rsidRPr="00356510">
        <w:rPr>
          <w:rFonts w:cs="Arial"/>
        </w:rPr>
        <w:t xml:space="preserve"> chemical exposure by the industrial groupings, there was a spread in terms of the percentages of workers who self-reported exposure. The industry with the highest percentage of workers who reported exposure </w:t>
      </w:r>
      <w:r w:rsidR="00DD7068">
        <w:rPr>
          <w:rFonts w:cs="Arial"/>
        </w:rPr>
        <w:t xml:space="preserve">to chemicals </w:t>
      </w:r>
      <w:r w:rsidRPr="00356510">
        <w:rPr>
          <w:rFonts w:cs="Arial"/>
        </w:rPr>
        <w:t xml:space="preserve">was </w:t>
      </w:r>
      <w:r w:rsidRPr="00AB438E">
        <w:rPr>
          <w:rFonts w:cs="Arial"/>
        </w:rPr>
        <w:t>Accommodation, cafes and restaurants</w:t>
      </w:r>
      <w:r w:rsidRPr="00356510">
        <w:rPr>
          <w:rFonts w:cs="Arial"/>
        </w:rPr>
        <w:t xml:space="preserve">, where 57% of workers reported exposure. This was followed by the </w:t>
      </w:r>
      <w:r w:rsidRPr="00AB438E">
        <w:rPr>
          <w:rFonts w:cs="Arial"/>
        </w:rPr>
        <w:t>Agriculture, forestry and fishing (50%), Health and community services (47%) and Construction (45%) industries</w:t>
      </w:r>
      <w:r w:rsidRPr="00356510">
        <w:rPr>
          <w:rFonts w:cs="Arial"/>
        </w:rPr>
        <w:t xml:space="preserve">. The industries that recorded the lowest percentages of workers who reported chemical exposure </w:t>
      </w:r>
      <w:r w:rsidRPr="00AB438E">
        <w:rPr>
          <w:rFonts w:cs="Arial"/>
        </w:rPr>
        <w:t>were Communication services (6%), Finance and insurance (7%) and Government administration and defence (12%)</w:t>
      </w:r>
      <w:r w:rsidRPr="00356510">
        <w:rPr>
          <w:rFonts w:cs="Arial"/>
        </w:rPr>
        <w:t xml:space="preserve">. </w:t>
      </w:r>
    </w:p>
    <w:p w:rsidR="00FA2943" w:rsidRPr="00356510" w:rsidRDefault="00FA2943" w:rsidP="006A692D">
      <w:pPr>
        <w:pStyle w:val="Heading3"/>
      </w:pPr>
      <w:bookmarkStart w:id="37" w:name="_Toc309808251"/>
      <w:bookmarkStart w:id="38" w:name="_Toc312075700"/>
      <w:r w:rsidRPr="00356510">
        <w:t>Duration of exposure to chemicals in the workplace</w:t>
      </w:r>
      <w:bookmarkEnd w:id="37"/>
      <w:bookmarkEnd w:id="38"/>
      <w:r w:rsidRPr="00356510">
        <w:t xml:space="preserve"> </w:t>
      </w:r>
    </w:p>
    <w:p w:rsidR="00AB438E" w:rsidRDefault="00FA2943" w:rsidP="000A003F">
      <w:pPr>
        <w:rPr>
          <w:rFonts w:cs="Arial"/>
        </w:rPr>
      </w:pPr>
      <w:r w:rsidRPr="00356510">
        <w:rPr>
          <w:rFonts w:cs="Arial"/>
        </w:rPr>
        <w:t>NHEWS survey participants were asked to report on how long they worked with chemicals. Respondents typically reported working with multiple chemicals but the question relating to duration was asked first and covers all work with chemicals. Therefore, it was not possible to analyse duration of exposure to specific chemicals and duration of exposure has not been included in the analyses of specific exposures.</w:t>
      </w:r>
    </w:p>
    <w:p w:rsidR="00FA2943" w:rsidRPr="00356510" w:rsidRDefault="00AB2546" w:rsidP="000A003F">
      <w:pPr>
        <w:rPr>
          <w:rFonts w:cs="Arial"/>
        </w:rPr>
      </w:pPr>
      <w:r>
        <w:rPr>
          <w:rFonts w:cs="Arial"/>
        </w:rPr>
        <w:fldChar w:fldCharType="begin"/>
      </w:r>
      <w:r w:rsidR="00AB438E">
        <w:rPr>
          <w:rFonts w:cs="Arial"/>
        </w:rPr>
        <w:instrText xml:space="preserve"> REF _Ref309824408 \h </w:instrText>
      </w:r>
      <w:r>
        <w:rPr>
          <w:rFonts w:cs="Arial"/>
        </w:rPr>
      </w:r>
      <w:r>
        <w:rPr>
          <w:rFonts w:cs="Arial"/>
        </w:rPr>
        <w:fldChar w:fldCharType="separate"/>
      </w:r>
      <w:r w:rsidR="00266EB2" w:rsidRPr="00356510">
        <w:rPr>
          <w:rFonts w:cs="Arial"/>
        </w:rPr>
        <w:t xml:space="preserve">Figure </w:t>
      </w:r>
      <w:r w:rsidR="00266EB2">
        <w:rPr>
          <w:rFonts w:cs="Arial"/>
          <w:noProof/>
        </w:rPr>
        <w:t>1</w:t>
      </w:r>
      <w:r>
        <w:rPr>
          <w:rFonts w:cs="Arial"/>
        </w:rPr>
        <w:fldChar w:fldCharType="end"/>
      </w:r>
      <w:r w:rsidR="00AB438E">
        <w:rPr>
          <w:rFonts w:cs="Arial"/>
        </w:rPr>
        <w:t xml:space="preserve"> </w:t>
      </w:r>
      <w:r w:rsidR="00FA2943" w:rsidRPr="00356510">
        <w:rPr>
          <w:rFonts w:cs="Arial"/>
        </w:rPr>
        <w:t xml:space="preserve">presents </w:t>
      </w:r>
      <w:r w:rsidR="0009301E" w:rsidRPr="00356510">
        <w:rPr>
          <w:rFonts w:cs="Arial"/>
        </w:rPr>
        <w:t xml:space="preserve">information on </w:t>
      </w:r>
      <w:r w:rsidR="00FA2943" w:rsidRPr="00356510">
        <w:rPr>
          <w:rFonts w:cs="Arial"/>
        </w:rPr>
        <w:t xml:space="preserve">duration of exposure to chemicals by industry. The industry with the highest mean reported duration of exposure was </w:t>
      </w:r>
      <w:r w:rsidR="00FA2943" w:rsidRPr="00AB438E">
        <w:rPr>
          <w:rFonts w:cs="Arial"/>
        </w:rPr>
        <w:t>Construction</w:t>
      </w:r>
      <w:r w:rsidR="00AB438E">
        <w:rPr>
          <w:rFonts w:cs="Arial"/>
        </w:rPr>
        <w:t>,</w:t>
      </w:r>
      <w:r w:rsidR="00FA2943" w:rsidRPr="00356510">
        <w:rPr>
          <w:rFonts w:cs="Arial"/>
        </w:rPr>
        <w:t xml:space="preserve"> where respondents, on average, were exposed to chemicals for over six hours per week. Other industries with </w:t>
      </w:r>
      <w:r w:rsidR="00FA2943" w:rsidRPr="00356510">
        <w:rPr>
          <w:rFonts w:cs="Arial"/>
        </w:rPr>
        <w:lastRenderedPageBreak/>
        <w:t xml:space="preserve">high mean exposure durations (hours per week) were </w:t>
      </w:r>
      <w:r w:rsidR="00FA2943" w:rsidRPr="00AB438E">
        <w:rPr>
          <w:rFonts w:cs="Arial"/>
        </w:rPr>
        <w:t>Mining, Manufacturing and Agriculture, forestry and fishing</w:t>
      </w:r>
      <w:r w:rsidR="0009301E" w:rsidRPr="00AB438E">
        <w:rPr>
          <w:rFonts w:cs="Arial"/>
        </w:rPr>
        <w:t>,</w:t>
      </w:r>
      <w:r w:rsidR="00FA2943" w:rsidRPr="00AB438E">
        <w:rPr>
          <w:rFonts w:cs="Arial"/>
        </w:rPr>
        <w:t xml:space="preserve"> with mean durations of exposure of greater than four hours in each case. The industries with the lowest mean duration of exposure were Finance and insurance</w:t>
      </w:r>
      <w:r w:rsidR="0009301E" w:rsidRPr="00AB438E">
        <w:rPr>
          <w:rFonts w:cs="Arial"/>
        </w:rPr>
        <w:t>,</w:t>
      </w:r>
      <w:r w:rsidR="00FA2943" w:rsidRPr="00AB438E">
        <w:rPr>
          <w:rFonts w:cs="Arial"/>
        </w:rPr>
        <w:t xml:space="preserve"> Communication services, and Government administration and defence with means of under an</w:t>
      </w:r>
      <w:r w:rsidR="00FA2943" w:rsidRPr="00356510">
        <w:rPr>
          <w:rFonts w:cs="Arial"/>
        </w:rPr>
        <w:t xml:space="preserve"> hour per week. </w:t>
      </w:r>
      <w:bookmarkStart w:id="39" w:name="_Ref297034087"/>
    </w:p>
    <w:p w:rsidR="00FA2943" w:rsidRPr="00356510" w:rsidRDefault="00FA2943" w:rsidP="00FA2943">
      <w:pPr>
        <w:pStyle w:val="Caption"/>
        <w:rPr>
          <w:rFonts w:cs="Arial"/>
        </w:rPr>
      </w:pPr>
      <w:bookmarkStart w:id="40" w:name="_Ref309824408"/>
      <w:bookmarkStart w:id="41" w:name="_Toc314730506"/>
      <w:r w:rsidRPr="00356510">
        <w:rPr>
          <w:rFonts w:cs="Arial"/>
        </w:rPr>
        <w:t xml:space="preserve">Figure </w:t>
      </w:r>
      <w:r w:rsidR="00AB2546" w:rsidRPr="00356510">
        <w:rPr>
          <w:rFonts w:cs="Arial"/>
        </w:rPr>
        <w:fldChar w:fldCharType="begin"/>
      </w:r>
      <w:r w:rsidRPr="00356510">
        <w:rPr>
          <w:rFonts w:cs="Arial"/>
        </w:rPr>
        <w:instrText xml:space="preserve"> SEQ Figure \* ARABIC </w:instrText>
      </w:r>
      <w:r w:rsidR="00AB2546" w:rsidRPr="00356510">
        <w:rPr>
          <w:rFonts w:cs="Arial"/>
        </w:rPr>
        <w:fldChar w:fldCharType="separate"/>
      </w:r>
      <w:r w:rsidR="00266EB2">
        <w:rPr>
          <w:rFonts w:cs="Arial"/>
          <w:noProof/>
        </w:rPr>
        <w:t>1</w:t>
      </w:r>
      <w:r w:rsidR="00AB2546" w:rsidRPr="00356510">
        <w:rPr>
          <w:rFonts w:cs="Arial"/>
        </w:rPr>
        <w:fldChar w:fldCharType="end"/>
      </w:r>
      <w:bookmarkEnd w:id="39"/>
      <w:bookmarkEnd w:id="40"/>
      <w:r w:rsidRPr="00356510">
        <w:rPr>
          <w:rFonts w:cs="Arial"/>
        </w:rPr>
        <w:t xml:space="preserve">. </w:t>
      </w:r>
      <w:r w:rsidR="00DD7068">
        <w:rPr>
          <w:rFonts w:cs="Arial"/>
        </w:rPr>
        <w:t>The</w:t>
      </w:r>
      <w:r w:rsidRPr="00356510">
        <w:rPr>
          <w:rFonts w:cs="Arial"/>
        </w:rPr>
        <w:t xml:space="preserve"> </w:t>
      </w:r>
      <w:r w:rsidR="00DD7068">
        <w:rPr>
          <w:rFonts w:cs="Arial"/>
        </w:rPr>
        <w:t xml:space="preserve">average </w:t>
      </w:r>
      <w:r w:rsidR="006E1237">
        <w:rPr>
          <w:rFonts w:cs="Arial"/>
        </w:rPr>
        <w:t>number of hours per week workers reported</w:t>
      </w:r>
      <w:r w:rsidRPr="00356510">
        <w:rPr>
          <w:rFonts w:cs="Arial"/>
        </w:rPr>
        <w:t xml:space="preserve"> exposure to chemical</w:t>
      </w:r>
      <w:r w:rsidR="000A003F" w:rsidRPr="00356510">
        <w:rPr>
          <w:rFonts w:cs="Arial"/>
        </w:rPr>
        <w:t>s</w:t>
      </w:r>
      <w:r w:rsidRPr="00356510">
        <w:rPr>
          <w:rFonts w:cs="Arial"/>
        </w:rPr>
        <w:t xml:space="preserve"> in </w:t>
      </w:r>
      <w:r w:rsidR="00DD7068">
        <w:rPr>
          <w:rFonts w:cs="Arial"/>
        </w:rPr>
        <w:t>Australian industries</w:t>
      </w:r>
      <w:bookmarkEnd w:id="41"/>
    </w:p>
    <w:p w:rsidR="00E1793E" w:rsidRDefault="00E1793E" w:rsidP="00FA2943">
      <w:r w:rsidRPr="00E1793E">
        <w:rPr>
          <w:noProof/>
          <w:lang w:eastAsia="en-AU"/>
        </w:rPr>
        <w:drawing>
          <wp:inline distT="0" distB="0" distL="0" distR="0">
            <wp:extent cx="5673090" cy="349567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2943" w:rsidRPr="00356510" w:rsidRDefault="00FA2943" w:rsidP="00FA2943"/>
    <w:p w:rsidR="00FA2943" w:rsidRPr="00356510" w:rsidRDefault="00FA2943" w:rsidP="005F3C98">
      <w:pPr>
        <w:pStyle w:val="Heading2"/>
      </w:pPr>
      <w:bookmarkStart w:id="42" w:name="_Toc309808252"/>
      <w:bookmarkStart w:id="43" w:name="_Toc312075701"/>
      <w:r w:rsidRPr="00356510">
        <w:t xml:space="preserve">Types of </w:t>
      </w:r>
      <w:r w:rsidR="005F3C98">
        <w:t>s</w:t>
      </w:r>
      <w:r w:rsidRPr="00356510">
        <w:t>elf-</w:t>
      </w:r>
      <w:r w:rsidR="005F3C98">
        <w:t>r</w:t>
      </w:r>
      <w:r w:rsidRPr="00356510">
        <w:t xml:space="preserve">eported </w:t>
      </w:r>
      <w:r w:rsidR="005F3C98">
        <w:t>c</w:t>
      </w:r>
      <w:r w:rsidRPr="00356510">
        <w:t xml:space="preserve">hemical </w:t>
      </w:r>
      <w:r w:rsidR="005F3C98">
        <w:t>e</w:t>
      </w:r>
      <w:r w:rsidRPr="00356510">
        <w:t>xposure</w:t>
      </w:r>
      <w:bookmarkEnd w:id="42"/>
      <w:bookmarkEnd w:id="43"/>
    </w:p>
    <w:p w:rsidR="00FA2943" w:rsidRPr="00356510" w:rsidRDefault="00FA2943" w:rsidP="00FA2943">
      <w:pPr>
        <w:rPr>
          <w:rFonts w:cs="Arial"/>
        </w:rPr>
      </w:pPr>
      <w:r w:rsidRPr="00356510">
        <w:rPr>
          <w:rFonts w:cs="Arial"/>
        </w:rPr>
        <w:t xml:space="preserve">Participants in the NHEWS survey were asked to specify the chemicals they worked with within the workplace. As this was an open-ended question, a range of chemicals and substances were reported, and were identified by respondents in a number of ways. Participants were also able to nominate multiple chemicals. </w:t>
      </w:r>
    </w:p>
    <w:p w:rsidR="00FA2943" w:rsidRPr="00356510" w:rsidRDefault="00FA2943" w:rsidP="00FA2943">
      <w:pPr>
        <w:rPr>
          <w:rFonts w:cs="Arial"/>
        </w:rPr>
      </w:pPr>
      <w:r w:rsidRPr="00356510">
        <w:rPr>
          <w:rFonts w:cs="Arial"/>
        </w:rPr>
        <w:t>Broadly, participants reported their chemical exposures in several different ways. Some exposures were reported as specific, basic chemical entities, for example chlorine, zinc sulphate, nitric acid. Respondents also reported chemical exposures by functionality, based on what the product in question does rather than its actual chemical nature. For example, “oven cleaner”, “metal polish”, and “cutting fluid” are functional descriptions of products which may vary in chemical composition. Finally, some exposures were reported by commercial product names, such as “Roundup” (a herbicide) or “Miltons” (a disinfectant). Many commercial product names represent complex mixtures of different chemicals.</w:t>
      </w:r>
    </w:p>
    <w:p w:rsidR="00FA2943" w:rsidRPr="00356510" w:rsidRDefault="00FA2943" w:rsidP="00FA2943">
      <w:pPr>
        <w:rPr>
          <w:rFonts w:cs="Arial"/>
        </w:rPr>
      </w:pPr>
      <w:r w:rsidRPr="00356510">
        <w:rPr>
          <w:rFonts w:cs="Arial"/>
        </w:rPr>
        <w:t>The self-reported exposures were systematically classified into groups according to the TOOCS 2.1 classification system</w:t>
      </w:r>
      <w:r w:rsidR="00EE781A">
        <w:rPr>
          <w:rFonts w:cs="Arial"/>
        </w:rPr>
        <w:t xml:space="preserve"> </w:t>
      </w:r>
      <w:r w:rsidR="00AB2546">
        <w:rPr>
          <w:rFonts w:cs="Arial"/>
        </w:rPr>
        <w:fldChar w:fldCharType="begin"/>
      </w:r>
      <w:r w:rsidR="00EE781A">
        <w:rPr>
          <w:rFonts w:cs="Arial"/>
        </w:rPr>
        <w:instrText xml:space="preserve"> ADDIN EN.CITE &lt;EndNote&gt;&lt;Cite&gt;&lt;Author&gt;NOHSC&lt;/Author&gt;&lt;Year&gt;2002&lt;/Year&gt;&lt;RecNum&gt;1051&lt;/RecNum&gt;&lt;DisplayText&gt;(NOHSC 2002)&lt;/DisplayText&gt;&lt;record&gt;&lt;rec-number&gt;1051&lt;/rec-number&gt;&lt;foreign-keys&gt;&lt;key app="EN" db-id="sx9edz2tiw2008erzw75s5a65aepf9d2pvs9"&gt;1051&lt;/key&gt;&lt;/foreign-keys&gt;&lt;ref-type name="Report"&gt;27&lt;/ref-type&gt;&lt;contributors&gt;&lt;authors&gt;&lt;author&gt;NOHSC&lt;/author&gt;&lt;/authors&gt;&lt;/contributors&gt;&lt;titles&gt;&lt;title&gt;Type of Occurrence Classification System Revised 2.1 Edition&lt;/title&gt;&lt;/titles&gt;&lt;edition&gt;Revised 2.1 Edition&lt;/edition&gt;&lt;dates&gt;&lt;year&gt;2002&lt;/year&gt;&lt;/dates&gt;&lt;pub-location&gt;Canberra&lt;/pub-location&gt;&lt;publisher&gt;National Occupational Health and Safety Commission&lt;/publisher&gt;&lt;urls&gt;&lt;/urls&gt;&lt;/record&gt;&lt;/Cite&gt;&lt;/EndNote&gt;</w:instrText>
      </w:r>
      <w:r w:rsidR="00AB2546">
        <w:rPr>
          <w:rFonts w:cs="Arial"/>
        </w:rPr>
        <w:fldChar w:fldCharType="separate"/>
      </w:r>
      <w:r w:rsidR="00EE781A">
        <w:rPr>
          <w:rFonts w:cs="Arial"/>
          <w:noProof/>
        </w:rPr>
        <w:t>(</w:t>
      </w:r>
      <w:hyperlink w:anchor="_ENREF_28" w:tooltip="NOHSC, 2002 #1051" w:history="1">
        <w:r w:rsidR="008E2C8E">
          <w:rPr>
            <w:rFonts w:cs="Arial"/>
            <w:noProof/>
          </w:rPr>
          <w:t>NOHSC 2002</w:t>
        </w:r>
      </w:hyperlink>
      <w:r w:rsidR="00EE781A">
        <w:rPr>
          <w:rFonts w:cs="Arial"/>
          <w:noProof/>
        </w:rPr>
        <w:t>)</w:t>
      </w:r>
      <w:r w:rsidR="00AB2546">
        <w:rPr>
          <w:rFonts w:cs="Arial"/>
        </w:rPr>
        <w:fldChar w:fldCharType="end"/>
      </w:r>
      <w:r w:rsidR="00054B41">
        <w:rPr>
          <w:rFonts w:cs="Arial"/>
        </w:rPr>
        <w:t>.</w:t>
      </w:r>
      <w:r w:rsidR="003F6155">
        <w:rPr>
          <w:rFonts w:cs="Arial"/>
        </w:rPr>
        <w:t xml:space="preserve"> </w:t>
      </w:r>
      <w:r w:rsidRPr="00356510">
        <w:rPr>
          <w:rFonts w:cs="Arial"/>
        </w:rPr>
        <w:t>The TOOCS coding system enables coding by both specific chemicals (eg chlorine or benzene) and by certain, common functional groups (eg detergents or pharmaceuticals). As a rule commercial product names were coded either by chemical constituents or by functional group, particularly in the case of complex or variable mixtures.</w:t>
      </w:r>
    </w:p>
    <w:p w:rsidR="00DC1BD3" w:rsidRPr="00356510" w:rsidRDefault="00FA2943" w:rsidP="00DC1BD3">
      <w:pPr>
        <w:rPr>
          <w:rFonts w:cs="Arial"/>
        </w:rPr>
      </w:pPr>
      <w:r w:rsidRPr="00356510">
        <w:rPr>
          <w:rFonts w:cs="Arial"/>
        </w:rPr>
        <w:t xml:space="preserve">Due to the unstructured nature of this question in the survey and the self-reported data, some misclassification may have occurred. However, classification was undertaken by </w:t>
      </w:r>
      <w:r w:rsidRPr="00356510">
        <w:rPr>
          <w:rFonts w:cs="Arial"/>
        </w:rPr>
        <w:lastRenderedPageBreak/>
        <w:t xml:space="preserve">occupational health researchers with specialised knowledge of occupational exposures in a wide variety of workplace contexts and experienced at coding imperfectly reported data. </w:t>
      </w:r>
      <w:r w:rsidR="00A43096" w:rsidRPr="00356510">
        <w:rPr>
          <w:rFonts w:cs="Arial"/>
        </w:rPr>
        <w:t xml:space="preserve">Although misclassification due to mis-coding may be minimal other sources of potential error may result in some misclassification. </w:t>
      </w:r>
    </w:p>
    <w:p w:rsidR="00FA2943" w:rsidRPr="00356510" w:rsidRDefault="00AB2546" w:rsidP="00FA2943">
      <w:pPr>
        <w:rPr>
          <w:rFonts w:cs="Arial"/>
        </w:rPr>
      </w:pPr>
      <w:r>
        <w:rPr>
          <w:rFonts w:cs="Arial"/>
        </w:rPr>
        <w:fldChar w:fldCharType="begin"/>
      </w:r>
      <w:r w:rsidR="00DC1BD3">
        <w:rPr>
          <w:rFonts w:cs="Arial"/>
        </w:rPr>
        <w:instrText xml:space="preserve"> REF _Ref309825837 \h </w:instrText>
      </w:r>
      <w:r>
        <w:rPr>
          <w:rFonts w:cs="Arial"/>
        </w:rPr>
      </w:r>
      <w:r>
        <w:rPr>
          <w:rFonts w:cs="Arial"/>
        </w:rPr>
        <w:fldChar w:fldCharType="separate"/>
      </w:r>
      <w:r w:rsidR="00266EB2">
        <w:t xml:space="preserve">Table </w:t>
      </w:r>
      <w:r w:rsidR="00266EB2">
        <w:rPr>
          <w:noProof/>
        </w:rPr>
        <w:t>1</w:t>
      </w:r>
      <w:r>
        <w:rPr>
          <w:rFonts w:cs="Arial"/>
        </w:rPr>
        <w:fldChar w:fldCharType="end"/>
      </w:r>
      <w:r w:rsidR="00DC1BD3">
        <w:rPr>
          <w:rFonts w:cs="Arial"/>
        </w:rPr>
        <w:t xml:space="preserve"> </w:t>
      </w:r>
      <w:r w:rsidR="00FA2943" w:rsidRPr="00356510">
        <w:rPr>
          <w:rFonts w:cs="Arial"/>
        </w:rPr>
        <w:t xml:space="preserve">presents the distribution of chemical exposures by TOOCS categories for all chemical exposure categories </w:t>
      </w:r>
      <w:r w:rsidR="000E1E3B">
        <w:rPr>
          <w:rFonts w:cs="Arial"/>
        </w:rPr>
        <w:t>where</w:t>
      </w:r>
      <w:r w:rsidR="00FA2943" w:rsidRPr="00356510">
        <w:rPr>
          <w:rFonts w:cs="Arial"/>
        </w:rPr>
        <w:t xml:space="preserve"> more than one percent of respondents reported exposures. It must be noted that the categories are not mutually exclusive because respondents who nominated more than one chemical exposure can be counted in more than one category, consequently percentage totals may be greater than 100</w:t>
      </w:r>
      <w:r w:rsidR="00351710">
        <w:rPr>
          <w:rFonts w:cs="Arial"/>
        </w:rPr>
        <w:t xml:space="preserve"> per cent</w:t>
      </w:r>
      <w:r w:rsidR="00FA2943" w:rsidRPr="0076435A">
        <w:rPr>
          <w:rFonts w:cs="Arial"/>
        </w:rPr>
        <w:t xml:space="preserve">. </w:t>
      </w:r>
      <w:r>
        <w:rPr>
          <w:rFonts w:cs="Arial"/>
        </w:rPr>
        <w:fldChar w:fldCharType="begin"/>
      </w:r>
      <w:r w:rsidR="0076435A">
        <w:rPr>
          <w:rFonts w:cs="Arial"/>
        </w:rPr>
        <w:instrText xml:space="preserve"> REF _Ref312054881 \h </w:instrText>
      </w:r>
      <w:r>
        <w:rPr>
          <w:rFonts w:cs="Arial"/>
        </w:rPr>
      </w:r>
      <w:r>
        <w:rPr>
          <w:rFonts w:cs="Arial"/>
        </w:rPr>
        <w:fldChar w:fldCharType="separate"/>
      </w:r>
      <w:r w:rsidR="00266EB2">
        <w:t xml:space="preserve">Table </w:t>
      </w:r>
      <w:r w:rsidR="00266EB2">
        <w:rPr>
          <w:noProof/>
        </w:rPr>
        <w:t>8</w:t>
      </w:r>
      <w:r>
        <w:rPr>
          <w:rFonts w:cs="Arial"/>
        </w:rPr>
        <w:fldChar w:fldCharType="end"/>
      </w:r>
      <w:r w:rsidR="0076435A">
        <w:rPr>
          <w:rFonts w:cs="Arial"/>
        </w:rPr>
        <w:t xml:space="preserve"> </w:t>
      </w:r>
      <w:r w:rsidR="00FA2943" w:rsidRPr="0076435A">
        <w:rPr>
          <w:rFonts w:cs="Arial"/>
        </w:rPr>
        <w:t xml:space="preserve">in </w:t>
      </w:r>
      <w:r w:rsidR="00AD7EDD" w:rsidRPr="0076435A">
        <w:rPr>
          <w:rFonts w:cs="Arial"/>
        </w:rPr>
        <w:t>A</w:t>
      </w:r>
      <w:r w:rsidR="00FA2943" w:rsidRPr="0076435A">
        <w:rPr>
          <w:rFonts w:cs="Arial"/>
        </w:rPr>
        <w:t xml:space="preserve">ppendix </w:t>
      </w:r>
      <w:r w:rsidR="00AD7EDD" w:rsidRPr="0076435A">
        <w:rPr>
          <w:rFonts w:cs="Arial"/>
        </w:rPr>
        <w:t xml:space="preserve">B </w:t>
      </w:r>
      <w:r w:rsidR="00FA2943" w:rsidRPr="0076435A">
        <w:rPr>
          <w:rFonts w:cs="Arial"/>
        </w:rPr>
        <w:t>presents the complete list of self-reported chemical exposures by TOOCS categories. The distribution of chemical exposures by TOOCS categories (</w:t>
      </w:r>
      <w:fldSimple w:instr=" REF _Ref309825837 \h  \* MERGEFORMAT ">
        <w:r w:rsidR="00266EB2">
          <w:t xml:space="preserve">Table </w:t>
        </w:r>
        <w:r w:rsidR="00266EB2">
          <w:rPr>
            <w:noProof/>
          </w:rPr>
          <w:t>1</w:t>
        </w:r>
      </w:fldSimple>
      <w:r w:rsidR="00471294" w:rsidRPr="0076435A">
        <w:rPr>
          <w:rFonts w:cs="Arial"/>
        </w:rPr>
        <w:t xml:space="preserve"> </w:t>
      </w:r>
      <w:r w:rsidR="00FA2943" w:rsidRPr="0076435A">
        <w:rPr>
          <w:rFonts w:cs="Arial"/>
        </w:rPr>
        <w:t>and</w:t>
      </w:r>
      <w:r w:rsidR="0076435A">
        <w:rPr>
          <w:rFonts w:cs="Arial"/>
        </w:rPr>
        <w:t xml:space="preserve"> </w:t>
      </w:r>
      <w:r>
        <w:rPr>
          <w:rFonts w:cs="Arial"/>
        </w:rPr>
        <w:fldChar w:fldCharType="begin"/>
      </w:r>
      <w:r w:rsidR="0076435A">
        <w:rPr>
          <w:rFonts w:cs="Arial"/>
        </w:rPr>
        <w:instrText xml:space="preserve"> REF _Ref312054881 \h </w:instrText>
      </w:r>
      <w:r>
        <w:rPr>
          <w:rFonts w:cs="Arial"/>
        </w:rPr>
      </w:r>
      <w:r>
        <w:rPr>
          <w:rFonts w:cs="Arial"/>
        </w:rPr>
        <w:fldChar w:fldCharType="separate"/>
      </w:r>
      <w:r w:rsidR="00266EB2">
        <w:t xml:space="preserve">Table </w:t>
      </w:r>
      <w:r w:rsidR="00266EB2">
        <w:rPr>
          <w:noProof/>
        </w:rPr>
        <w:t>8</w:t>
      </w:r>
      <w:r>
        <w:rPr>
          <w:rFonts w:cs="Arial"/>
        </w:rPr>
        <w:fldChar w:fldCharType="end"/>
      </w:r>
      <w:r w:rsidR="00FA2943" w:rsidRPr="0076435A">
        <w:rPr>
          <w:rFonts w:cs="Arial"/>
        </w:rPr>
        <w:t xml:space="preserve">) </w:t>
      </w:r>
      <w:r w:rsidR="003D33F1">
        <w:rPr>
          <w:rFonts w:cs="Arial"/>
        </w:rPr>
        <w:t xml:space="preserve">shows </w:t>
      </w:r>
      <w:r w:rsidR="00FA2943" w:rsidRPr="0076435A">
        <w:rPr>
          <w:rFonts w:cs="Arial"/>
        </w:rPr>
        <w:t>that exposures were infrequently reported by specific chemical names. Chlorine was reported explicitly by only 17 respondents and other</w:t>
      </w:r>
      <w:r w:rsidR="00FA2943" w:rsidRPr="00356510">
        <w:rPr>
          <w:rFonts w:cs="Arial"/>
        </w:rPr>
        <w:t xml:space="preserve"> specific chemicals were less commonly reported. A comparatively large proportion of the specific chemicals reported were coded as “other nominated chemicals”, this being a variable group of unusual chemicals specified by particular chemical name. The small number and highly variable nature of the specifically nominated chemicals would suggest that a small proportion of the respondent group were highly informed about their chemical exposures, working with particular chemicals.</w:t>
      </w:r>
    </w:p>
    <w:p w:rsidR="007C515D" w:rsidRDefault="00FA2943" w:rsidP="007C515D">
      <w:pPr>
        <w:rPr>
          <w:rFonts w:cs="Arial"/>
        </w:rPr>
      </w:pPr>
      <w:r w:rsidRPr="00356510">
        <w:rPr>
          <w:rFonts w:cs="Arial"/>
        </w:rPr>
        <w:t>The majority of respondents reported more general descriptions of the chemical</w:t>
      </w:r>
      <w:r w:rsidR="00AD7EDD" w:rsidRPr="00356510">
        <w:rPr>
          <w:rFonts w:cs="Arial"/>
        </w:rPr>
        <w:t>s</w:t>
      </w:r>
      <w:r w:rsidRPr="00356510">
        <w:rPr>
          <w:rFonts w:cs="Arial"/>
        </w:rPr>
        <w:t xml:space="preserve"> they worked with, including commercial product names and/or functionality. The most common</w:t>
      </w:r>
      <w:r w:rsidR="00D90CCD">
        <w:rPr>
          <w:rFonts w:cs="Arial"/>
        </w:rPr>
        <w:t>ly reported</w:t>
      </w:r>
      <w:r w:rsidRPr="00356510">
        <w:rPr>
          <w:rFonts w:cs="Arial"/>
        </w:rPr>
        <w:t xml:space="preserve"> chemical exposures </w:t>
      </w:r>
      <w:r w:rsidR="00D90CCD">
        <w:rPr>
          <w:rFonts w:cs="Arial"/>
        </w:rPr>
        <w:t>were</w:t>
      </w:r>
      <w:r w:rsidRPr="00356510">
        <w:rPr>
          <w:rFonts w:cs="Arial"/>
        </w:rPr>
        <w:t xml:space="preserve"> </w:t>
      </w:r>
      <w:r w:rsidR="00095CDE" w:rsidRPr="00356510">
        <w:rPr>
          <w:rFonts w:cs="Arial"/>
          <w:i/>
        </w:rPr>
        <w:t>Detergents</w:t>
      </w:r>
      <w:r w:rsidRPr="00356510">
        <w:rPr>
          <w:rFonts w:cs="Arial"/>
        </w:rPr>
        <w:t>, reported by over a third of respondents. These were predominantly domestic or commercial cleaning agents.</w:t>
      </w:r>
    </w:p>
    <w:p w:rsidR="007C515D" w:rsidRDefault="007C515D" w:rsidP="007C515D">
      <w:pPr>
        <w:rPr>
          <w:rFonts w:cs="Arial"/>
          <w:szCs w:val="22"/>
        </w:rPr>
      </w:pPr>
      <w:r w:rsidRPr="00356510">
        <w:rPr>
          <w:rFonts w:cs="Arial"/>
          <w:szCs w:val="22"/>
        </w:rPr>
        <w:t xml:space="preserve">Over 20% of </w:t>
      </w:r>
      <w:r>
        <w:rPr>
          <w:rFonts w:cs="Arial"/>
          <w:szCs w:val="22"/>
        </w:rPr>
        <w:t>workers who reported working with chemicals</w:t>
      </w:r>
      <w:r w:rsidRPr="00356510">
        <w:rPr>
          <w:rFonts w:cs="Arial"/>
          <w:szCs w:val="22"/>
        </w:rPr>
        <w:t xml:space="preserve"> reported exposure to unspecified </w:t>
      </w:r>
      <w:r w:rsidRPr="00356510">
        <w:rPr>
          <w:rFonts w:cs="Arial"/>
          <w:i/>
          <w:szCs w:val="22"/>
        </w:rPr>
        <w:t>Disinfectants</w:t>
      </w:r>
      <w:r w:rsidRPr="00356510">
        <w:rPr>
          <w:rFonts w:cs="Arial"/>
          <w:szCs w:val="22"/>
        </w:rPr>
        <w:t xml:space="preserve">. </w:t>
      </w:r>
      <w:r w:rsidRPr="00356510">
        <w:rPr>
          <w:rFonts w:cs="Arial"/>
          <w:i/>
          <w:szCs w:val="22"/>
        </w:rPr>
        <w:t>Disinfectants</w:t>
      </w:r>
      <w:r w:rsidRPr="00356510">
        <w:rPr>
          <w:rFonts w:cs="Arial"/>
          <w:szCs w:val="22"/>
        </w:rPr>
        <w:t xml:space="preserve"> for which more detail was supplied were coded to the relevant TOOCS categories (generally either </w:t>
      </w:r>
      <w:r w:rsidRPr="00356510">
        <w:rPr>
          <w:rFonts w:cs="Arial"/>
          <w:i/>
          <w:szCs w:val="22"/>
        </w:rPr>
        <w:t>Bases and alkalis</w:t>
      </w:r>
      <w:r w:rsidRPr="00356510">
        <w:rPr>
          <w:rFonts w:cs="Arial"/>
          <w:szCs w:val="22"/>
        </w:rPr>
        <w:t xml:space="preserve"> for bleach-based disinfectants or </w:t>
      </w:r>
      <w:r w:rsidRPr="00356510">
        <w:rPr>
          <w:rFonts w:cs="Arial"/>
          <w:i/>
          <w:szCs w:val="22"/>
        </w:rPr>
        <w:t>Organic solvents</w:t>
      </w:r>
      <w:r w:rsidRPr="00356510">
        <w:rPr>
          <w:rFonts w:cs="Arial"/>
          <w:szCs w:val="22"/>
        </w:rPr>
        <w:t xml:space="preserve"> for alcohol-based disinfectants). However, because TOOCS 2.1 does not include a category specific to the functional designation </w:t>
      </w:r>
      <w:r w:rsidRPr="00356510">
        <w:rPr>
          <w:rFonts w:cs="Arial"/>
          <w:i/>
          <w:szCs w:val="22"/>
        </w:rPr>
        <w:t xml:space="preserve">Disinfectants, </w:t>
      </w:r>
      <w:r w:rsidRPr="00356510">
        <w:rPr>
          <w:rFonts w:cs="Arial"/>
          <w:szCs w:val="22"/>
        </w:rPr>
        <w:t xml:space="preserve">the </w:t>
      </w:r>
      <w:r w:rsidRPr="00356510">
        <w:rPr>
          <w:rFonts w:cs="Arial"/>
          <w:i/>
          <w:szCs w:val="22"/>
        </w:rPr>
        <w:t>Disinfectants</w:t>
      </w:r>
      <w:r w:rsidRPr="00356510">
        <w:rPr>
          <w:rFonts w:cs="Arial"/>
          <w:szCs w:val="22"/>
        </w:rPr>
        <w:t xml:space="preserve"> exposures for which no further information was provided would normally be coded into an “other” category in TOOCS. Due to the large number of NHEWS survey participants who reported exposure to </w:t>
      </w:r>
      <w:r w:rsidRPr="00356510">
        <w:rPr>
          <w:rFonts w:cs="Arial"/>
          <w:i/>
          <w:szCs w:val="22"/>
        </w:rPr>
        <w:t>Disinfectants</w:t>
      </w:r>
      <w:r w:rsidRPr="00356510">
        <w:rPr>
          <w:rFonts w:cs="Arial"/>
          <w:szCs w:val="22"/>
        </w:rPr>
        <w:t xml:space="preserve"> without providing further information, an additional category was created: </w:t>
      </w:r>
      <w:r w:rsidRPr="00356510">
        <w:rPr>
          <w:rFonts w:cs="Arial"/>
          <w:i/>
          <w:szCs w:val="22"/>
        </w:rPr>
        <w:t>Disinfectants</w:t>
      </w:r>
      <w:r w:rsidRPr="00356510">
        <w:rPr>
          <w:rFonts w:cs="Arial"/>
          <w:szCs w:val="22"/>
        </w:rPr>
        <w:t xml:space="preserve"> (not elsewhere classifiable).</w:t>
      </w:r>
    </w:p>
    <w:p w:rsidR="007C515D" w:rsidRPr="00356510" w:rsidRDefault="007C515D" w:rsidP="007C515D">
      <w:pPr>
        <w:rPr>
          <w:rFonts w:cs="Arial"/>
        </w:rPr>
      </w:pPr>
      <w:r w:rsidRPr="00356510">
        <w:rPr>
          <w:rFonts w:cs="Arial"/>
        </w:rPr>
        <w:t>Over a quarter of respondents</w:t>
      </w:r>
      <w:r>
        <w:rPr>
          <w:rFonts w:cs="Arial"/>
        </w:rPr>
        <w:t xml:space="preserve"> who reported that they worked with chemicals</w:t>
      </w:r>
      <w:r w:rsidRPr="00356510">
        <w:rPr>
          <w:rFonts w:cs="Arial"/>
        </w:rPr>
        <w:t xml:space="preserve"> reported exposure to </w:t>
      </w:r>
      <w:r w:rsidRPr="00356510">
        <w:rPr>
          <w:rFonts w:cs="Arial"/>
          <w:i/>
        </w:rPr>
        <w:t>Organic solvents</w:t>
      </w:r>
      <w:r w:rsidRPr="00356510">
        <w:rPr>
          <w:rFonts w:cs="Arial"/>
        </w:rPr>
        <w:t xml:space="preserve">. This category includes industrial solvents, such as degreasers, as well as thinners for paints and other purposes (other than hydrocarbons). As the </w:t>
      </w:r>
      <w:r w:rsidRPr="00356510">
        <w:rPr>
          <w:rFonts w:cs="Arial"/>
          <w:i/>
        </w:rPr>
        <w:t>Organic solvents</w:t>
      </w:r>
      <w:r w:rsidRPr="00356510">
        <w:rPr>
          <w:rFonts w:cs="Arial"/>
        </w:rPr>
        <w:t xml:space="preserve"> category also includes alcohol-based disinfectant products and disinfectant hand-cleansers commonly used in health-care workplaces to prevent the spread of infections, nurses and personal care workers frequently reported exposures in this category.</w:t>
      </w:r>
    </w:p>
    <w:p w:rsidR="007C515D" w:rsidRPr="00356510" w:rsidRDefault="007C515D" w:rsidP="007C515D">
      <w:pPr>
        <w:rPr>
          <w:rFonts w:cs="Arial"/>
        </w:rPr>
      </w:pPr>
      <w:r w:rsidRPr="00356510">
        <w:rPr>
          <w:rFonts w:cs="Arial"/>
        </w:rPr>
        <w:t xml:space="preserve">The most commonly reported exposures in the </w:t>
      </w:r>
      <w:r w:rsidRPr="00356510">
        <w:rPr>
          <w:rFonts w:cs="Arial"/>
          <w:i/>
        </w:rPr>
        <w:t>Bases and alkalis</w:t>
      </w:r>
      <w:r w:rsidRPr="00356510">
        <w:rPr>
          <w:rFonts w:cs="Arial"/>
        </w:rPr>
        <w:t xml:space="preserve"> category included bleaches of various types including bleach-based disinfectants and cleaning products. Industrial caustic alkali products are also included in the </w:t>
      </w:r>
      <w:r w:rsidRPr="00356510">
        <w:rPr>
          <w:rFonts w:cs="Arial"/>
          <w:i/>
        </w:rPr>
        <w:t>Bases and alkalis</w:t>
      </w:r>
      <w:r w:rsidRPr="00356510">
        <w:rPr>
          <w:rFonts w:cs="Arial"/>
        </w:rPr>
        <w:t xml:space="preserve"> group but were reported less commonly than bleaches. </w:t>
      </w:r>
    </w:p>
    <w:p w:rsidR="00D90CCD" w:rsidRDefault="007C515D" w:rsidP="007C515D">
      <w:pPr>
        <w:rPr>
          <w:rFonts w:cs="Arial"/>
        </w:rPr>
      </w:pPr>
      <w:r w:rsidRPr="00356510">
        <w:rPr>
          <w:rFonts w:cs="Arial"/>
          <w:i/>
        </w:rPr>
        <w:t>Cement and lime</w:t>
      </w:r>
      <w:r w:rsidRPr="00356510">
        <w:rPr>
          <w:rFonts w:cs="Arial"/>
        </w:rPr>
        <w:t xml:space="preserve"> were reported by approximately 10% of respondents</w:t>
      </w:r>
      <w:r>
        <w:rPr>
          <w:rFonts w:cs="Arial"/>
        </w:rPr>
        <w:t xml:space="preserve"> who reported that they worked with chemicals</w:t>
      </w:r>
      <w:r w:rsidRPr="00356510">
        <w:rPr>
          <w:rFonts w:cs="Arial"/>
        </w:rPr>
        <w:t xml:space="preserve">. This category represents dry </w:t>
      </w:r>
      <w:r w:rsidRPr="00356510">
        <w:rPr>
          <w:rFonts w:cs="Arial"/>
          <w:i/>
        </w:rPr>
        <w:t>Cement and lime</w:t>
      </w:r>
      <w:r w:rsidRPr="00356510">
        <w:rPr>
          <w:rFonts w:cs="Arial"/>
        </w:rPr>
        <w:t xml:space="preserve"> products, as distinct from wet cement. As most cement reporting respondents were actually involved with end-use of cement products (concreting, brick-laying etc) they were also coded as working with Wet concrete. Twenty-two respondents were coded working with </w:t>
      </w:r>
      <w:r w:rsidRPr="00356510">
        <w:rPr>
          <w:rFonts w:cs="Arial"/>
          <w:i/>
        </w:rPr>
        <w:t>Cement and lime</w:t>
      </w:r>
      <w:r w:rsidRPr="00356510">
        <w:rPr>
          <w:rFonts w:cs="Arial"/>
        </w:rPr>
        <w:t xml:space="preserve"> only. These were predominantly workers who were handling cement products in the manufacturing or supply chain rather than end users. </w:t>
      </w:r>
      <w:r w:rsidR="00FA2943" w:rsidRPr="00356510">
        <w:rPr>
          <w:rFonts w:cs="Arial"/>
        </w:rPr>
        <w:t xml:space="preserve"> </w:t>
      </w:r>
      <w:bookmarkStart w:id="44" w:name="_Ref297201462"/>
      <w:r w:rsidR="00D90CCD">
        <w:rPr>
          <w:rFonts w:cs="Arial"/>
        </w:rPr>
        <w:br w:type="page"/>
      </w:r>
    </w:p>
    <w:p w:rsidR="00471294" w:rsidRDefault="00471294" w:rsidP="00471294">
      <w:pPr>
        <w:pStyle w:val="Caption"/>
        <w:keepNext/>
      </w:pPr>
      <w:bookmarkStart w:id="45" w:name="_Ref309825837"/>
      <w:bookmarkStart w:id="46" w:name="_Toc314730496"/>
      <w:r>
        <w:lastRenderedPageBreak/>
        <w:t xml:space="preserve">Table </w:t>
      </w:r>
      <w:r w:rsidR="00AB2546">
        <w:fldChar w:fldCharType="begin"/>
      </w:r>
      <w:r w:rsidR="00180044">
        <w:instrText xml:space="preserve"> SEQ Table \* ARABIC </w:instrText>
      </w:r>
      <w:r w:rsidR="00AB2546">
        <w:fldChar w:fldCharType="separate"/>
      </w:r>
      <w:r w:rsidR="00266EB2">
        <w:rPr>
          <w:noProof/>
        </w:rPr>
        <w:t>1</w:t>
      </w:r>
      <w:r w:rsidR="00AB2546">
        <w:fldChar w:fldCharType="end"/>
      </w:r>
      <w:bookmarkEnd w:id="45"/>
      <w:r w:rsidR="00DD7068">
        <w:t>.</w:t>
      </w:r>
      <w:r>
        <w:t xml:space="preserve"> </w:t>
      </w:r>
      <w:r w:rsidRPr="00356510">
        <w:t>Types of self-reported exposures to chemicals</w:t>
      </w:r>
      <w:bookmarkEnd w:id="46"/>
    </w:p>
    <w:tbl>
      <w:tblPr>
        <w:tblW w:w="4812" w:type="pct"/>
        <w:tblBorders>
          <w:top w:val="single" w:sz="12" w:space="0" w:color="000000" w:themeColor="text1"/>
          <w:bottom w:val="single" w:sz="12" w:space="0" w:color="000000" w:themeColor="text1"/>
        </w:tblBorders>
        <w:tblLook w:val="04A0"/>
      </w:tblPr>
      <w:tblGrid>
        <w:gridCol w:w="4887"/>
        <w:gridCol w:w="1336"/>
        <w:gridCol w:w="1336"/>
        <w:gridCol w:w="1336"/>
      </w:tblGrid>
      <w:tr w:rsidR="00A7751C" w:rsidRPr="00356510" w:rsidTr="00A7751C">
        <w:trPr>
          <w:trHeight w:val="255"/>
        </w:trPr>
        <w:tc>
          <w:tcPr>
            <w:tcW w:w="2746" w:type="pct"/>
            <w:tcBorders>
              <w:top w:val="single" w:sz="12" w:space="0" w:color="000000" w:themeColor="text1"/>
              <w:bottom w:val="single" w:sz="12" w:space="0" w:color="000000" w:themeColor="text1"/>
            </w:tcBorders>
            <w:shd w:val="clear" w:color="auto" w:fill="auto"/>
            <w:vAlign w:val="bottom"/>
          </w:tcPr>
          <w:bookmarkEnd w:id="44"/>
          <w:p w:rsidR="00A7751C" w:rsidRPr="000E1E3B" w:rsidRDefault="00A7751C" w:rsidP="00471294">
            <w:pPr>
              <w:spacing w:before="40" w:after="40"/>
              <w:rPr>
                <w:rFonts w:cs="Arial"/>
                <w:color w:val="000000" w:themeColor="text1"/>
                <w:sz w:val="20"/>
                <w:szCs w:val="20"/>
                <w:lang w:eastAsia="en-AU"/>
              </w:rPr>
            </w:pPr>
            <w:r w:rsidRPr="000E1E3B">
              <w:rPr>
                <w:rFonts w:cs="Arial"/>
                <w:b/>
                <w:bCs/>
                <w:color w:val="000000" w:themeColor="text1"/>
                <w:sz w:val="20"/>
                <w:szCs w:val="20"/>
                <w:lang w:eastAsia="en-AU"/>
              </w:rPr>
              <w:t>Type of chemical exposure</w:t>
            </w:r>
          </w:p>
        </w:tc>
        <w:tc>
          <w:tcPr>
            <w:tcW w:w="751" w:type="pct"/>
            <w:tcBorders>
              <w:top w:val="single" w:sz="12" w:space="0" w:color="000000" w:themeColor="text1"/>
              <w:bottom w:val="single" w:sz="12" w:space="0" w:color="000000" w:themeColor="text1"/>
            </w:tcBorders>
            <w:shd w:val="clear" w:color="auto" w:fill="auto"/>
            <w:vAlign w:val="bottom"/>
          </w:tcPr>
          <w:p w:rsidR="00A7751C" w:rsidRPr="000E1E3B" w:rsidRDefault="00A7751C" w:rsidP="00471294">
            <w:pPr>
              <w:spacing w:before="40" w:after="40"/>
              <w:jc w:val="center"/>
              <w:rPr>
                <w:rFonts w:cs="Arial"/>
                <w:b/>
                <w:color w:val="000000"/>
                <w:sz w:val="20"/>
                <w:szCs w:val="20"/>
                <w:lang w:eastAsia="en-AU"/>
              </w:rPr>
            </w:pPr>
            <w:r w:rsidRPr="000E1E3B">
              <w:rPr>
                <w:rFonts w:cs="Arial"/>
                <w:b/>
                <w:color w:val="000000"/>
                <w:sz w:val="20"/>
                <w:szCs w:val="20"/>
                <w:lang w:eastAsia="en-AU"/>
              </w:rPr>
              <w:t>N</w:t>
            </w:r>
            <w:r>
              <w:rPr>
                <w:rFonts w:cs="Arial"/>
                <w:b/>
                <w:color w:val="000000"/>
                <w:sz w:val="20"/>
                <w:szCs w:val="20"/>
                <w:lang w:eastAsia="en-AU"/>
              </w:rPr>
              <w:t>umber of workers who reported exposure</w:t>
            </w:r>
          </w:p>
        </w:tc>
        <w:tc>
          <w:tcPr>
            <w:tcW w:w="751" w:type="pct"/>
            <w:tcBorders>
              <w:top w:val="single" w:sz="12" w:space="0" w:color="000000" w:themeColor="text1"/>
              <w:bottom w:val="single" w:sz="12" w:space="0" w:color="000000" w:themeColor="text1"/>
            </w:tcBorders>
            <w:shd w:val="clear" w:color="auto" w:fill="auto"/>
            <w:vAlign w:val="bottom"/>
          </w:tcPr>
          <w:p w:rsidR="00A7751C" w:rsidRPr="000E1E3B" w:rsidRDefault="00A7751C" w:rsidP="00A7751C">
            <w:pPr>
              <w:spacing w:before="40" w:after="40"/>
              <w:jc w:val="center"/>
              <w:rPr>
                <w:rFonts w:cs="Arial"/>
                <w:b/>
                <w:color w:val="000000"/>
                <w:sz w:val="20"/>
                <w:szCs w:val="20"/>
                <w:lang w:eastAsia="en-AU"/>
              </w:rPr>
            </w:pPr>
            <w:r w:rsidRPr="000E1E3B">
              <w:rPr>
                <w:rFonts w:cs="Arial"/>
                <w:b/>
                <w:color w:val="000000"/>
                <w:sz w:val="20"/>
                <w:szCs w:val="20"/>
                <w:lang w:eastAsia="en-AU"/>
              </w:rPr>
              <w:t>Percentage</w:t>
            </w:r>
            <w:r>
              <w:rPr>
                <w:rFonts w:cs="Arial"/>
                <w:b/>
                <w:color w:val="000000"/>
                <w:sz w:val="20"/>
                <w:szCs w:val="20"/>
                <w:lang w:eastAsia="en-AU"/>
              </w:rPr>
              <w:t xml:space="preserve"> of exposed workers (n=1679) who reported exposure</w:t>
            </w:r>
          </w:p>
        </w:tc>
        <w:tc>
          <w:tcPr>
            <w:tcW w:w="751" w:type="pct"/>
            <w:tcBorders>
              <w:top w:val="single" w:sz="12" w:space="0" w:color="000000" w:themeColor="text1"/>
              <w:bottom w:val="single" w:sz="12" w:space="0" w:color="000000" w:themeColor="text1"/>
            </w:tcBorders>
          </w:tcPr>
          <w:p w:rsidR="00A7751C" w:rsidRPr="000E1E3B" w:rsidRDefault="00A7751C" w:rsidP="00471294">
            <w:pPr>
              <w:spacing w:before="40" w:after="40"/>
              <w:jc w:val="center"/>
              <w:rPr>
                <w:rFonts w:cs="Arial"/>
                <w:b/>
                <w:color w:val="000000"/>
                <w:sz w:val="20"/>
                <w:szCs w:val="20"/>
                <w:lang w:eastAsia="en-AU"/>
              </w:rPr>
            </w:pPr>
            <w:r>
              <w:rPr>
                <w:rFonts w:cs="Arial"/>
                <w:b/>
                <w:color w:val="000000"/>
                <w:sz w:val="20"/>
                <w:szCs w:val="20"/>
                <w:lang w:eastAsia="en-AU"/>
              </w:rPr>
              <w:t>Percentage of all workers surveyed who reported exposure</w:t>
            </w:r>
          </w:p>
        </w:tc>
      </w:tr>
      <w:tr w:rsidR="00A7751C" w:rsidRPr="00356510" w:rsidTr="00A7751C">
        <w:trPr>
          <w:trHeight w:val="255"/>
        </w:trPr>
        <w:tc>
          <w:tcPr>
            <w:tcW w:w="2746" w:type="pct"/>
            <w:tcBorders>
              <w:top w:val="single" w:sz="12" w:space="0" w:color="000000" w:themeColor="text1"/>
              <w:bottom w:val="single" w:sz="8" w:space="0" w:color="808080" w:themeColor="background1" w:themeShade="80"/>
            </w:tcBorders>
            <w:shd w:val="clear" w:color="auto" w:fill="auto"/>
          </w:tcPr>
          <w:p w:rsidR="00A7751C" w:rsidRPr="00356510" w:rsidRDefault="00A7751C" w:rsidP="000E1E3B">
            <w:pPr>
              <w:spacing w:before="40" w:after="40"/>
              <w:rPr>
                <w:rFonts w:cs="Arial"/>
                <w:b/>
                <w:bCs/>
                <w:color w:val="000000"/>
                <w:sz w:val="20"/>
                <w:szCs w:val="20"/>
                <w:lang w:eastAsia="en-AU"/>
              </w:rPr>
            </w:pPr>
            <w:r w:rsidRPr="00356510">
              <w:rPr>
                <w:rFonts w:cs="Arial"/>
                <w:sz w:val="20"/>
                <w:szCs w:val="20"/>
                <w:lang w:eastAsia="en-AU"/>
              </w:rPr>
              <w:t>Detergents</w:t>
            </w:r>
          </w:p>
        </w:tc>
        <w:tc>
          <w:tcPr>
            <w:tcW w:w="751" w:type="pct"/>
            <w:tcBorders>
              <w:top w:val="single" w:sz="12" w:space="0" w:color="000000" w:themeColor="text1"/>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 xml:space="preserve">572 </w:t>
            </w:r>
          </w:p>
        </w:tc>
        <w:tc>
          <w:tcPr>
            <w:tcW w:w="751" w:type="pct"/>
            <w:tcBorders>
              <w:top w:val="single" w:sz="12" w:space="0" w:color="000000" w:themeColor="text1"/>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34.1</w:t>
            </w:r>
          </w:p>
        </w:tc>
        <w:tc>
          <w:tcPr>
            <w:tcW w:w="751" w:type="pct"/>
            <w:tcBorders>
              <w:top w:val="single" w:sz="12" w:space="0" w:color="000000" w:themeColor="text1"/>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12.7</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Organic solvents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thinners, acetates, degreasers-solvent based</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464</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27.6</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10.3</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bCs/>
                <w:i/>
                <w:color w:val="000000"/>
                <w:sz w:val="20"/>
                <w:szCs w:val="20"/>
                <w:lang w:eastAsia="en-AU"/>
              </w:rPr>
            </w:pPr>
            <w:r w:rsidRPr="00356510">
              <w:rPr>
                <w:rFonts w:cs="Arial"/>
                <w:sz w:val="20"/>
                <w:szCs w:val="20"/>
                <w:lang w:eastAsia="en-AU"/>
              </w:rPr>
              <w:t>Disinfectants</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346</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20.6</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7.7</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Bases and alkalis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caustic soda, caustic potash, sodium hydroxide</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199</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11.8</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4.4</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Paints, varnishes and inks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 xml:space="preserve">water or oil-based paints, acrylic paints, vehicle paints, inks, printing inks, rust and conversion treatments </w:t>
            </w:r>
            <w:r w:rsidRPr="00356510">
              <w:rPr>
                <w:rFonts w:cs="Arial"/>
                <w:i/>
                <w:sz w:val="20"/>
                <w:szCs w:val="20"/>
                <w:lang w:eastAsia="en-AU"/>
              </w:rPr>
              <w:t xml:space="preserve">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187</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11.1</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4.2</w:t>
            </w:r>
          </w:p>
        </w:tc>
      </w:tr>
      <w:tr w:rsidR="00A7751C" w:rsidRPr="00356510" w:rsidTr="00A7751C">
        <w:trPr>
          <w:trHeight w:val="408"/>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Cement and lime</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in powder form</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176</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10.5</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3.9</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Non-bituminous hydrocarbon fuels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petrol, diesel, kerosene, aviation fuel, turpentine, paraffin, toluene, kerosene, LPG, lubricating oils</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167</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9.9</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604D89" w:rsidP="00471294">
            <w:pPr>
              <w:spacing w:before="40" w:after="40"/>
              <w:jc w:val="center"/>
              <w:rPr>
                <w:rFonts w:cs="Arial"/>
                <w:color w:val="000000"/>
                <w:sz w:val="20"/>
                <w:szCs w:val="20"/>
              </w:rPr>
            </w:pPr>
            <w:r>
              <w:rPr>
                <w:rFonts w:cs="Arial"/>
                <w:color w:val="000000"/>
                <w:sz w:val="20"/>
                <w:szCs w:val="20"/>
              </w:rPr>
              <w:t>3.7</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tabs>
                <w:tab w:val="left" w:pos="1612"/>
              </w:tabs>
              <w:spacing w:before="40" w:after="40"/>
              <w:rPr>
                <w:rFonts w:cs="Arial"/>
                <w:sz w:val="20"/>
                <w:szCs w:val="20"/>
                <w:lang w:eastAsia="en-AU"/>
              </w:rPr>
            </w:pPr>
            <w:r>
              <w:rPr>
                <w:rFonts w:cs="Arial"/>
                <w:sz w:val="20"/>
                <w:szCs w:val="20"/>
                <w:lang w:eastAsia="en-AU"/>
              </w:rPr>
              <w:t>Wet concrete</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just poured or just mixed</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154</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9.2</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3.4</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Other chemical products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glue, dyes</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79</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4.7</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1.8</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Acids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battery acid, spirits of salt, hydrofluoric acid and hydrofluoric acid products</w:t>
            </w:r>
            <w:r w:rsidRPr="00356510">
              <w:rPr>
                <w:rFonts w:cs="Arial"/>
                <w:i/>
                <w:sz w:val="20"/>
                <w:szCs w:val="20"/>
                <w:lang w:eastAsia="en-AU"/>
              </w:rPr>
              <w:t xml:space="preserve">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72</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4.3</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1.6</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Plant treatment chemicals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 xml:space="preserve">fungicides, weedkillers, fertilisers, crop sprays, insecticides, defoliants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69</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4.1</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1.5</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Plastic materials, synthetic resins and rubbers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Includes:</w:t>
            </w:r>
            <w:r w:rsidRPr="00356510">
              <w:rPr>
                <w:rFonts w:cs="Arial"/>
                <w:i/>
                <w:sz w:val="16"/>
                <w:szCs w:val="20"/>
                <w:lang w:eastAsia="en-AU"/>
              </w:rPr>
              <w:t xml:space="preserve"> polyurethanes, foam plastic, PVC piping, guttering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51</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3.0</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1.1</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Animal treatment chemicals</w:t>
            </w:r>
          </w:p>
          <w:p w:rsidR="00A7751C" w:rsidRPr="00356510" w:rsidRDefault="00A7751C" w:rsidP="000E1E3B">
            <w:pPr>
              <w:spacing w:before="40" w:after="40"/>
              <w:rPr>
                <w:rFonts w:cs="Arial"/>
                <w:b/>
                <w:bCs/>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 xml:space="preserve">insecticides, animal dips and drenches, pesticides, rat poisons, snail bait, fly sprays, fumigants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48</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2.9</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1.1</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Pharmaceuticals</w:t>
            </w:r>
          </w:p>
          <w:p w:rsidR="00A7751C" w:rsidRPr="00356510" w:rsidRDefault="00A7751C" w:rsidP="000E1E3B">
            <w:pPr>
              <w:spacing w:before="40" w:after="40"/>
              <w:rPr>
                <w:rFonts w:cs="Arial"/>
                <w:bCs/>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cosmetics, creams, medicines, drugs</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24</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1.4</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0.5</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Abrasive powders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grain, grit, jewellers’ rouge</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22</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1.3</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0.5</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Other basic and unspecified chemicals</w:t>
            </w:r>
          </w:p>
          <w:p w:rsidR="00A7751C" w:rsidRPr="00356510" w:rsidRDefault="00A7751C" w:rsidP="000E1E3B">
            <w:pPr>
              <w:spacing w:before="40" w:after="40"/>
              <w:rPr>
                <w:rFonts w:cs="Arial"/>
                <w:bCs/>
                <w:i/>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 xml:space="preserve">carbon dioxide in the form of dry ice  </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18</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1.1</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0.4</w:t>
            </w:r>
          </w:p>
        </w:tc>
      </w:tr>
      <w:tr w:rsidR="00A7751C" w:rsidRPr="00356510" w:rsidTr="00A7751C">
        <w:trPr>
          <w:trHeight w:val="255"/>
        </w:trPr>
        <w:tc>
          <w:tcPr>
            <w:tcW w:w="2746"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rPr>
                <w:rFonts w:cs="Arial"/>
                <w:b/>
                <w:bCs/>
                <w:color w:val="000000"/>
                <w:sz w:val="20"/>
                <w:szCs w:val="20"/>
                <w:lang w:eastAsia="en-AU"/>
              </w:rPr>
            </w:pPr>
            <w:r w:rsidRPr="00356510">
              <w:rPr>
                <w:rFonts w:cs="Arial"/>
                <w:sz w:val="20"/>
                <w:szCs w:val="20"/>
                <w:lang w:eastAsia="en-AU"/>
              </w:rPr>
              <w:t>Chlorine</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17</w:t>
            </w:r>
          </w:p>
        </w:tc>
        <w:tc>
          <w:tcPr>
            <w:tcW w:w="751" w:type="pct"/>
            <w:tcBorders>
              <w:top w:val="single" w:sz="8" w:space="0" w:color="808080" w:themeColor="background1" w:themeShade="80"/>
              <w:bottom w:val="single" w:sz="8" w:space="0" w:color="808080" w:themeColor="background1" w:themeShade="80"/>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1.0</w:t>
            </w:r>
          </w:p>
        </w:tc>
        <w:tc>
          <w:tcPr>
            <w:tcW w:w="751" w:type="pct"/>
            <w:tcBorders>
              <w:top w:val="single" w:sz="8" w:space="0" w:color="808080" w:themeColor="background1" w:themeShade="80"/>
              <w:bottom w:val="single" w:sz="8" w:space="0" w:color="808080" w:themeColor="background1" w:themeShade="80"/>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0.4</w:t>
            </w:r>
          </w:p>
        </w:tc>
      </w:tr>
      <w:tr w:rsidR="00A7751C" w:rsidRPr="00356510" w:rsidTr="00A7751C">
        <w:trPr>
          <w:trHeight w:val="255"/>
        </w:trPr>
        <w:tc>
          <w:tcPr>
            <w:tcW w:w="2746" w:type="pct"/>
            <w:tcBorders>
              <w:top w:val="single" w:sz="8" w:space="0" w:color="808080" w:themeColor="background1" w:themeShade="80"/>
              <w:bottom w:val="single" w:sz="12" w:space="0" w:color="000000" w:themeColor="text1"/>
            </w:tcBorders>
            <w:shd w:val="clear" w:color="auto" w:fill="auto"/>
          </w:tcPr>
          <w:p w:rsidR="00A7751C" w:rsidRPr="00356510" w:rsidRDefault="00A7751C" w:rsidP="000E1E3B">
            <w:pPr>
              <w:spacing w:before="40" w:after="40"/>
              <w:rPr>
                <w:rFonts w:cs="Arial"/>
                <w:sz w:val="20"/>
                <w:szCs w:val="20"/>
                <w:lang w:eastAsia="en-AU"/>
              </w:rPr>
            </w:pPr>
            <w:r w:rsidRPr="00356510">
              <w:rPr>
                <w:rFonts w:cs="Arial"/>
                <w:sz w:val="20"/>
                <w:szCs w:val="20"/>
                <w:lang w:eastAsia="en-AU"/>
              </w:rPr>
              <w:t>Other nominated chemicals</w:t>
            </w:r>
          </w:p>
          <w:p w:rsidR="00A7751C" w:rsidRPr="00356510" w:rsidRDefault="00A7751C" w:rsidP="000E1E3B">
            <w:pPr>
              <w:spacing w:before="40" w:after="40"/>
              <w:rPr>
                <w:rFonts w:cs="Arial"/>
                <w:bCs/>
                <w:color w:val="000000"/>
                <w:sz w:val="20"/>
                <w:szCs w:val="20"/>
                <w:lang w:eastAsia="en-AU"/>
              </w:rPr>
            </w:pPr>
            <w:r w:rsidRPr="00356510">
              <w:rPr>
                <w:rFonts w:cs="Arial"/>
                <w:b/>
                <w:i/>
                <w:sz w:val="16"/>
                <w:szCs w:val="20"/>
                <w:lang w:eastAsia="en-AU"/>
              </w:rPr>
              <w:t xml:space="preserve">Includes: </w:t>
            </w:r>
            <w:r w:rsidRPr="00356510">
              <w:rPr>
                <w:rFonts w:cs="Arial"/>
                <w:i/>
                <w:sz w:val="16"/>
                <w:szCs w:val="20"/>
                <w:lang w:eastAsia="en-AU"/>
              </w:rPr>
              <w:t xml:space="preserve">cadmium, MOCA: 4,4’-methylene bis (2-chloroanaline), acrylonitrile, thallium, vinyl chloride, polycyclic aromatic hydrocarbons (PAH), pentachlorophenol   </w:t>
            </w:r>
          </w:p>
        </w:tc>
        <w:tc>
          <w:tcPr>
            <w:tcW w:w="751" w:type="pct"/>
            <w:tcBorders>
              <w:top w:val="single" w:sz="8" w:space="0" w:color="808080" w:themeColor="background1" w:themeShade="80"/>
              <w:bottom w:val="single" w:sz="12" w:space="0" w:color="000000" w:themeColor="text1"/>
            </w:tcBorders>
            <w:shd w:val="clear" w:color="auto" w:fill="auto"/>
          </w:tcPr>
          <w:p w:rsidR="00A7751C" w:rsidRPr="00356510" w:rsidRDefault="00A7751C" w:rsidP="000E1E3B">
            <w:pPr>
              <w:spacing w:before="40" w:after="40"/>
              <w:jc w:val="center"/>
              <w:rPr>
                <w:rFonts w:cs="Arial"/>
                <w:color w:val="000000"/>
                <w:sz w:val="20"/>
                <w:szCs w:val="20"/>
                <w:lang w:eastAsia="en-AU"/>
              </w:rPr>
            </w:pPr>
            <w:r w:rsidRPr="00356510">
              <w:rPr>
                <w:rFonts w:cs="Arial"/>
                <w:color w:val="000000"/>
                <w:sz w:val="20"/>
                <w:szCs w:val="20"/>
                <w:lang w:eastAsia="en-AU"/>
              </w:rPr>
              <w:t>17</w:t>
            </w:r>
          </w:p>
        </w:tc>
        <w:tc>
          <w:tcPr>
            <w:tcW w:w="751" w:type="pct"/>
            <w:tcBorders>
              <w:top w:val="single" w:sz="8" w:space="0" w:color="808080" w:themeColor="background1" w:themeShade="80"/>
              <w:bottom w:val="single" w:sz="12" w:space="0" w:color="000000" w:themeColor="text1"/>
            </w:tcBorders>
            <w:shd w:val="clear" w:color="auto" w:fill="auto"/>
          </w:tcPr>
          <w:p w:rsidR="00A7751C" w:rsidRPr="00356510" w:rsidRDefault="00A7751C" w:rsidP="00471294">
            <w:pPr>
              <w:spacing w:before="40" w:after="40"/>
              <w:jc w:val="center"/>
              <w:rPr>
                <w:rFonts w:cs="Arial"/>
                <w:color w:val="000000"/>
                <w:sz w:val="20"/>
                <w:szCs w:val="20"/>
                <w:lang w:eastAsia="en-AU"/>
              </w:rPr>
            </w:pPr>
            <w:r w:rsidRPr="00356510">
              <w:rPr>
                <w:rFonts w:cs="Arial"/>
                <w:color w:val="000000"/>
                <w:sz w:val="20"/>
                <w:szCs w:val="20"/>
              </w:rPr>
              <w:t>1.0</w:t>
            </w:r>
          </w:p>
        </w:tc>
        <w:tc>
          <w:tcPr>
            <w:tcW w:w="751" w:type="pct"/>
            <w:tcBorders>
              <w:top w:val="single" w:sz="8" w:space="0" w:color="808080" w:themeColor="background1" w:themeShade="80"/>
              <w:bottom w:val="single" w:sz="12" w:space="0" w:color="000000" w:themeColor="text1"/>
            </w:tcBorders>
          </w:tcPr>
          <w:p w:rsidR="00A7751C" w:rsidRPr="00356510" w:rsidRDefault="003959E5" w:rsidP="00471294">
            <w:pPr>
              <w:spacing w:before="40" w:after="40"/>
              <w:jc w:val="center"/>
              <w:rPr>
                <w:rFonts w:cs="Arial"/>
                <w:color w:val="000000"/>
                <w:sz w:val="20"/>
                <w:szCs w:val="20"/>
              </w:rPr>
            </w:pPr>
            <w:r>
              <w:rPr>
                <w:rFonts w:cs="Arial"/>
                <w:color w:val="000000"/>
                <w:sz w:val="20"/>
                <w:szCs w:val="20"/>
              </w:rPr>
              <w:t>0.4</w:t>
            </w:r>
          </w:p>
        </w:tc>
      </w:tr>
    </w:tbl>
    <w:p w:rsidR="00FA2943" w:rsidRPr="00356510" w:rsidRDefault="003517A5" w:rsidP="007C515D">
      <w:pPr>
        <w:spacing w:before="120"/>
        <w:rPr>
          <w:rFonts w:cs="Arial"/>
        </w:rPr>
      </w:pPr>
      <w:r w:rsidRPr="00356510">
        <w:rPr>
          <w:rFonts w:cs="Arial"/>
          <w:i/>
        </w:rPr>
        <w:t>Paints, varnishes and inks</w:t>
      </w:r>
      <w:r w:rsidR="00FA2943" w:rsidRPr="00356510">
        <w:rPr>
          <w:rFonts w:cs="Arial"/>
        </w:rPr>
        <w:t xml:space="preserve"> and related chemical products were reported by over a fifth of respondents. Chemicals in this group ranged from industrial surface coatings/treatments, </w:t>
      </w:r>
      <w:r w:rsidR="00C411C2">
        <w:rPr>
          <w:rFonts w:cs="Arial"/>
        </w:rPr>
        <w:t>two</w:t>
      </w:r>
      <w:r w:rsidR="00FA2943" w:rsidRPr="00356510">
        <w:rPr>
          <w:rFonts w:cs="Arial"/>
        </w:rPr>
        <w:t xml:space="preserve">-pack automotive paints and wood finishes, to artists’ paints (reported by teachers as well </w:t>
      </w:r>
      <w:r w:rsidR="00FA2943" w:rsidRPr="00356510">
        <w:rPr>
          <w:rFonts w:cs="Arial"/>
        </w:rPr>
        <w:lastRenderedPageBreak/>
        <w:t>as artists) and printing inks, mostly reported in the context of commercial printing businesses.</w:t>
      </w:r>
    </w:p>
    <w:p w:rsidR="00FA2943" w:rsidRPr="00356510" w:rsidRDefault="003517A5" w:rsidP="00FA2943">
      <w:pPr>
        <w:rPr>
          <w:rFonts w:cs="Arial"/>
        </w:rPr>
      </w:pPr>
      <w:r w:rsidRPr="00356510">
        <w:rPr>
          <w:rFonts w:cs="Arial"/>
          <w:i/>
        </w:rPr>
        <w:t>Non-bituminous hydrocarbon fuels</w:t>
      </w:r>
      <w:r w:rsidR="00FA2943" w:rsidRPr="00356510">
        <w:rPr>
          <w:rFonts w:cs="Arial"/>
        </w:rPr>
        <w:t xml:space="preserve"> and associated products were reported by nearly 10% of respondents. Chemicals in this group included auto mechanical fuels/lubricants as well as metalworking fluids and lubricants. Liquid hydrocarbons, such as turpentine and kerosene</w:t>
      </w:r>
      <w:r w:rsidR="00C411C2">
        <w:rPr>
          <w:rFonts w:cs="Arial"/>
        </w:rPr>
        <w:t>,</w:t>
      </w:r>
      <w:r w:rsidR="00FA2943" w:rsidRPr="00356510">
        <w:rPr>
          <w:rFonts w:cs="Arial"/>
        </w:rPr>
        <w:t xml:space="preserve"> which are commonly used as thinners for oil-based paint, were also included in this category.</w:t>
      </w:r>
    </w:p>
    <w:p w:rsidR="00FA2943" w:rsidRPr="00356510" w:rsidRDefault="00FA2943" w:rsidP="00FA2943">
      <w:pPr>
        <w:rPr>
          <w:rFonts w:cs="Arial"/>
        </w:rPr>
      </w:pPr>
      <w:r w:rsidRPr="00E97B23">
        <w:rPr>
          <w:rFonts w:cs="Arial"/>
          <w:i/>
        </w:rPr>
        <w:t>Acids</w:t>
      </w:r>
      <w:r w:rsidRPr="00356510">
        <w:rPr>
          <w:rFonts w:cs="Arial"/>
        </w:rPr>
        <w:t xml:space="preserve"> were reported by fewer than five percent of respondents. A variety of products and chemicals were reported in this category, including specific acids (e</w:t>
      </w:r>
      <w:r w:rsidR="006E4939">
        <w:rPr>
          <w:rFonts w:cs="Arial"/>
        </w:rPr>
        <w:t>.</w:t>
      </w:r>
      <w:r w:rsidRPr="00356510">
        <w:rPr>
          <w:rFonts w:cs="Arial"/>
        </w:rPr>
        <w:t>g</w:t>
      </w:r>
      <w:r w:rsidR="006E4939">
        <w:rPr>
          <w:rFonts w:cs="Arial"/>
        </w:rPr>
        <w:t>.</w:t>
      </w:r>
      <w:r w:rsidRPr="00356510">
        <w:rPr>
          <w:rFonts w:cs="Arial"/>
        </w:rPr>
        <w:t xml:space="preserve"> nitric acid and hydrochloric acid) as well as acid-based products (e</w:t>
      </w:r>
      <w:r w:rsidR="006E4939">
        <w:rPr>
          <w:rFonts w:cs="Arial"/>
        </w:rPr>
        <w:t>.</w:t>
      </w:r>
      <w:r w:rsidRPr="00356510">
        <w:rPr>
          <w:rFonts w:cs="Arial"/>
        </w:rPr>
        <w:t>g</w:t>
      </w:r>
      <w:r w:rsidR="006E4939">
        <w:rPr>
          <w:rFonts w:cs="Arial"/>
        </w:rPr>
        <w:t>.</w:t>
      </w:r>
      <w:r w:rsidRPr="00356510">
        <w:rPr>
          <w:rFonts w:cs="Arial"/>
        </w:rPr>
        <w:t xml:space="preserve"> acid cleaners/degreasers and acid etching gels/liquids).</w:t>
      </w:r>
    </w:p>
    <w:p w:rsidR="00FA2943" w:rsidRPr="00356510" w:rsidRDefault="00FA2943" w:rsidP="00FA2943">
      <w:pPr>
        <w:rPr>
          <w:rFonts w:cs="Arial"/>
        </w:rPr>
      </w:pPr>
      <w:r w:rsidRPr="00E97B23">
        <w:rPr>
          <w:rFonts w:cs="Arial"/>
          <w:i/>
        </w:rPr>
        <w:t>Plant and animal treatment chemicals</w:t>
      </w:r>
      <w:r w:rsidRPr="00356510">
        <w:rPr>
          <w:rFonts w:cs="Arial"/>
        </w:rPr>
        <w:t xml:space="preserve"> were reported by approximately 4% and 3% of respondents respectively. The </w:t>
      </w:r>
      <w:r w:rsidRPr="00E97B23">
        <w:rPr>
          <w:rFonts w:cs="Arial"/>
          <w:i/>
        </w:rPr>
        <w:t>plant treatment chemicals</w:t>
      </w:r>
      <w:r w:rsidRPr="00356510">
        <w:rPr>
          <w:rFonts w:cs="Arial"/>
        </w:rPr>
        <w:t xml:space="preserve"> were dominated by weedicides/herbicides. Some fungicides were also reported and are included in this group. The </w:t>
      </w:r>
      <w:r w:rsidRPr="00E97B23">
        <w:rPr>
          <w:rFonts w:cs="Arial"/>
          <w:i/>
        </w:rPr>
        <w:t>animal treatment</w:t>
      </w:r>
      <w:r w:rsidRPr="00356510">
        <w:rPr>
          <w:rFonts w:cs="Arial"/>
        </w:rPr>
        <w:t xml:space="preserve"> </w:t>
      </w:r>
      <w:r w:rsidR="00E97B23" w:rsidRPr="00E97B23">
        <w:rPr>
          <w:rFonts w:cs="Arial"/>
          <w:i/>
        </w:rPr>
        <w:t>chemicals</w:t>
      </w:r>
      <w:r w:rsidRPr="00E97B23">
        <w:rPr>
          <w:rFonts w:cs="Arial"/>
          <w:i/>
        </w:rPr>
        <w:t xml:space="preserve"> </w:t>
      </w:r>
      <w:r w:rsidRPr="00356510">
        <w:rPr>
          <w:rFonts w:cs="Arial"/>
        </w:rPr>
        <w:t>category represents a broader range of reported chemicals including veterinary medicines as well as pesticides. This group includes insecticides for animal application (such as sheep dips), insecticides for general application (e</w:t>
      </w:r>
      <w:r w:rsidR="006E4939">
        <w:rPr>
          <w:rFonts w:cs="Arial"/>
        </w:rPr>
        <w:t>.</w:t>
      </w:r>
      <w:r w:rsidRPr="00356510">
        <w:rPr>
          <w:rFonts w:cs="Arial"/>
        </w:rPr>
        <w:t>g</w:t>
      </w:r>
      <w:r w:rsidR="006E4939">
        <w:rPr>
          <w:rFonts w:cs="Arial"/>
        </w:rPr>
        <w:t>.</w:t>
      </w:r>
      <w:r w:rsidRPr="00356510">
        <w:rPr>
          <w:rFonts w:cs="Arial"/>
        </w:rPr>
        <w:t xml:space="preserve"> domestic insect spray) and other pesticides (e</w:t>
      </w:r>
      <w:r w:rsidR="006E4939">
        <w:rPr>
          <w:rFonts w:cs="Arial"/>
        </w:rPr>
        <w:t>.</w:t>
      </w:r>
      <w:r w:rsidRPr="00356510">
        <w:rPr>
          <w:rFonts w:cs="Arial"/>
        </w:rPr>
        <w:t>g</w:t>
      </w:r>
      <w:r w:rsidR="006E4939">
        <w:rPr>
          <w:rFonts w:cs="Arial"/>
        </w:rPr>
        <w:t>.</w:t>
      </w:r>
      <w:r w:rsidRPr="00356510">
        <w:rPr>
          <w:rFonts w:cs="Arial"/>
        </w:rPr>
        <w:t xml:space="preserve"> rodenticides). </w:t>
      </w:r>
    </w:p>
    <w:p w:rsidR="00FA2943" w:rsidRPr="00356510" w:rsidRDefault="00FA2943" w:rsidP="00FA2943">
      <w:pPr>
        <w:rPr>
          <w:rFonts w:cs="Arial"/>
        </w:rPr>
      </w:pPr>
      <w:r w:rsidRPr="00356510">
        <w:rPr>
          <w:rFonts w:cs="Arial"/>
        </w:rPr>
        <w:t xml:space="preserve">Approximately 3% of respondents reported working with </w:t>
      </w:r>
      <w:r w:rsidR="00E97B23" w:rsidRPr="00E97B23">
        <w:rPr>
          <w:rFonts w:cs="Arial"/>
          <w:i/>
        </w:rPr>
        <w:t>P</w:t>
      </w:r>
      <w:r w:rsidRPr="00E97B23">
        <w:rPr>
          <w:rFonts w:cs="Arial"/>
          <w:i/>
        </w:rPr>
        <w:t>lastics, synthetic resins and rubbers</w:t>
      </w:r>
      <w:r w:rsidRPr="00356510">
        <w:rPr>
          <w:rFonts w:cs="Arial"/>
        </w:rPr>
        <w:t>. The majority of products reported in this category were silicone gel-based products (e</w:t>
      </w:r>
      <w:r w:rsidR="006E4939">
        <w:rPr>
          <w:rFonts w:cs="Arial"/>
        </w:rPr>
        <w:t>.</w:t>
      </w:r>
      <w:r w:rsidRPr="00356510">
        <w:rPr>
          <w:rFonts w:cs="Arial"/>
        </w:rPr>
        <w:t>g</w:t>
      </w:r>
      <w:r w:rsidR="006E4939">
        <w:rPr>
          <w:rFonts w:cs="Arial"/>
        </w:rPr>
        <w:t>.</w:t>
      </w:r>
      <w:r w:rsidRPr="00356510">
        <w:rPr>
          <w:rFonts w:cs="Arial"/>
        </w:rPr>
        <w:t xml:space="preserve"> plumbers’ silicone caulking).</w:t>
      </w:r>
    </w:p>
    <w:p w:rsidR="00FA2943" w:rsidRPr="00356510" w:rsidRDefault="00FA2943" w:rsidP="00FA2943">
      <w:pPr>
        <w:rPr>
          <w:rFonts w:cs="Arial"/>
        </w:rPr>
      </w:pPr>
      <w:r w:rsidRPr="00E97B23">
        <w:rPr>
          <w:rFonts w:cs="Arial"/>
          <w:i/>
        </w:rPr>
        <w:t>Other chemical products</w:t>
      </w:r>
      <w:r w:rsidRPr="00356510">
        <w:rPr>
          <w:rFonts w:cs="Arial"/>
        </w:rPr>
        <w:t xml:space="preserve"> were reported by approximately five percent of respondents. The specific items coded in this category were mostly glues, including craft glues, cabinetry glues, adhesive cements, plumbers’ adhesives, two-pack and contact adhesives. </w:t>
      </w:r>
    </w:p>
    <w:p w:rsidR="00FA2943" w:rsidRPr="00356510" w:rsidRDefault="00FA2943" w:rsidP="00FA2943">
      <w:pPr>
        <w:rPr>
          <w:rFonts w:cs="Arial"/>
        </w:rPr>
      </w:pPr>
      <w:r w:rsidRPr="00356510">
        <w:rPr>
          <w:rFonts w:cs="Arial"/>
        </w:rPr>
        <w:t xml:space="preserve">Apart from exposure to </w:t>
      </w:r>
      <w:r w:rsidR="00610AAC" w:rsidRPr="00356510">
        <w:rPr>
          <w:rFonts w:cs="Arial"/>
          <w:i/>
        </w:rPr>
        <w:t>Cement and lime</w:t>
      </w:r>
      <w:r w:rsidRPr="00356510">
        <w:rPr>
          <w:rFonts w:cs="Arial"/>
        </w:rPr>
        <w:t xml:space="preserve"> and </w:t>
      </w:r>
      <w:r w:rsidRPr="00C411C2">
        <w:rPr>
          <w:rFonts w:cs="Arial"/>
          <w:i/>
        </w:rPr>
        <w:t>Wet concrete</w:t>
      </w:r>
      <w:r w:rsidRPr="00356510">
        <w:rPr>
          <w:rFonts w:cs="Arial"/>
        </w:rPr>
        <w:t>, exposure to “Material</w:t>
      </w:r>
      <w:r w:rsidR="00C411C2">
        <w:rPr>
          <w:rFonts w:cs="Arial"/>
        </w:rPr>
        <w:t>s</w:t>
      </w:r>
      <w:r w:rsidRPr="00356510">
        <w:rPr>
          <w:rFonts w:cs="Arial"/>
        </w:rPr>
        <w:t xml:space="preserve"> and Substances” (TOOCS categories 611-639) were reported only occasionally. These substances included non-metallic minerals, timber, metals, stock-feed, foods/drinks and oils/fats. Due to the wording of the survey question, it is possible that respondents generally did not consider that work with these materials and </w:t>
      </w:r>
      <w:r w:rsidR="00C411C2" w:rsidRPr="00356510">
        <w:rPr>
          <w:rFonts w:cs="Arial"/>
        </w:rPr>
        <w:t>substances were</w:t>
      </w:r>
      <w:r w:rsidRPr="00356510">
        <w:rPr>
          <w:rFonts w:cs="Arial"/>
        </w:rPr>
        <w:t xml:space="preserve"> relevant. For example, a small number of respondents reported working with food products, but many more respondents reported employment in occupations such as cooks or kitchen hands.</w:t>
      </w:r>
    </w:p>
    <w:p w:rsidR="00F913D0" w:rsidRPr="00356510" w:rsidRDefault="00D90CCD" w:rsidP="00D90CCD">
      <w:pPr>
        <w:pStyle w:val="Heading3"/>
      </w:pPr>
      <w:bookmarkStart w:id="47" w:name="_Toc312075702"/>
      <w:r>
        <w:t>The main types of dermal chemical exposure</w:t>
      </w:r>
      <w:bookmarkEnd w:id="47"/>
    </w:p>
    <w:p w:rsidR="00B1625C" w:rsidRPr="00266EB2" w:rsidRDefault="007C76C9" w:rsidP="00F913D0">
      <w:pPr>
        <w:rPr>
          <w:rFonts w:cs="Arial"/>
          <w:szCs w:val="22"/>
        </w:rPr>
      </w:pPr>
      <w:r w:rsidRPr="00356510">
        <w:rPr>
          <w:rFonts w:cs="Arial"/>
          <w:szCs w:val="22"/>
        </w:rPr>
        <w:t xml:space="preserve">As shown in </w:t>
      </w:r>
      <w:r w:rsidR="00AB2546">
        <w:rPr>
          <w:rFonts w:cs="Arial"/>
          <w:szCs w:val="22"/>
        </w:rPr>
        <w:fldChar w:fldCharType="begin"/>
      </w:r>
      <w:r w:rsidR="003E28DE">
        <w:rPr>
          <w:rFonts w:cs="Arial"/>
          <w:szCs w:val="22"/>
        </w:rPr>
        <w:instrText xml:space="preserve"> REF _Ref309825837 \h </w:instrText>
      </w:r>
      <w:r w:rsidR="00AB2546">
        <w:rPr>
          <w:rFonts w:cs="Arial"/>
          <w:szCs w:val="22"/>
        </w:rPr>
      </w:r>
      <w:r w:rsidR="00AB2546">
        <w:rPr>
          <w:rFonts w:cs="Arial"/>
          <w:szCs w:val="22"/>
        </w:rPr>
        <w:fldChar w:fldCharType="separate"/>
      </w:r>
      <w:r w:rsidR="00266EB2">
        <w:t xml:space="preserve">Table </w:t>
      </w:r>
      <w:r w:rsidR="00266EB2">
        <w:rPr>
          <w:noProof/>
        </w:rPr>
        <w:t>1</w:t>
      </w:r>
      <w:r w:rsidR="00AB2546">
        <w:rPr>
          <w:rFonts w:cs="Arial"/>
          <w:szCs w:val="22"/>
        </w:rPr>
        <w:fldChar w:fldCharType="end"/>
      </w:r>
      <w:r w:rsidR="003E28DE">
        <w:rPr>
          <w:rFonts w:cs="Arial"/>
          <w:szCs w:val="22"/>
        </w:rPr>
        <w:t xml:space="preserve"> </w:t>
      </w:r>
      <w:r w:rsidR="00413B4D" w:rsidRPr="00356510">
        <w:rPr>
          <w:rFonts w:cs="Arial"/>
          <w:szCs w:val="22"/>
        </w:rPr>
        <w:t>and</w:t>
      </w:r>
      <w:r w:rsidR="00D177FB">
        <w:rPr>
          <w:rFonts w:cs="Arial"/>
          <w:szCs w:val="22"/>
        </w:rPr>
        <w:t xml:space="preserve"> </w:t>
      </w:r>
      <w:r w:rsidR="00AB2546">
        <w:rPr>
          <w:rFonts w:cs="Arial"/>
          <w:szCs w:val="22"/>
        </w:rPr>
        <w:fldChar w:fldCharType="begin"/>
      </w:r>
      <w:r w:rsidR="00D177FB">
        <w:rPr>
          <w:rFonts w:cs="Arial"/>
          <w:szCs w:val="22"/>
        </w:rPr>
        <w:instrText xml:space="preserve"> REF _Ref312054881 \h </w:instrText>
      </w:r>
      <w:r w:rsidR="00AB2546">
        <w:rPr>
          <w:rFonts w:cs="Arial"/>
          <w:szCs w:val="22"/>
        </w:rPr>
      </w:r>
      <w:r w:rsidR="00AB2546">
        <w:rPr>
          <w:rFonts w:cs="Arial"/>
          <w:szCs w:val="22"/>
        </w:rPr>
        <w:fldChar w:fldCharType="separate"/>
      </w:r>
      <w:r w:rsidR="00266EB2">
        <w:t xml:space="preserve">Table </w:t>
      </w:r>
      <w:r w:rsidR="00266EB2">
        <w:rPr>
          <w:noProof/>
        </w:rPr>
        <w:t>8</w:t>
      </w:r>
      <w:r w:rsidR="00AB2546">
        <w:rPr>
          <w:rFonts w:cs="Arial"/>
          <w:szCs w:val="22"/>
        </w:rPr>
        <w:fldChar w:fldCharType="end"/>
      </w:r>
      <w:r w:rsidR="00D177FB">
        <w:rPr>
          <w:rFonts w:cs="Arial"/>
          <w:szCs w:val="22"/>
        </w:rPr>
        <w:t xml:space="preserve"> </w:t>
      </w:r>
      <w:r w:rsidR="002031FF" w:rsidRPr="00356510">
        <w:rPr>
          <w:rFonts w:cs="Arial"/>
          <w:szCs w:val="22"/>
        </w:rPr>
        <w:t>there</w:t>
      </w:r>
      <w:r w:rsidR="003C474D" w:rsidRPr="00356510">
        <w:rPr>
          <w:rFonts w:cs="Arial"/>
          <w:szCs w:val="22"/>
        </w:rPr>
        <w:t xml:space="preserve"> were 42 different</w:t>
      </w:r>
      <w:r w:rsidR="00E36F36" w:rsidRPr="00356510">
        <w:rPr>
          <w:rFonts w:cs="Arial"/>
          <w:szCs w:val="22"/>
        </w:rPr>
        <w:t xml:space="preserve"> chemical</w:t>
      </w:r>
      <w:r w:rsidR="00D57A82" w:rsidRPr="00356510">
        <w:rPr>
          <w:rFonts w:cs="Arial"/>
          <w:szCs w:val="22"/>
        </w:rPr>
        <w:t>s</w:t>
      </w:r>
      <w:r w:rsidR="00E36F36" w:rsidRPr="00356510">
        <w:rPr>
          <w:rFonts w:cs="Arial"/>
          <w:szCs w:val="22"/>
        </w:rPr>
        <w:t xml:space="preserve"> and substance</w:t>
      </w:r>
      <w:r w:rsidR="003C474D" w:rsidRPr="00356510">
        <w:rPr>
          <w:rFonts w:cs="Arial"/>
          <w:szCs w:val="22"/>
        </w:rPr>
        <w:t xml:space="preserve"> types reported </w:t>
      </w:r>
      <w:r w:rsidR="003E28DE">
        <w:rPr>
          <w:rFonts w:cs="Arial"/>
          <w:szCs w:val="22"/>
        </w:rPr>
        <w:t xml:space="preserve">by workers </w:t>
      </w:r>
      <w:r w:rsidR="003C474D" w:rsidRPr="00356510">
        <w:rPr>
          <w:rFonts w:cs="Arial"/>
          <w:szCs w:val="22"/>
        </w:rPr>
        <w:t>in the NHEWS survey</w:t>
      </w:r>
      <w:r w:rsidR="00E36F36" w:rsidRPr="00356510">
        <w:rPr>
          <w:rFonts w:cs="Arial"/>
          <w:szCs w:val="22"/>
        </w:rPr>
        <w:t xml:space="preserve">. In order to discern patterns of </w:t>
      </w:r>
      <w:r w:rsidR="00F95422" w:rsidRPr="00356510">
        <w:rPr>
          <w:rFonts w:cs="Arial"/>
          <w:szCs w:val="22"/>
        </w:rPr>
        <w:t xml:space="preserve">dermal </w:t>
      </w:r>
      <w:r w:rsidR="00E36F36" w:rsidRPr="00356510">
        <w:rPr>
          <w:rFonts w:cs="Arial"/>
          <w:szCs w:val="22"/>
        </w:rPr>
        <w:t xml:space="preserve">exposure, </w:t>
      </w:r>
      <w:r w:rsidR="003C474D" w:rsidRPr="00356510">
        <w:rPr>
          <w:rFonts w:cs="Arial"/>
          <w:szCs w:val="22"/>
        </w:rPr>
        <w:t>it was decided</w:t>
      </w:r>
      <w:r w:rsidR="00E36F36" w:rsidRPr="00356510">
        <w:rPr>
          <w:rFonts w:cs="Arial"/>
          <w:szCs w:val="22"/>
        </w:rPr>
        <w:t xml:space="preserve"> to limit further description and analys</w:t>
      </w:r>
      <w:r w:rsidR="00A42CA3" w:rsidRPr="00356510">
        <w:rPr>
          <w:rFonts w:cs="Arial"/>
          <w:szCs w:val="22"/>
        </w:rPr>
        <w:t>e</w:t>
      </w:r>
      <w:r w:rsidR="00E36F36" w:rsidRPr="00356510">
        <w:rPr>
          <w:rFonts w:cs="Arial"/>
          <w:szCs w:val="22"/>
        </w:rPr>
        <w:t>s to data from</w:t>
      </w:r>
      <w:r w:rsidR="00B1625C" w:rsidRPr="00356510">
        <w:rPr>
          <w:rFonts w:cs="Arial"/>
          <w:szCs w:val="22"/>
        </w:rPr>
        <w:t xml:space="preserve"> those categories most frequently reported by respondents. </w:t>
      </w:r>
      <w:r w:rsidR="003C474D" w:rsidRPr="00356510">
        <w:rPr>
          <w:rFonts w:cs="Arial"/>
          <w:szCs w:val="22"/>
        </w:rPr>
        <w:t>Therefore, u</w:t>
      </w:r>
      <w:r w:rsidR="00E36F36" w:rsidRPr="00356510">
        <w:rPr>
          <w:rFonts w:cs="Arial"/>
          <w:szCs w:val="22"/>
        </w:rPr>
        <w:t xml:space="preserve">nless otherwise specified, the remaining </w:t>
      </w:r>
      <w:r w:rsidR="00E36F36" w:rsidRPr="00266EB2">
        <w:rPr>
          <w:rFonts w:cs="Arial"/>
          <w:szCs w:val="22"/>
        </w:rPr>
        <w:t xml:space="preserve">analyses in this report were limited to </w:t>
      </w:r>
      <w:r w:rsidR="00AD7EDD" w:rsidRPr="00266EB2">
        <w:rPr>
          <w:rFonts w:cs="Arial"/>
          <w:szCs w:val="22"/>
        </w:rPr>
        <w:t xml:space="preserve">the </w:t>
      </w:r>
      <w:r w:rsidR="00B1625C" w:rsidRPr="00266EB2">
        <w:rPr>
          <w:rFonts w:cs="Arial"/>
          <w:szCs w:val="22"/>
        </w:rPr>
        <w:t>following seven</w:t>
      </w:r>
      <w:r w:rsidR="00E36F36" w:rsidRPr="00266EB2">
        <w:rPr>
          <w:rFonts w:cs="Arial"/>
          <w:szCs w:val="22"/>
        </w:rPr>
        <w:t xml:space="preserve"> </w:t>
      </w:r>
      <w:r w:rsidR="00F95422" w:rsidRPr="00266EB2">
        <w:rPr>
          <w:rFonts w:cs="Arial"/>
          <w:szCs w:val="22"/>
        </w:rPr>
        <w:t xml:space="preserve">dermal </w:t>
      </w:r>
      <w:r w:rsidR="00E36F36" w:rsidRPr="00266EB2">
        <w:rPr>
          <w:rFonts w:cs="Arial"/>
          <w:szCs w:val="22"/>
        </w:rPr>
        <w:t>exposure categories</w:t>
      </w:r>
      <w:r w:rsidR="00B1625C" w:rsidRPr="00266EB2">
        <w:rPr>
          <w:rFonts w:cs="Arial"/>
          <w:szCs w:val="22"/>
        </w:rPr>
        <w:t>:</w:t>
      </w:r>
    </w:p>
    <w:p w:rsidR="00B1625C" w:rsidRPr="00266EB2" w:rsidRDefault="00C54392" w:rsidP="003E28DE">
      <w:pPr>
        <w:numPr>
          <w:ilvl w:val="0"/>
          <w:numId w:val="25"/>
        </w:numPr>
        <w:spacing w:after="0"/>
        <w:ind w:left="567" w:hanging="567"/>
        <w:rPr>
          <w:rFonts w:cs="Arial"/>
          <w:szCs w:val="22"/>
        </w:rPr>
      </w:pPr>
      <w:r w:rsidRPr="00266EB2">
        <w:rPr>
          <w:rFonts w:cs="Arial"/>
          <w:szCs w:val="22"/>
        </w:rPr>
        <w:t>Detergents</w:t>
      </w:r>
    </w:p>
    <w:p w:rsidR="00B1625C" w:rsidRPr="00266EB2" w:rsidRDefault="00C54392" w:rsidP="003E28DE">
      <w:pPr>
        <w:numPr>
          <w:ilvl w:val="0"/>
          <w:numId w:val="25"/>
        </w:numPr>
        <w:spacing w:after="0"/>
        <w:ind w:left="567" w:hanging="567"/>
        <w:rPr>
          <w:rFonts w:cs="Arial"/>
          <w:szCs w:val="22"/>
        </w:rPr>
      </w:pPr>
      <w:r w:rsidRPr="00266EB2">
        <w:rPr>
          <w:rFonts w:cs="Arial"/>
          <w:szCs w:val="22"/>
        </w:rPr>
        <w:t>Organic solvents</w:t>
      </w:r>
    </w:p>
    <w:p w:rsidR="00B1625C" w:rsidRPr="00266EB2" w:rsidRDefault="00C54392" w:rsidP="003E28DE">
      <w:pPr>
        <w:numPr>
          <w:ilvl w:val="0"/>
          <w:numId w:val="25"/>
        </w:numPr>
        <w:spacing w:after="0"/>
        <w:ind w:left="567" w:hanging="567"/>
        <w:rPr>
          <w:rFonts w:cs="Arial"/>
          <w:szCs w:val="22"/>
        </w:rPr>
      </w:pPr>
      <w:r w:rsidRPr="00266EB2">
        <w:rPr>
          <w:rFonts w:cs="Arial"/>
          <w:szCs w:val="22"/>
        </w:rPr>
        <w:t>Disinfectants</w:t>
      </w:r>
    </w:p>
    <w:p w:rsidR="00B1625C" w:rsidRPr="00266EB2" w:rsidRDefault="00C54392" w:rsidP="003E28DE">
      <w:pPr>
        <w:numPr>
          <w:ilvl w:val="0"/>
          <w:numId w:val="25"/>
        </w:numPr>
        <w:spacing w:after="0"/>
        <w:ind w:left="567" w:hanging="567"/>
        <w:rPr>
          <w:rFonts w:cs="Arial"/>
          <w:szCs w:val="22"/>
        </w:rPr>
      </w:pPr>
      <w:r w:rsidRPr="00266EB2">
        <w:rPr>
          <w:rFonts w:cs="Arial"/>
          <w:szCs w:val="22"/>
        </w:rPr>
        <w:t>Bases and alkalis</w:t>
      </w:r>
    </w:p>
    <w:p w:rsidR="00B1625C" w:rsidRPr="00266EB2" w:rsidRDefault="00B1625C" w:rsidP="003E28DE">
      <w:pPr>
        <w:numPr>
          <w:ilvl w:val="0"/>
          <w:numId w:val="25"/>
        </w:numPr>
        <w:spacing w:after="0"/>
        <w:ind w:left="567" w:hanging="567"/>
        <w:rPr>
          <w:rFonts w:cs="Arial"/>
          <w:szCs w:val="22"/>
        </w:rPr>
      </w:pPr>
      <w:r w:rsidRPr="00266EB2">
        <w:rPr>
          <w:rFonts w:cs="Arial"/>
          <w:szCs w:val="22"/>
        </w:rPr>
        <w:t>Paint</w:t>
      </w:r>
      <w:r w:rsidR="00016BF7" w:rsidRPr="00266EB2">
        <w:rPr>
          <w:rFonts w:cs="Arial"/>
          <w:szCs w:val="22"/>
        </w:rPr>
        <w:t>s</w:t>
      </w:r>
      <w:r w:rsidRPr="00266EB2">
        <w:rPr>
          <w:rFonts w:cs="Arial"/>
          <w:szCs w:val="22"/>
        </w:rPr>
        <w:t>, varnish</w:t>
      </w:r>
      <w:r w:rsidR="00016BF7" w:rsidRPr="00266EB2">
        <w:rPr>
          <w:rFonts w:cs="Arial"/>
          <w:szCs w:val="22"/>
        </w:rPr>
        <w:t>es and</w:t>
      </w:r>
      <w:r w:rsidRPr="00266EB2">
        <w:rPr>
          <w:rFonts w:cs="Arial"/>
          <w:szCs w:val="22"/>
        </w:rPr>
        <w:t xml:space="preserve"> ink</w:t>
      </w:r>
      <w:r w:rsidR="00016BF7" w:rsidRPr="00266EB2">
        <w:rPr>
          <w:rFonts w:cs="Arial"/>
          <w:szCs w:val="22"/>
        </w:rPr>
        <w:t>s</w:t>
      </w:r>
    </w:p>
    <w:p w:rsidR="00C54392" w:rsidRPr="00266EB2" w:rsidRDefault="00C54392" w:rsidP="003E28DE">
      <w:pPr>
        <w:numPr>
          <w:ilvl w:val="0"/>
          <w:numId w:val="25"/>
        </w:numPr>
        <w:spacing w:after="0"/>
        <w:ind w:left="567" w:hanging="567"/>
        <w:rPr>
          <w:rFonts w:cs="Arial"/>
          <w:szCs w:val="22"/>
        </w:rPr>
      </w:pPr>
      <w:r w:rsidRPr="00266EB2">
        <w:rPr>
          <w:rFonts w:cs="Arial"/>
          <w:szCs w:val="22"/>
        </w:rPr>
        <w:t>Cement and lime</w:t>
      </w:r>
      <w:r w:rsidR="00EE781A">
        <w:rPr>
          <w:rFonts w:cs="Arial"/>
          <w:szCs w:val="22"/>
        </w:rPr>
        <w:t>, and</w:t>
      </w:r>
    </w:p>
    <w:p w:rsidR="00B1625C" w:rsidRPr="00266EB2" w:rsidRDefault="00B1625C" w:rsidP="003E28DE">
      <w:pPr>
        <w:numPr>
          <w:ilvl w:val="0"/>
          <w:numId w:val="25"/>
        </w:numPr>
        <w:ind w:left="567" w:hanging="567"/>
        <w:rPr>
          <w:rFonts w:cs="Arial"/>
          <w:szCs w:val="22"/>
        </w:rPr>
      </w:pPr>
      <w:r w:rsidRPr="00266EB2">
        <w:rPr>
          <w:rFonts w:cs="Arial"/>
          <w:szCs w:val="22"/>
        </w:rPr>
        <w:t>N</w:t>
      </w:r>
      <w:r w:rsidR="00FA6280" w:rsidRPr="00266EB2">
        <w:rPr>
          <w:rFonts w:cs="Arial"/>
          <w:szCs w:val="22"/>
        </w:rPr>
        <w:t>on-bituminous hydrocarbon fuels</w:t>
      </w:r>
      <w:r w:rsidR="00EE781A">
        <w:rPr>
          <w:rFonts w:cs="Arial"/>
          <w:szCs w:val="22"/>
        </w:rPr>
        <w:t>.</w:t>
      </w:r>
    </w:p>
    <w:p w:rsidR="003E28DE" w:rsidRPr="00266EB2" w:rsidRDefault="003E28DE" w:rsidP="00F913D0">
      <w:pPr>
        <w:rPr>
          <w:rFonts w:cs="Arial"/>
          <w:szCs w:val="22"/>
        </w:rPr>
      </w:pPr>
      <w:r w:rsidRPr="00266EB2">
        <w:rPr>
          <w:rFonts w:cs="Arial"/>
          <w:szCs w:val="22"/>
        </w:rPr>
        <w:t xml:space="preserve">Over 150 workers reported exposure to each of these dermal chemical exposure categories. </w:t>
      </w:r>
      <w:r w:rsidRPr="00266EB2">
        <w:rPr>
          <w:rFonts w:cs="Arial"/>
          <w:i/>
          <w:szCs w:val="22"/>
        </w:rPr>
        <w:t>Wet concrete</w:t>
      </w:r>
      <w:r w:rsidRPr="00266EB2">
        <w:rPr>
          <w:rFonts w:cs="Arial"/>
          <w:szCs w:val="22"/>
        </w:rPr>
        <w:t xml:space="preserve"> was not included in further analyses despite more than 150 workers reporting exposure to this category of chemicals/substances. </w:t>
      </w:r>
      <w:r w:rsidR="00D90CCD" w:rsidRPr="00266EB2">
        <w:rPr>
          <w:rFonts w:cs="Arial"/>
          <w:szCs w:val="22"/>
        </w:rPr>
        <w:t>This was because, a</w:t>
      </w:r>
      <w:r w:rsidRPr="00266EB2">
        <w:rPr>
          <w:rFonts w:cs="Arial"/>
          <w:szCs w:val="22"/>
        </w:rPr>
        <w:t xml:space="preserve">s discussed above, the categories </w:t>
      </w:r>
      <w:r w:rsidRPr="00266EB2">
        <w:rPr>
          <w:rFonts w:cs="Arial"/>
          <w:i/>
          <w:szCs w:val="22"/>
        </w:rPr>
        <w:t>Wet concrete</w:t>
      </w:r>
      <w:r w:rsidRPr="00266EB2">
        <w:rPr>
          <w:rFonts w:cs="Arial"/>
          <w:szCs w:val="22"/>
        </w:rPr>
        <w:t xml:space="preserve"> and </w:t>
      </w:r>
      <w:r w:rsidRPr="00266EB2">
        <w:rPr>
          <w:rFonts w:cs="Arial"/>
          <w:i/>
          <w:szCs w:val="22"/>
        </w:rPr>
        <w:t>Cement and lime</w:t>
      </w:r>
      <w:r w:rsidRPr="00266EB2">
        <w:rPr>
          <w:rFonts w:cs="Arial"/>
          <w:szCs w:val="22"/>
        </w:rPr>
        <w:t xml:space="preserve"> represent nearly the same group of respondents. All those coded as </w:t>
      </w:r>
      <w:r w:rsidRPr="00266EB2">
        <w:rPr>
          <w:rFonts w:cs="Arial"/>
          <w:i/>
          <w:szCs w:val="22"/>
        </w:rPr>
        <w:t>Wet concrete</w:t>
      </w:r>
      <w:r w:rsidRPr="00266EB2">
        <w:rPr>
          <w:rFonts w:cs="Arial"/>
          <w:szCs w:val="22"/>
        </w:rPr>
        <w:t xml:space="preserve"> were also coded as </w:t>
      </w:r>
      <w:r w:rsidRPr="00266EB2">
        <w:rPr>
          <w:rFonts w:cs="Arial"/>
          <w:i/>
          <w:szCs w:val="22"/>
        </w:rPr>
        <w:t>Cement and lime</w:t>
      </w:r>
      <w:r w:rsidRPr="00266EB2">
        <w:rPr>
          <w:rFonts w:cs="Arial"/>
          <w:szCs w:val="22"/>
        </w:rPr>
        <w:t xml:space="preserve"> and for this reason the </w:t>
      </w:r>
      <w:r w:rsidRPr="00266EB2">
        <w:rPr>
          <w:rFonts w:cs="Arial"/>
          <w:i/>
          <w:szCs w:val="22"/>
        </w:rPr>
        <w:t>Cement and lime</w:t>
      </w:r>
      <w:r w:rsidRPr="00266EB2">
        <w:rPr>
          <w:rFonts w:cs="Arial"/>
          <w:szCs w:val="22"/>
        </w:rPr>
        <w:t xml:space="preserve"> category was chosen for reporting and analysis purposes.</w:t>
      </w:r>
    </w:p>
    <w:p w:rsidR="004951DB" w:rsidRPr="00266EB2" w:rsidRDefault="004951DB" w:rsidP="00D90CCD">
      <w:pPr>
        <w:pStyle w:val="Heading2"/>
        <w:rPr>
          <w:rFonts w:cs="Arial"/>
        </w:rPr>
      </w:pPr>
      <w:bookmarkStart w:id="48" w:name="_Toc312075703"/>
      <w:r w:rsidRPr="00266EB2">
        <w:lastRenderedPageBreak/>
        <w:t xml:space="preserve">Employment and demographic factors </w:t>
      </w:r>
      <w:r w:rsidR="005478A5" w:rsidRPr="00266EB2">
        <w:t>that affected</w:t>
      </w:r>
      <w:r w:rsidRPr="00266EB2">
        <w:t xml:space="preserve"> </w:t>
      </w:r>
      <w:r w:rsidR="00D90CCD" w:rsidRPr="00266EB2">
        <w:t>self-</w:t>
      </w:r>
      <w:r w:rsidRPr="00266EB2">
        <w:t>reported exposure to chemicals in the workplace</w:t>
      </w:r>
      <w:bookmarkEnd w:id="48"/>
    </w:p>
    <w:p w:rsidR="00551B99" w:rsidRPr="00266EB2" w:rsidRDefault="00351710" w:rsidP="00FF4CBB">
      <w:pPr>
        <w:rPr>
          <w:szCs w:val="22"/>
        </w:rPr>
      </w:pPr>
      <w:r w:rsidRPr="00266EB2">
        <w:rPr>
          <w:szCs w:val="22"/>
        </w:rPr>
        <w:t>Summary statistics</w:t>
      </w:r>
      <w:r w:rsidR="00922B79" w:rsidRPr="00266EB2">
        <w:rPr>
          <w:szCs w:val="22"/>
        </w:rPr>
        <w:t xml:space="preserve"> of </w:t>
      </w:r>
      <w:r w:rsidR="008F647D" w:rsidRPr="00266EB2">
        <w:rPr>
          <w:szCs w:val="22"/>
        </w:rPr>
        <w:t xml:space="preserve">the </w:t>
      </w:r>
      <w:r w:rsidR="007C76C9" w:rsidRPr="00266EB2">
        <w:rPr>
          <w:szCs w:val="22"/>
        </w:rPr>
        <w:t xml:space="preserve">seven most commonly reported chemical </w:t>
      </w:r>
      <w:r w:rsidR="008F647D" w:rsidRPr="00266EB2">
        <w:rPr>
          <w:szCs w:val="22"/>
        </w:rPr>
        <w:t xml:space="preserve">categories </w:t>
      </w:r>
      <w:r w:rsidR="00BB5DA3" w:rsidRPr="00266EB2">
        <w:rPr>
          <w:szCs w:val="22"/>
        </w:rPr>
        <w:t xml:space="preserve">by demographic and employment factors </w:t>
      </w:r>
      <w:r w:rsidRPr="00266EB2">
        <w:rPr>
          <w:szCs w:val="22"/>
        </w:rPr>
        <w:t>are</w:t>
      </w:r>
      <w:r w:rsidR="00922B79" w:rsidRPr="00266EB2">
        <w:rPr>
          <w:szCs w:val="22"/>
        </w:rPr>
        <w:t xml:space="preserve"> </w:t>
      </w:r>
      <w:r w:rsidR="00BB5DA3" w:rsidRPr="00266EB2">
        <w:rPr>
          <w:szCs w:val="22"/>
        </w:rPr>
        <w:t xml:space="preserve">provided in </w:t>
      </w:r>
      <w:fldSimple w:instr=" REF _Ref312055028 \h  \* MERGEFORMAT ">
        <w:r w:rsidR="00266EB2">
          <w:t xml:space="preserve">Table </w:t>
        </w:r>
        <w:r w:rsidR="00266EB2">
          <w:rPr>
            <w:noProof/>
          </w:rPr>
          <w:t>9</w:t>
        </w:r>
      </w:fldSimple>
      <w:r w:rsidR="00D177FB" w:rsidRPr="00266EB2">
        <w:rPr>
          <w:szCs w:val="22"/>
        </w:rPr>
        <w:t xml:space="preserve"> </w:t>
      </w:r>
      <w:r w:rsidR="00922B79" w:rsidRPr="00266EB2">
        <w:rPr>
          <w:szCs w:val="22"/>
        </w:rPr>
        <w:t>(</w:t>
      </w:r>
      <w:r w:rsidR="00BB5DA3" w:rsidRPr="00266EB2">
        <w:rPr>
          <w:szCs w:val="22"/>
        </w:rPr>
        <w:t>Appendix B</w:t>
      </w:r>
      <w:r w:rsidR="00922B79" w:rsidRPr="00266EB2">
        <w:rPr>
          <w:szCs w:val="22"/>
        </w:rPr>
        <w:t>)</w:t>
      </w:r>
      <w:r w:rsidR="00BB5DA3" w:rsidRPr="00266EB2">
        <w:rPr>
          <w:szCs w:val="22"/>
        </w:rPr>
        <w:t>.</w:t>
      </w:r>
      <w:r w:rsidR="00044290" w:rsidRPr="00266EB2">
        <w:rPr>
          <w:szCs w:val="22"/>
        </w:rPr>
        <w:t xml:space="preserve"> Individual respondents may be counted in more than one exposure </w:t>
      </w:r>
      <w:r w:rsidR="00051B9A" w:rsidRPr="00266EB2">
        <w:rPr>
          <w:szCs w:val="22"/>
        </w:rPr>
        <w:t>category;</w:t>
      </w:r>
      <w:r w:rsidR="00044290" w:rsidRPr="00266EB2">
        <w:rPr>
          <w:szCs w:val="22"/>
        </w:rPr>
        <w:t xml:space="preserve"> therefore percentages may </w:t>
      </w:r>
      <w:r w:rsidR="00AD7EDD" w:rsidRPr="00266EB2">
        <w:rPr>
          <w:szCs w:val="22"/>
        </w:rPr>
        <w:t>not add up to</w:t>
      </w:r>
      <w:r w:rsidR="00044290" w:rsidRPr="00266EB2">
        <w:rPr>
          <w:szCs w:val="22"/>
        </w:rPr>
        <w:t xml:space="preserve"> 100</w:t>
      </w:r>
      <w:r w:rsidR="00AD7EDD" w:rsidRPr="00266EB2">
        <w:rPr>
          <w:szCs w:val="22"/>
        </w:rPr>
        <w:t xml:space="preserve"> per</w:t>
      </w:r>
      <w:r w:rsidRPr="00266EB2">
        <w:rPr>
          <w:szCs w:val="22"/>
        </w:rPr>
        <w:t xml:space="preserve"> </w:t>
      </w:r>
      <w:r w:rsidR="00AD7EDD" w:rsidRPr="00266EB2">
        <w:rPr>
          <w:szCs w:val="22"/>
        </w:rPr>
        <w:t>cent</w:t>
      </w:r>
      <w:r w:rsidR="00044290" w:rsidRPr="00266EB2">
        <w:rPr>
          <w:szCs w:val="22"/>
        </w:rPr>
        <w:t>.</w:t>
      </w:r>
      <w:r w:rsidRPr="00266EB2">
        <w:rPr>
          <w:szCs w:val="22"/>
        </w:rPr>
        <w:t xml:space="preserve"> </w:t>
      </w:r>
      <w:r w:rsidR="00BB5DA3" w:rsidRPr="00266EB2">
        <w:rPr>
          <w:szCs w:val="22"/>
        </w:rPr>
        <w:t>Descriptive results</w:t>
      </w:r>
      <w:r w:rsidRPr="00266EB2">
        <w:rPr>
          <w:szCs w:val="22"/>
        </w:rPr>
        <w:t>,</w:t>
      </w:r>
      <w:r w:rsidR="00BB5DA3" w:rsidRPr="00266EB2">
        <w:rPr>
          <w:szCs w:val="22"/>
        </w:rPr>
        <w:t xml:space="preserve"> to</w:t>
      </w:r>
      <w:r w:rsidR="00051B9A" w:rsidRPr="00266EB2">
        <w:rPr>
          <w:szCs w:val="22"/>
        </w:rPr>
        <w:t>gether with figures</w:t>
      </w:r>
      <w:r w:rsidRPr="00266EB2">
        <w:rPr>
          <w:szCs w:val="22"/>
        </w:rPr>
        <w:t>,</w:t>
      </w:r>
      <w:r w:rsidR="00051B9A" w:rsidRPr="00266EB2">
        <w:rPr>
          <w:szCs w:val="22"/>
        </w:rPr>
        <w:t xml:space="preserve"> are summaris</w:t>
      </w:r>
      <w:r w:rsidR="00BB5DA3" w:rsidRPr="00266EB2">
        <w:rPr>
          <w:szCs w:val="22"/>
        </w:rPr>
        <w:t>ed below.</w:t>
      </w:r>
    </w:p>
    <w:p w:rsidR="00551B99" w:rsidRPr="00266EB2" w:rsidRDefault="00F300EB" w:rsidP="00351710">
      <w:pPr>
        <w:pStyle w:val="Heading3"/>
      </w:pPr>
      <w:bookmarkStart w:id="49" w:name="_Toc312075704"/>
      <w:r w:rsidRPr="00266EB2">
        <w:t>Worker gender</w:t>
      </w:r>
      <w:bookmarkEnd w:id="49"/>
    </w:p>
    <w:p w:rsidR="00BB5DA3" w:rsidRPr="00266EB2" w:rsidRDefault="00053497" w:rsidP="00EB27C5">
      <w:r w:rsidRPr="00266EB2">
        <w:t xml:space="preserve">Male and female workers tended to report </w:t>
      </w:r>
      <w:r w:rsidR="00351710" w:rsidRPr="00266EB2">
        <w:t>that they worked with different types of chemicals</w:t>
      </w:r>
      <w:r w:rsidR="00470806" w:rsidRPr="00266EB2">
        <w:t xml:space="preserve"> </w:t>
      </w:r>
      <w:r w:rsidR="00351710" w:rsidRPr="00266EB2">
        <w:t>(</w:t>
      </w:r>
      <w:fldSimple w:instr=" REF _Ref309908881 \h  \* MERGEFORMAT ">
        <w:r w:rsidR="00266EB2" w:rsidRPr="00266EB2">
          <w:t xml:space="preserve">Figure </w:t>
        </w:r>
        <w:r w:rsidR="00266EB2">
          <w:rPr>
            <w:noProof/>
          </w:rPr>
          <w:t>2</w:t>
        </w:r>
      </w:fldSimple>
      <w:r w:rsidR="00351710" w:rsidRPr="00266EB2">
        <w:t xml:space="preserve">). </w:t>
      </w:r>
      <w:r w:rsidR="00470806" w:rsidRPr="00266EB2">
        <w:t>Compared to females, m</w:t>
      </w:r>
      <w:r w:rsidR="00BB5DA3" w:rsidRPr="00266EB2">
        <w:t>uch higher percentages of male</w:t>
      </w:r>
      <w:r w:rsidRPr="00266EB2">
        <w:t xml:space="preserve"> workers</w:t>
      </w:r>
      <w:r w:rsidR="00BB5DA3" w:rsidRPr="00266EB2">
        <w:t xml:space="preserve"> reported exposure to </w:t>
      </w:r>
      <w:r w:rsidR="00610AAC" w:rsidRPr="00266EB2">
        <w:rPr>
          <w:i/>
        </w:rPr>
        <w:t>Cement and lime</w:t>
      </w:r>
      <w:r w:rsidR="00B00D79" w:rsidRPr="00266EB2">
        <w:t xml:space="preserve">. </w:t>
      </w:r>
      <w:r w:rsidR="00AD5C6E" w:rsidRPr="00266EB2">
        <w:t>Higher</w:t>
      </w:r>
      <w:r w:rsidRPr="00266EB2">
        <w:t xml:space="preserve"> percentages of males also reported exposure to</w:t>
      </w:r>
      <w:r w:rsidR="00470806" w:rsidRPr="00266EB2">
        <w:t xml:space="preserve"> </w:t>
      </w:r>
      <w:r w:rsidR="003517A5" w:rsidRPr="00266EB2">
        <w:rPr>
          <w:i/>
        </w:rPr>
        <w:t>Organic solvents</w:t>
      </w:r>
      <w:r w:rsidR="00470806" w:rsidRPr="00266EB2">
        <w:t xml:space="preserve">, </w:t>
      </w:r>
      <w:r w:rsidR="003517A5" w:rsidRPr="00266EB2">
        <w:rPr>
          <w:i/>
        </w:rPr>
        <w:t>Non-bituminous hydrocarbon fuels</w:t>
      </w:r>
      <w:r w:rsidR="00470806" w:rsidRPr="00266EB2">
        <w:t xml:space="preserve"> and </w:t>
      </w:r>
      <w:r w:rsidR="003517A5" w:rsidRPr="00266EB2">
        <w:rPr>
          <w:i/>
        </w:rPr>
        <w:t>Paints, varnishes and inks</w:t>
      </w:r>
      <w:r w:rsidR="00470806" w:rsidRPr="00266EB2">
        <w:t>.</w:t>
      </w:r>
      <w:r w:rsidR="00ED1113" w:rsidRPr="00266EB2">
        <w:t xml:space="preserve"> </w:t>
      </w:r>
      <w:r w:rsidRPr="00266EB2">
        <w:t>In contrast, larger percentages of</w:t>
      </w:r>
      <w:r w:rsidR="00470806" w:rsidRPr="00266EB2">
        <w:t xml:space="preserve"> female</w:t>
      </w:r>
      <w:r w:rsidRPr="00266EB2">
        <w:t xml:space="preserve"> worker</w:t>
      </w:r>
      <w:r w:rsidR="00470806" w:rsidRPr="00266EB2">
        <w:t xml:space="preserve">s reported exposure to </w:t>
      </w:r>
      <w:r w:rsidR="00356D9D" w:rsidRPr="00266EB2">
        <w:rPr>
          <w:i/>
        </w:rPr>
        <w:t>Disinfectants</w:t>
      </w:r>
      <w:r w:rsidR="00470806" w:rsidRPr="00266EB2">
        <w:t xml:space="preserve">, </w:t>
      </w:r>
      <w:r w:rsidR="00095CDE" w:rsidRPr="00266EB2">
        <w:rPr>
          <w:i/>
        </w:rPr>
        <w:t>Detergents</w:t>
      </w:r>
      <w:r w:rsidR="00470806" w:rsidRPr="00266EB2">
        <w:t xml:space="preserve"> and </w:t>
      </w:r>
      <w:r w:rsidR="00095CDE" w:rsidRPr="00266EB2">
        <w:rPr>
          <w:i/>
        </w:rPr>
        <w:t>Bases and alkalis</w:t>
      </w:r>
      <w:r w:rsidRPr="00266EB2">
        <w:t xml:space="preserve"> than male workers</w:t>
      </w:r>
      <w:r w:rsidR="00470806" w:rsidRPr="00266EB2">
        <w:t xml:space="preserve">. </w:t>
      </w:r>
    </w:p>
    <w:p w:rsidR="00EB27C5" w:rsidRPr="00266EB2" w:rsidRDefault="00EB27C5" w:rsidP="00EB27C5">
      <w:pPr>
        <w:keepNext/>
      </w:pPr>
      <w:r w:rsidRPr="00266EB2">
        <w:rPr>
          <w:noProof/>
          <w:lang w:eastAsia="en-AU"/>
        </w:rPr>
        <w:drawing>
          <wp:inline distT="0" distB="0" distL="0" distR="0">
            <wp:extent cx="5762625" cy="335280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1A9F" w:rsidRPr="00266EB2" w:rsidRDefault="00EB27C5" w:rsidP="00EB27C5">
      <w:pPr>
        <w:pStyle w:val="Caption"/>
      </w:pPr>
      <w:bookmarkStart w:id="50" w:name="_Ref309908881"/>
      <w:bookmarkStart w:id="51" w:name="_Toc314730507"/>
      <w:r w:rsidRPr="00266EB2">
        <w:t xml:space="preserve">Figure </w:t>
      </w:r>
      <w:r w:rsidR="00AB2546" w:rsidRPr="00266EB2">
        <w:fldChar w:fldCharType="begin"/>
      </w:r>
      <w:r w:rsidRPr="00266EB2">
        <w:instrText xml:space="preserve"> SEQ Figure \* ARABIC </w:instrText>
      </w:r>
      <w:r w:rsidR="00AB2546" w:rsidRPr="00266EB2">
        <w:fldChar w:fldCharType="separate"/>
      </w:r>
      <w:r w:rsidR="00266EB2">
        <w:rPr>
          <w:noProof/>
        </w:rPr>
        <w:t>2</w:t>
      </w:r>
      <w:r w:rsidR="00AB2546" w:rsidRPr="00266EB2">
        <w:fldChar w:fldCharType="end"/>
      </w:r>
      <w:bookmarkEnd w:id="50"/>
      <w:r w:rsidRPr="00266EB2">
        <w:t>. The types of self-reported chemical exposure categories by worker gender</w:t>
      </w:r>
      <w:bookmarkEnd w:id="51"/>
    </w:p>
    <w:p w:rsidR="00756FEE" w:rsidRPr="00266EB2" w:rsidRDefault="00756FEE" w:rsidP="00756FEE">
      <w:pPr>
        <w:pStyle w:val="Heading3"/>
      </w:pPr>
      <w:bookmarkStart w:id="52" w:name="_Toc312075705"/>
      <w:bookmarkStart w:id="53" w:name="_Ref297034257"/>
      <w:r w:rsidRPr="00266EB2">
        <w:t>Worker age</w:t>
      </w:r>
      <w:bookmarkEnd w:id="52"/>
    </w:p>
    <w:p w:rsidR="00C27E42" w:rsidRPr="00266EB2" w:rsidRDefault="00756FEE" w:rsidP="00C27E42">
      <w:r w:rsidRPr="00266EB2">
        <w:t>There was some variation in the distribution of workers’ age groups across the main types of chemicals or substances that were reported in the NHEWS survey (</w:t>
      </w:r>
      <w:fldSimple w:instr=" REF _Ref309829908 \h  \* MERGEFORMAT ">
        <w:r w:rsidR="00266EB2" w:rsidRPr="00266EB2">
          <w:t xml:space="preserve">Figure </w:t>
        </w:r>
        <w:r w:rsidR="00266EB2">
          <w:rPr>
            <w:noProof/>
          </w:rPr>
          <w:t>3</w:t>
        </w:r>
      </w:fldSimple>
      <w:r w:rsidRPr="00266EB2">
        <w:t xml:space="preserve">). A much greater percentage of workers aged 15-24 years reported exposure to </w:t>
      </w:r>
      <w:r w:rsidRPr="00114BD9">
        <w:rPr>
          <w:i/>
        </w:rPr>
        <w:t>Detergents</w:t>
      </w:r>
      <w:r w:rsidRPr="00266EB2">
        <w:t xml:space="preserve"> than workers in the older age groups. There was a similar pattern for </w:t>
      </w:r>
      <w:r w:rsidRPr="00114BD9">
        <w:rPr>
          <w:i/>
        </w:rPr>
        <w:t>Disinfectants</w:t>
      </w:r>
      <w:r w:rsidRPr="00266EB2">
        <w:t xml:space="preserve">. Likewise, larger percentages of the youngest workers reported exposure to both </w:t>
      </w:r>
      <w:r w:rsidRPr="00266EB2">
        <w:rPr>
          <w:i/>
        </w:rPr>
        <w:t>Cement and lime</w:t>
      </w:r>
      <w:r w:rsidRPr="00266EB2">
        <w:t xml:space="preserve"> and </w:t>
      </w:r>
      <w:r w:rsidRPr="00266EB2">
        <w:rPr>
          <w:i/>
        </w:rPr>
        <w:t>Bases and alkalis</w:t>
      </w:r>
      <w:r w:rsidRPr="00266EB2">
        <w:t xml:space="preserve"> and in both cases there appeared to be a pattern of decreasing percentages of workers reporting exposure with increasing age. For the other exposure categories, </w:t>
      </w:r>
      <w:r w:rsidRPr="00266EB2">
        <w:rPr>
          <w:i/>
        </w:rPr>
        <w:t>Non-bituminous hydrocarbon fuels</w:t>
      </w:r>
      <w:r w:rsidRPr="00266EB2">
        <w:t xml:space="preserve">, </w:t>
      </w:r>
      <w:r w:rsidRPr="00266EB2">
        <w:rPr>
          <w:i/>
        </w:rPr>
        <w:t>Paints, varnishes and inks</w:t>
      </w:r>
      <w:r w:rsidRPr="00266EB2">
        <w:t xml:space="preserve"> and </w:t>
      </w:r>
      <w:r w:rsidRPr="00266EB2">
        <w:rPr>
          <w:i/>
        </w:rPr>
        <w:t>Organic solvents</w:t>
      </w:r>
      <w:r w:rsidRPr="00266EB2">
        <w:t xml:space="preserve">, the percentages of workers reporting exposure were similar across the age groups, although again there was an apparent tendency towards higher reporting of these exposures in younger age groups. In several exposure categories the oldest age group (&gt;55 years) reported exposure more often than the 45-55 age group, for example </w:t>
      </w:r>
      <w:r w:rsidRPr="00266EB2">
        <w:rPr>
          <w:i/>
        </w:rPr>
        <w:t>Detergents</w:t>
      </w:r>
      <w:r w:rsidRPr="00266EB2">
        <w:t xml:space="preserve">, </w:t>
      </w:r>
      <w:r w:rsidRPr="00266EB2">
        <w:rPr>
          <w:i/>
        </w:rPr>
        <w:t>Disinfectants</w:t>
      </w:r>
      <w:r w:rsidRPr="00266EB2">
        <w:t xml:space="preserve">, </w:t>
      </w:r>
      <w:r w:rsidRPr="00266EB2">
        <w:rPr>
          <w:i/>
        </w:rPr>
        <w:t>Organic solvents</w:t>
      </w:r>
      <w:r w:rsidRPr="00266EB2">
        <w:t xml:space="preserve"> and </w:t>
      </w:r>
      <w:r w:rsidRPr="00266EB2">
        <w:rPr>
          <w:i/>
        </w:rPr>
        <w:t>Paints, varnishes and inks</w:t>
      </w:r>
      <w:r w:rsidRPr="00266EB2">
        <w:t xml:space="preserve">. It should be noted that the non-representative nature of the sampling frame, as well as the age distributions in the </w:t>
      </w:r>
      <w:r w:rsidRPr="00266EB2">
        <w:lastRenderedPageBreak/>
        <w:t>occupations or industries where the substances are being used, may have an influence on the age-group distributions.</w:t>
      </w:r>
    </w:p>
    <w:p w:rsidR="00C27E42" w:rsidRPr="00266EB2" w:rsidRDefault="00C27E42" w:rsidP="00C27E42">
      <w:pPr>
        <w:pStyle w:val="Heading3"/>
      </w:pPr>
      <w:bookmarkStart w:id="54" w:name="_Toc312075706"/>
      <w:r w:rsidRPr="00266EB2">
        <w:t>Employment arrangements</w:t>
      </w:r>
      <w:bookmarkEnd w:id="54"/>
    </w:p>
    <w:p w:rsidR="00C27E42" w:rsidRPr="00266EB2" w:rsidRDefault="00C27E42" w:rsidP="00C27E42">
      <w:r w:rsidRPr="00266EB2">
        <w:t>With a couple of exceptions, the percentage of temporary or casual workers who reported exposure to each of the main types of chemical exceeded that of permanent or fixed term workers (</w:t>
      </w:r>
      <w:fldSimple w:instr=" REF _Ref309912813 \h  \* MERGEFORMAT ">
        <w:r w:rsidR="00266EB2" w:rsidRPr="00266EB2">
          <w:t xml:space="preserve">Figure </w:t>
        </w:r>
        <w:r w:rsidR="00266EB2">
          <w:rPr>
            <w:noProof/>
          </w:rPr>
          <w:t>4</w:t>
        </w:r>
      </w:fldSimple>
      <w:r w:rsidRPr="00266EB2">
        <w:t xml:space="preserve">). This pattern was most noticeable for </w:t>
      </w:r>
      <w:r w:rsidRPr="00266EB2">
        <w:rPr>
          <w:i/>
        </w:rPr>
        <w:t>Detergents</w:t>
      </w:r>
      <w:r w:rsidRPr="00266EB2">
        <w:t xml:space="preserve">, </w:t>
      </w:r>
      <w:r w:rsidRPr="00266EB2">
        <w:rPr>
          <w:i/>
        </w:rPr>
        <w:t>Disinfectants</w:t>
      </w:r>
      <w:r w:rsidRPr="00266EB2">
        <w:t xml:space="preserve"> and </w:t>
      </w:r>
      <w:r w:rsidRPr="00266EB2">
        <w:rPr>
          <w:i/>
        </w:rPr>
        <w:t>Bases and alkalis</w:t>
      </w:r>
      <w:r w:rsidRPr="00266EB2">
        <w:t xml:space="preserve">. This may be due to patterns of employment arrangement among cleaners, food handlers and/or health care workers, which are occupations that are characterised by use of these products and also casual employment. Slightly larger percentages of permanent or fixed term employees reported exposure to </w:t>
      </w:r>
      <w:r w:rsidRPr="00266EB2">
        <w:rPr>
          <w:i/>
        </w:rPr>
        <w:t>Non-bituminous hydrocarbon fuels</w:t>
      </w:r>
      <w:r w:rsidRPr="00266EB2">
        <w:t xml:space="preserve"> and </w:t>
      </w:r>
      <w:r w:rsidRPr="00266EB2">
        <w:rPr>
          <w:i/>
        </w:rPr>
        <w:t>Organic solvents</w:t>
      </w:r>
      <w:r w:rsidRPr="00266EB2">
        <w:t xml:space="preserve"> than temporary/casual workers, however these differences were marginal.</w:t>
      </w:r>
    </w:p>
    <w:bookmarkEnd w:id="53"/>
    <w:p w:rsidR="008A1A9F" w:rsidRPr="00266EB2" w:rsidRDefault="00C27E42" w:rsidP="008A1A9F">
      <w:pPr>
        <w:keepNext/>
      </w:pPr>
      <w:r w:rsidRPr="00266EB2">
        <w:rPr>
          <w:noProof/>
          <w:lang w:eastAsia="en-AU"/>
        </w:rPr>
        <w:drawing>
          <wp:inline distT="0" distB="0" distL="0" distR="0">
            <wp:extent cx="5672302" cy="3090041"/>
            <wp:effectExtent l="1905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196A" w:rsidRPr="00266EB2" w:rsidRDefault="008A1A9F" w:rsidP="008A1A9F">
      <w:pPr>
        <w:pStyle w:val="Caption"/>
      </w:pPr>
      <w:bookmarkStart w:id="55" w:name="_Ref309829908"/>
      <w:bookmarkStart w:id="56" w:name="_Toc314730508"/>
      <w:r w:rsidRPr="00266EB2">
        <w:t xml:space="preserve">Figure </w:t>
      </w:r>
      <w:r w:rsidR="00AB2546" w:rsidRPr="00266EB2">
        <w:fldChar w:fldCharType="begin"/>
      </w:r>
      <w:r w:rsidR="003A1979" w:rsidRPr="00266EB2">
        <w:instrText xml:space="preserve"> SEQ Figure \* ARABIC </w:instrText>
      </w:r>
      <w:r w:rsidR="00AB2546" w:rsidRPr="00266EB2">
        <w:fldChar w:fldCharType="separate"/>
      </w:r>
      <w:r w:rsidR="00266EB2">
        <w:rPr>
          <w:noProof/>
        </w:rPr>
        <w:t>3</w:t>
      </w:r>
      <w:r w:rsidR="00AB2546" w:rsidRPr="00266EB2">
        <w:fldChar w:fldCharType="end"/>
      </w:r>
      <w:bookmarkEnd w:id="55"/>
      <w:r w:rsidRPr="00266EB2">
        <w:t>. The types of self-reported chemical exposure categories by worker age group</w:t>
      </w:r>
      <w:bookmarkEnd w:id="56"/>
    </w:p>
    <w:p w:rsidR="00FD10EF" w:rsidRPr="00266EB2" w:rsidRDefault="00FD10EF" w:rsidP="00FD10EF">
      <w:pPr>
        <w:keepNext/>
      </w:pPr>
      <w:r w:rsidRPr="00266EB2">
        <w:rPr>
          <w:noProof/>
          <w:lang w:eastAsia="en-AU"/>
        </w:rPr>
        <w:drawing>
          <wp:inline distT="0" distB="0" distL="0" distR="0">
            <wp:extent cx="5800725" cy="2962275"/>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7E42" w:rsidRPr="00266EB2" w:rsidRDefault="00FD10EF" w:rsidP="00531547">
      <w:pPr>
        <w:pStyle w:val="Caption"/>
      </w:pPr>
      <w:bookmarkStart w:id="57" w:name="_Ref309912813"/>
      <w:bookmarkStart w:id="58" w:name="_Toc314730509"/>
      <w:r w:rsidRPr="00266EB2">
        <w:t xml:space="preserve">Figure </w:t>
      </w:r>
      <w:r w:rsidR="00AB2546" w:rsidRPr="00266EB2">
        <w:fldChar w:fldCharType="begin"/>
      </w:r>
      <w:r w:rsidRPr="00266EB2">
        <w:instrText xml:space="preserve"> SEQ Figure \* ARABIC </w:instrText>
      </w:r>
      <w:r w:rsidR="00AB2546" w:rsidRPr="00266EB2">
        <w:fldChar w:fldCharType="separate"/>
      </w:r>
      <w:r w:rsidR="00266EB2">
        <w:rPr>
          <w:noProof/>
        </w:rPr>
        <w:t>4</w:t>
      </w:r>
      <w:r w:rsidR="00AB2546" w:rsidRPr="00266EB2">
        <w:fldChar w:fldCharType="end"/>
      </w:r>
      <w:bookmarkEnd w:id="57"/>
      <w:r w:rsidRPr="00266EB2">
        <w:t>. The types of self-reported chemical exposure by worker employment arrangement</w:t>
      </w:r>
      <w:bookmarkEnd w:id="58"/>
    </w:p>
    <w:p w:rsidR="003945E5" w:rsidRPr="00266EB2" w:rsidRDefault="00E97B23" w:rsidP="00E97B23">
      <w:pPr>
        <w:pStyle w:val="Heading3"/>
      </w:pPr>
      <w:bookmarkStart w:id="59" w:name="_Toc312075707"/>
      <w:r w:rsidRPr="00266EB2">
        <w:lastRenderedPageBreak/>
        <w:t>Occupational skill level</w:t>
      </w:r>
      <w:bookmarkEnd w:id="59"/>
    </w:p>
    <w:p w:rsidR="003945E5" w:rsidRPr="00266EB2" w:rsidRDefault="003945E5" w:rsidP="003945E5">
      <w:pPr>
        <w:rPr>
          <w:rFonts w:cs="Arial"/>
        </w:rPr>
      </w:pPr>
      <w:r w:rsidRPr="00266EB2">
        <w:rPr>
          <w:rFonts w:cs="Arial"/>
        </w:rPr>
        <w:t>The job data provided by NHEWS survey respondents were coded to</w:t>
      </w:r>
      <w:r w:rsidR="003B67D7" w:rsidRPr="00266EB2">
        <w:rPr>
          <w:rFonts w:cs="Arial"/>
        </w:rPr>
        <w:t xml:space="preserve"> the Australian and New Zealand Standard Classification of Occupations (ANZSCO)</w:t>
      </w:r>
      <w:r w:rsidRPr="00266EB2">
        <w:rPr>
          <w:rFonts w:cs="Arial"/>
        </w:rPr>
        <w:t xml:space="preserve"> </w:t>
      </w:r>
      <w:r w:rsidR="00E97B23" w:rsidRPr="00266EB2">
        <w:rPr>
          <w:rFonts w:cs="Arial"/>
        </w:rPr>
        <w:t>o</w:t>
      </w:r>
      <w:r w:rsidRPr="00266EB2">
        <w:rPr>
          <w:rFonts w:cs="Arial"/>
        </w:rPr>
        <w:t xml:space="preserve">ccupational </w:t>
      </w:r>
      <w:r w:rsidR="00E97B23" w:rsidRPr="00266EB2">
        <w:rPr>
          <w:rFonts w:cs="Arial"/>
        </w:rPr>
        <w:t>s</w:t>
      </w:r>
      <w:r w:rsidRPr="00266EB2">
        <w:rPr>
          <w:rFonts w:cs="Arial"/>
        </w:rPr>
        <w:t xml:space="preserve">kill </w:t>
      </w:r>
      <w:r w:rsidR="00E97B23" w:rsidRPr="00266EB2">
        <w:rPr>
          <w:rFonts w:cs="Arial"/>
        </w:rPr>
        <w:t>l</w:t>
      </w:r>
      <w:r w:rsidRPr="00266EB2">
        <w:rPr>
          <w:rFonts w:cs="Arial"/>
        </w:rPr>
        <w:t>evel categories. The A</w:t>
      </w:r>
      <w:r w:rsidR="003B67D7" w:rsidRPr="00266EB2">
        <w:rPr>
          <w:rFonts w:cs="Arial"/>
        </w:rPr>
        <w:t>NZ</w:t>
      </w:r>
      <w:r w:rsidRPr="00266EB2">
        <w:rPr>
          <w:rFonts w:cs="Arial"/>
        </w:rPr>
        <w:t xml:space="preserve">SCO </w:t>
      </w:r>
      <w:r w:rsidR="00E97B23" w:rsidRPr="00266EB2">
        <w:rPr>
          <w:rFonts w:cs="Arial"/>
        </w:rPr>
        <w:t>o</w:t>
      </w:r>
      <w:r w:rsidRPr="00266EB2">
        <w:rPr>
          <w:rFonts w:cs="Arial"/>
        </w:rPr>
        <w:t xml:space="preserve">ccupational </w:t>
      </w:r>
      <w:r w:rsidR="00E97B23" w:rsidRPr="00266EB2">
        <w:rPr>
          <w:rFonts w:cs="Arial"/>
        </w:rPr>
        <w:t>s</w:t>
      </w:r>
      <w:r w:rsidRPr="00266EB2">
        <w:rPr>
          <w:rFonts w:cs="Arial"/>
        </w:rPr>
        <w:t xml:space="preserve">kill </w:t>
      </w:r>
      <w:r w:rsidR="00E97B23" w:rsidRPr="00266EB2">
        <w:rPr>
          <w:rFonts w:cs="Arial"/>
        </w:rPr>
        <w:t>l</w:t>
      </w:r>
      <w:r w:rsidRPr="00266EB2">
        <w:rPr>
          <w:rFonts w:cs="Arial"/>
        </w:rPr>
        <w:t>evel classif</w:t>
      </w:r>
      <w:r w:rsidR="007617B4" w:rsidRPr="00266EB2">
        <w:rPr>
          <w:rFonts w:cs="Arial"/>
        </w:rPr>
        <w:t>ication is designed to categoris</w:t>
      </w:r>
      <w:r w:rsidRPr="00266EB2">
        <w:rPr>
          <w:rFonts w:cs="Arial"/>
        </w:rPr>
        <w:t>e the skill level normally necessary to perform a given occupation. A</w:t>
      </w:r>
      <w:r w:rsidR="003B67D7" w:rsidRPr="00266EB2">
        <w:rPr>
          <w:rFonts w:cs="Arial"/>
        </w:rPr>
        <w:t>NZ</w:t>
      </w:r>
      <w:r w:rsidRPr="00266EB2">
        <w:rPr>
          <w:rFonts w:cs="Arial"/>
        </w:rPr>
        <w:t>SCO takes into account the formal education/training, occupational experience and on-the-job training that are usually necessary to perform a given occupation. The skill level classification applies to occupations and not to individuals performing that occupation. Within this report, comparisons between occupational skill level and the self-reported chemicals exposures reveal the kinds of chemical exposures that typically are associated with occupations of differing skill levels.</w:t>
      </w:r>
      <w:r w:rsidRPr="00266EB2">
        <w:rPr>
          <w:rStyle w:val="FootnoteReference"/>
          <w:rFonts w:cs="Arial"/>
        </w:rPr>
        <w:footnoteReference w:id="4"/>
      </w:r>
      <w:r w:rsidRPr="00266EB2">
        <w:rPr>
          <w:rFonts w:cs="Arial"/>
        </w:rPr>
        <w:t xml:space="preserve"> The occupational skill level groups are </w:t>
      </w:r>
      <w:r w:rsidR="00184F76" w:rsidRPr="00266EB2">
        <w:rPr>
          <w:rFonts w:cs="Arial"/>
        </w:rPr>
        <w:t>explained</w:t>
      </w:r>
      <w:r w:rsidRPr="00266EB2">
        <w:rPr>
          <w:rFonts w:cs="Arial"/>
        </w:rPr>
        <w:t xml:space="preserve"> below</w:t>
      </w:r>
      <w:r w:rsidR="00120829" w:rsidRPr="00266EB2">
        <w:rPr>
          <w:rFonts w:cs="Arial"/>
        </w:rPr>
        <w:t xml:space="preserve"> using categories described by</w:t>
      </w:r>
      <w:r w:rsidR="006E4939" w:rsidRPr="00266EB2">
        <w:rPr>
          <w:rFonts w:cs="Arial"/>
        </w:rPr>
        <w:t xml:space="preserve"> La Montagne et al. </w:t>
      </w:r>
      <w:r w:rsidR="00AB2546" w:rsidRPr="00266EB2">
        <w:rPr>
          <w:rFonts w:cs="Arial"/>
        </w:rPr>
        <w:fldChar w:fldCharType="begin"/>
      </w:r>
      <w:r w:rsidR="006E4939" w:rsidRPr="00266EB2">
        <w:rPr>
          <w:rFonts w:cs="Arial"/>
        </w:rPr>
        <w:instrText xml:space="preserve"> ADDIN EN.CITE &lt;EndNote&gt;&lt;Cite ExcludeAuth="1"&gt;&lt;Author&gt;LaMontagne&lt;/Author&gt;&lt;Year&gt;2008&lt;/Year&gt;&lt;RecNum&gt;1071&lt;/RecNum&gt;&lt;DisplayText&gt;(2008)&lt;/DisplayText&gt;&lt;record&gt;&lt;rec-number&gt;1071&lt;/rec-number&gt;&lt;foreign-keys&gt;&lt;key app="EN" db-id="sx9edz2tiw2008erzw75s5a65aepf9d2pvs9"&gt;1071&lt;/key&gt;&lt;/foreign-keys&gt;&lt;ref-type name="Journal Article"&gt;17&lt;/ref-type&gt;&lt;contributors&gt;&lt;authors&gt;&lt;author&gt;LaMontagne, A.D.&lt;/author&gt;&lt;author&gt;Vallance, D.&lt;/author&gt;&lt;author&gt;Keegel, T.&lt;/author&gt;&lt;/authors&gt;&lt;/contributors&gt;&lt;titles&gt;&lt;title&gt;Occupational Skill Level and Hazardous Exposures among Working Victorians&lt;/title&gt;&lt;secondary-title&gt;Australian Journal of Labour Economics &lt;/secondary-title&gt;&lt;/titles&gt;&lt;periodical&gt;&lt;full-title&gt;Australian Journal of Labour Economics&lt;/full-title&gt;&lt;/periodical&gt;&lt;pages&gt;47-70&lt;/pages&gt;&lt;volume&gt;11&lt;/volume&gt;&lt;keywords&gt;&lt;keyword&gt;Occupational hazards&lt;/keyword&gt;&lt;keyword&gt;Skill level&lt;/keyword&gt;&lt;keyword&gt;High exposure&lt;/keyword&gt;&lt;keyword&gt;Occupations&lt;/keyword&gt;&lt;keyword&gt;Health inequalities&lt;/keyword&gt;&lt;keyword&gt;Population-based telephone survey&lt;/keyword&gt;&lt;/keywords&gt;&lt;dates&gt;&lt;year&gt;2008&lt;/year&gt;&lt;/dates&gt;&lt;urls&gt;&lt;related-urls&gt;&lt;url&gt;http://www.business.curtin.edu.au/files/248keegel4.pdf&lt;/url&gt;&lt;/related-urls&gt;&lt;/urls&gt;&lt;/record&gt;&lt;/Cite&gt;&lt;/EndNote&gt;</w:instrText>
      </w:r>
      <w:r w:rsidR="00AB2546" w:rsidRPr="00266EB2">
        <w:rPr>
          <w:rFonts w:cs="Arial"/>
        </w:rPr>
        <w:fldChar w:fldCharType="separate"/>
      </w:r>
      <w:r w:rsidR="006E4939" w:rsidRPr="00266EB2">
        <w:rPr>
          <w:rFonts w:cs="Arial"/>
          <w:noProof/>
        </w:rPr>
        <w:t>(</w:t>
      </w:r>
      <w:hyperlink w:anchor="_ENREF_15" w:tooltip="LaMontagne, 2008 #1071" w:history="1">
        <w:r w:rsidR="008E2C8E" w:rsidRPr="00266EB2">
          <w:rPr>
            <w:rFonts w:cs="Arial"/>
            <w:noProof/>
          </w:rPr>
          <w:t>2008</w:t>
        </w:r>
      </w:hyperlink>
      <w:r w:rsidR="006E4939" w:rsidRPr="00266EB2">
        <w:rPr>
          <w:rFonts w:cs="Arial"/>
          <w:noProof/>
        </w:rPr>
        <w:t>)</w:t>
      </w:r>
      <w:r w:rsidR="00AB2546" w:rsidRPr="00266EB2">
        <w:rPr>
          <w:rFonts w:cs="Arial"/>
        </w:rPr>
        <w:fldChar w:fldCharType="end"/>
      </w:r>
      <w:r w:rsidR="00E731E7" w:rsidRPr="00266EB2">
        <w:rPr>
          <w:rFonts w:cs="Arial"/>
        </w:rPr>
        <w:t>.</w:t>
      </w:r>
    </w:p>
    <w:p w:rsidR="003945E5" w:rsidRPr="00266EB2" w:rsidRDefault="003945E5" w:rsidP="00E97B23">
      <w:pPr>
        <w:numPr>
          <w:ilvl w:val="0"/>
          <w:numId w:val="6"/>
        </w:numPr>
        <w:ind w:left="567" w:hanging="567"/>
        <w:rPr>
          <w:rFonts w:cs="Arial"/>
        </w:rPr>
      </w:pPr>
      <w:r w:rsidRPr="00266EB2">
        <w:rPr>
          <w:rFonts w:cs="Arial"/>
        </w:rPr>
        <w:t>Occupational Skill Level 1 (Manager</w:t>
      </w:r>
      <w:r w:rsidR="006E4939" w:rsidRPr="00266EB2">
        <w:rPr>
          <w:rFonts w:cs="Arial"/>
        </w:rPr>
        <w:t>s</w:t>
      </w:r>
      <w:r w:rsidRPr="00266EB2">
        <w:rPr>
          <w:rFonts w:cs="Arial"/>
        </w:rPr>
        <w:t xml:space="preserve"> and professional</w:t>
      </w:r>
      <w:r w:rsidR="006E4939" w:rsidRPr="00266EB2">
        <w:rPr>
          <w:rFonts w:cs="Arial"/>
        </w:rPr>
        <w:t>s</w:t>
      </w:r>
      <w:r w:rsidRPr="00266EB2">
        <w:rPr>
          <w:rFonts w:cs="Arial"/>
        </w:rPr>
        <w:t>) is the highest skill level, usually commensurate with a bachelor degree or higher qualification or greater than five years of relevant experience. This group includes professionals and managers.</w:t>
      </w:r>
    </w:p>
    <w:p w:rsidR="003945E5" w:rsidRPr="00266EB2" w:rsidRDefault="003945E5" w:rsidP="00E97B23">
      <w:pPr>
        <w:numPr>
          <w:ilvl w:val="0"/>
          <w:numId w:val="4"/>
        </w:numPr>
        <w:ind w:left="567" w:hanging="567"/>
        <w:rPr>
          <w:rFonts w:cs="Arial"/>
        </w:rPr>
      </w:pPr>
      <w:r w:rsidRPr="00266EB2">
        <w:rPr>
          <w:rFonts w:cs="Arial"/>
        </w:rPr>
        <w:t>Occupational Skill Le</w:t>
      </w:r>
      <w:r w:rsidR="006E4939" w:rsidRPr="00266EB2">
        <w:rPr>
          <w:rFonts w:cs="Arial"/>
        </w:rPr>
        <w:t>vel 2 (Technicians and associate</w:t>
      </w:r>
      <w:r w:rsidRPr="00266EB2">
        <w:rPr>
          <w:rFonts w:cs="Arial"/>
        </w:rPr>
        <w:t xml:space="preserve"> professional work</w:t>
      </w:r>
      <w:r w:rsidR="006E4939" w:rsidRPr="00266EB2">
        <w:rPr>
          <w:rFonts w:cs="Arial"/>
        </w:rPr>
        <w:t>ers</w:t>
      </w:r>
      <w:r w:rsidRPr="00266EB2">
        <w:rPr>
          <w:rFonts w:cs="Arial"/>
        </w:rPr>
        <w:t>) includes occupations usually requiring an associate degree, advanced diploma, diploma or greater than three years of relevant experience. This group includes associate professionals, advanced trades, skilled clerical, community and personal service occupations.</w:t>
      </w:r>
    </w:p>
    <w:p w:rsidR="003945E5" w:rsidRPr="00266EB2" w:rsidRDefault="003945E5" w:rsidP="00E97B23">
      <w:pPr>
        <w:numPr>
          <w:ilvl w:val="0"/>
          <w:numId w:val="4"/>
        </w:numPr>
        <w:ind w:left="567" w:hanging="567"/>
        <w:rPr>
          <w:rFonts w:cs="Arial"/>
        </w:rPr>
      </w:pPr>
      <w:r w:rsidRPr="00266EB2">
        <w:rPr>
          <w:rFonts w:cs="Arial"/>
        </w:rPr>
        <w:t>Occupational Skill Level 3 (Tradesperson or related work</w:t>
      </w:r>
      <w:r w:rsidR="006E4939" w:rsidRPr="00266EB2">
        <w:rPr>
          <w:rFonts w:cs="Arial"/>
        </w:rPr>
        <w:t>ers</w:t>
      </w:r>
      <w:r w:rsidRPr="00266EB2">
        <w:rPr>
          <w:rFonts w:cs="Arial"/>
        </w:rPr>
        <w:t xml:space="preserve"> and advanced clerical or service work</w:t>
      </w:r>
      <w:r w:rsidR="006E4939" w:rsidRPr="00266EB2">
        <w:rPr>
          <w:rFonts w:cs="Arial"/>
        </w:rPr>
        <w:t>ers</w:t>
      </w:r>
      <w:r w:rsidRPr="00266EB2">
        <w:rPr>
          <w:rFonts w:cs="Arial"/>
        </w:rPr>
        <w:t>) includes occupations usually requiring Australian Qualifications Framework (AQF) certificate III with on the-job-training, AQF certificate IV or at least 3 years of relevant experience. This group includes trades and technical occupations.</w:t>
      </w:r>
    </w:p>
    <w:p w:rsidR="003945E5" w:rsidRPr="00266EB2" w:rsidRDefault="003945E5" w:rsidP="00E97B23">
      <w:pPr>
        <w:numPr>
          <w:ilvl w:val="0"/>
          <w:numId w:val="4"/>
        </w:numPr>
        <w:ind w:left="567" w:hanging="567"/>
        <w:rPr>
          <w:rFonts w:cs="Arial"/>
        </w:rPr>
      </w:pPr>
      <w:r w:rsidRPr="00266EB2">
        <w:rPr>
          <w:rFonts w:cs="Arial"/>
        </w:rPr>
        <w:t>Occupational Skill Level 4 (Intermediate clerical, sales or service work</w:t>
      </w:r>
      <w:r w:rsidR="006E4939" w:rsidRPr="00266EB2">
        <w:rPr>
          <w:rFonts w:cs="Arial"/>
        </w:rPr>
        <w:t>ers</w:t>
      </w:r>
      <w:r w:rsidRPr="00266EB2">
        <w:rPr>
          <w:rFonts w:cs="Arial"/>
        </w:rPr>
        <w:t xml:space="preserve"> and intermediate plant operator</w:t>
      </w:r>
      <w:r w:rsidR="006E4939" w:rsidRPr="00266EB2">
        <w:rPr>
          <w:rFonts w:cs="Arial"/>
        </w:rPr>
        <w:t xml:space="preserve"> </w:t>
      </w:r>
      <w:r w:rsidRPr="00266EB2">
        <w:rPr>
          <w:rFonts w:cs="Arial"/>
        </w:rPr>
        <w:t>/</w:t>
      </w:r>
      <w:r w:rsidR="006E4939" w:rsidRPr="00266EB2">
        <w:rPr>
          <w:rFonts w:cs="Arial"/>
        </w:rPr>
        <w:t xml:space="preserve"> </w:t>
      </w:r>
      <w:r w:rsidRPr="00266EB2">
        <w:rPr>
          <w:rFonts w:cs="Arial"/>
        </w:rPr>
        <w:t>transport work</w:t>
      </w:r>
      <w:r w:rsidR="006E4939" w:rsidRPr="00266EB2">
        <w:rPr>
          <w:rFonts w:cs="Arial"/>
        </w:rPr>
        <w:t>ers</w:t>
      </w:r>
      <w:r w:rsidRPr="00266EB2">
        <w:rPr>
          <w:rFonts w:cs="Arial"/>
        </w:rPr>
        <w:t>) includes occupations normally requiring AQF certificate II or III or at least one year of relevant experience. This group includes intermediate sales and clerical</w:t>
      </w:r>
      <w:r w:rsidR="006E4939" w:rsidRPr="00266EB2">
        <w:rPr>
          <w:rFonts w:cs="Arial"/>
        </w:rPr>
        <w:t xml:space="preserve"> </w:t>
      </w:r>
      <w:r w:rsidRPr="00266EB2">
        <w:rPr>
          <w:rFonts w:cs="Arial"/>
        </w:rPr>
        <w:t>/</w:t>
      </w:r>
      <w:r w:rsidR="006E4939" w:rsidRPr="00266EB2">
        <w:rPr>
          <w:rFonts w:cs="Arial"/>
        </w:rPr>
        <w:t xml:space="preserve"> </w:t>
      </w:r>
      <w:r w:rsidRPr="00266EB2">
        <w:rPr>
          <w:rFonts w:cs="Arial"/>
        </w:rPr>
        <w:t>administrative and service occupations.</w:t>
      </w:r>
    </w:p>
    <w:p w:rsidR="003945E5" w:rsidRPr="00266EB2" w:rsidRDefault="003945E5" w:rsidP="00E97B23">
      <w:pPr>
        <w:numPr>
          <w:ilvl w:val="0"/>
          <w:numId w:val="4"/>
        </w:numPr>
        <w:ind w:left="567" w:hanging="567"/>
        <w:rPr>
          <w:rFonts w:cs="Arial"/>
        </w:rPr>
      </w:pPr>
      <w:r w:rsidRPr="00266EB2">
        <w:rPr>
          <w:rFonts w:cs="Arial"/>
        </w:rPr>
        <w:t>Occupational Skill Level 5 (Elementary clerical, sales or service wor</w:t>
      </w:r>
      <w:r w:rsidR="006E4939" w:rsidRPr="00266EB2">
        <w:rPr>
          <w:rFonts w:cs="Arial"/>
        </w:rPr>
        <w:t>kers</w:t>
      </w:r>
      <w:r w:rsidRPr="00266EB2">
        <w:rPr>
          <w:rFonts w:cs="Arial"/>
        </w:rPr>
        <w:t xml:space="preserve"> and labourer or related work</w:t>
      </w:r>
      <w:r w:rsidR="006E4939" w:rsidRPr="00266EB2">
        <w:rPr>
          <w:rFonts w:cs="Arial"/>
        </w:rPr>
        <w:t>ers</w:t>
      </w:r>
      <w:r w:rsidRPr="00266EB2">
        <w:rPr>
          <w:rFonts w:cs="Arial"/>
        </w:rPr>
        <w:t xml:space="preserve">) includes occupations normally requiring AQF Certificate I, compulsory secondary education and elementary on-the-job training. This group also includes occupations with no formal qualification or on-the job training requirements. This group includes elementary clerical and sales occupations, machine operators and labourers. </w:t>
      </w:r>
    </w:p>
    <w:p w:rsidR="005B7991" w:rsidRPr="00266EB2" w:rsidRDefault="003945E5" w:rsidP="003945E5">
      <w:pPr>
        <w:rPr>
          <w:rFonts w:cs="Arial"/>
        </w:rPr>
      </w:pPr>
      <w:r w:rsidRPr="00266EB2">
        <w:rPr>
          <w:rFonts w:cs="Arial"/>
        </w:rPr>
        <w:t xml:space="preserve">Among </w:t>
      </w:r>
      <w:r w:rsidR="005B7991" w:rsidRPr="00266EB2">
        <w:rPr>
          <w:rFonts w:cs="Arial"/>
        </w:rPr>
        <w:t xml:space="preserve">NHEWS </w:t>
      </w:r>
      <w:r w:rsidRPr="00266EB2">
        <w:rPr>
          <w:rFonts w:cs="Arial"/>
        </w:rPr>
        <w:t xml:space="preserve">respondents, </w:t>
      </w:r>
      <w:r w:rsidR="005B7991" w:rsidRPr="00266EB2">
        <w:rPr>
          <w:rFonts w:cs="Arial"/>
        </w:rPr>
        <w:t xml:space="preserve">the </w:t>
      </w:r>
      <w:r w:rsidR="004B6880" w:rsidRPr="00266EB2">
        <w:rPr>
          <w:rFonts w:cs="Arial"/>
        </w:rPr>
        <w:t xml:space="preserve">types of chemicals workers reported exposure to varied between workers of different occupational skill levels </w:t>
      </w:r>
      <w:r w:rsidRPr="00266EB2">
        <w:rPr>
          <w:rFonts w:cs="Arial"/>
        </w:rPr>
        <w:t>(</w:t>
      </w:r>
      <w:fldSimple w:instr=" REF _Ref309913249 \h  \* MERGEFORMAT ">
        <w:r w:rsidR="00266EB2" w:rsidRPr="00266EB2">
          <w:t xml:space="preserve">Figure </w:t>
        </w:r>
        <w:r w:rsidR="00266EB2">
          <w:rPr>
            <w:noProof/>
          </w:rPr>
          <w:t>5</w:t>
        </w:r>
      </w:fldSimple>
      <w:r w:rsidRPr="00266EB2">
        <w:rPr>
          <w:rFonts w:cs="Arial"/>
        </w:rPr>
        <w:t xml:space="preserve">). </w:t>
      </w:r>
      <w:r w:rsidR="004B6880" w:rsidRPr="00266EB2">
        <w:rPr>
          <w:rFonts w:cs="Arial"/>
        </w:rPr>
        <w:t>Much larger percentages of the lowest skilled workers (</w:t>
      </w:r>
      <w:r w:rsidR="005478A5" w:rsidRPr="00266EB2">
        <w:rPr>
          <w:rFonts w:cs="Arial"/>
        </w:rPr>
        <w:t>s</w:t>
      </w:r>
      <w:r w:rsidR="004B6880" w:rsidRPr="00266EB2">
        <w:rPr>
          <w:rFonts w:cs="Arial"/>
        </w:rPr>
        <w:t xml:space="preserve">kill </w:t>
      </w:r>
      <w:r w:rsidR="005478A5" w:rsidRPr="00266EB2">
        <w:rPr>
          <w:rFonts w:cs="Arial"/>
        </w:rPr>
        <w:t>l</w:t>
      </w:r>
      <w:r w:rsidR="004B6880" w:rsidRPr="00266EB2">
        <w:rPr>
          <w:rFonts w:cs="Arial"/>
        </w:rPr>
        <w:t xml:space="preserve">evel </w:t>
      </w:r>
      <w:r w:rsidR="005478A5" w:rsidRPr="00266EB2">
        <w:rPr>
          <w:rFonts w:cs="Arial"/>
        </w:rPr>
        <w:t>five</w:t>
      </w:r>
      <w:r w:rsidR="004B6880" w:rsidRPr="00266EB2">
        <w:rPr>
          <w:rFonts w:cs="Arial"/>
        </w:rPr>
        <w:t xml:space="preserve">, </w:t>
      </w:r>
      <w:r w:rsidR="005478A5" w:rsidRPr="00266EB2">
        <w:rPr>
          <w:rFonts w:cs="Arial"/>
        </w:rPr>
        <w:t>e</w:t>
      </w:r>
      <w:r w:rsidR="004B6880" w:rsidRPr="00266EB2">
        <w:rPr>
          <w:rFonts w:cs="Arial"/>
        </w:rPr>
        <w:t>lementary clerical, sales or service work and labourer or related work)</w:t>
      </w:r>
      <w:r w:rsidR="005478A5" w:rsidRPr="00266EB2">
        <w:rPr>
          <w:rFonts w:cs="Arial"/>
        </w:rPr>
        <w:t xml:space="preserve"> compared to workers of higher skill level,</w:t>
      </w:r>
      <w:r w:rsidR="004B6880" w:rsidRPr="00266EB2">
        <w:rPr>
          <w:rFonts w:cs="Arial"/>
        </w:rPr>
        <w:t xml:space="preserve"> reported exposure to </w:t>
      </w:r>
      <w:r w:rsidR="00095CDE" w:rsidRPr="00266EB2">
        <w:rPr>
          <w:rFonts w:cs="Arial"/>
          <w:i/>
        </w:rPr>
        <w:t>Bases and alkalis</w:t>
      </w:r>
      <w:r w:rsidR="005B7991" w:rsidRPr="00266EB2">
        <w:rPr>
          <w:rFonts w:cs="Arial"/>
        </w:rPr>
        <w:t xml:space="preserve"> </w:t>
      </w:r>
      <w:r w:rsidR="005478A5" w:rsidRPr="00266EB2">
        <w:rPr>
          <w:rFonts w:cs="Arial"/>
        </w:rPr>
        <w:t>and</w:t>
      </w:r>
      <w:r w:rsidR="005B7991" w:rsidRPr="00266EB2">
        <w:rPr>
          <w:rFonts w:cs="Arial"/>
        </w:rPr>
        <w:t xml:space="preserve"> </w:t>
      </w:r>
      <w:r w:rsidR="00095CDE" w:rsidRPr="00266EB2">
        <w:rPr>
          <w:rFonts w:cs="Arial"/>
          <w:i/>
        </w:rPr>
        <w:t>Detergents</w:t>
      </w:r>
      <w:r w:rsidR="005B7991" w:rsidRPr="00266EB2">
        <w:rPr>
          <w:rFonts w:cs="Arial"/>
        </w:rPr>
        <w:t>.</w:t>
      </w:r>
      <w:r w:rsidR="0036074D" w:rsidRPr="00266EB2">
        <w:rPr>
          <w:rFonts w:cs="Arial"/>
        </w:rPr>
        <w:t xml:space="preserve"> </w:t>
      </w:r>
      <w:r w:rsidR="005478A5" w:rsidRPr="00266EB2">
        <w:rPr>
          <w:rFonts w:cs="Arial"/>
        </w:rPr>
        <w:t xml:space="preserve">In contrast, considerably greater percentages of workers in skill level three (tradesperson or related work and advanced clerical or service work) reported exposure to </w:t>
      </w:r>
      <w:r w:rsidR="003517A5" w:rsidRPr="00266EB2">
        <w:rPr>
          <w:rFonts w:cs="Arial"/>
          <w:i/>
        </w:rPr>
        <w:t>Non-bituminous hydrocarbon fuels</w:t>
      </w:r>
      <w:r w:rsidR="005B7991" w:rsidRPr="00266EB2">
        <w:rPr>
          <w:rFonts w:cs="Arial"/>
        </w:rPr>
        <w:t xml:space="preserve">, </w:t>
      </w:r>
      <w:r w:rsidR="003517A5" w:rsidRPr="00266EB2">
        <w:rPr>
          <w:rFonts w:cs="Arial"/>
          <w:i/>
        </w:rPr>
        <w:t>Paints, varnishes and inks</w:t>
      </w:r>
      <w:r w:rsidR="005B7991" w:rsidRPr="00266EB2">
        <w:rPr>
          <w:rFonts w:cs="Arial"/>
        </w:rPr>
        <w:t xml:space="preserve">, </w:t>
      </w:r>
      <w:r w:rsidR="003517A5" w:rsidRPr="00266EB2">
        <w:rPr>
          <w:rFonts w:cs="Arial"/>
          <w:i/>
        </w:rPr>
        <w:t>Organic solvents</w:t>
      </w:r>
      <w:r w:rsidR="005B7991" w:rsidRPr="00266EB2">
        <w:rPr>
          <w:rFonts w:cs="Arial"/>
        </w:rPr>
        <w:t xml:space="preserve"> and </w:t>
      </w:r>
      <w:r w:rsidR="00610AAC" w:rsidRPr="00266EB2">
        <w:rPr>
          <w:rFonts w:cs="Arial"/>
          <w:i/>
        </w:rPr>
        <w:t>Cement and lime</w:t>
      </w:r>
      <w:r w:rsidR="005478A5" w:rsidRPr="00266EB2">
        <w:rPr>
          <w:rFonts w:cs="Arial"/>
        </w:rPr>
        <w:t xml:space="preserve"> than workers of other skill levels</w:t>
      </w:r>
      <w:r w:rsidR="001148DE" w:rsidRPr="00266EB2">
        <w:rPr>
          <w:rFonts w:cs="Arial"/>
        </w:rPr>
        <w:t xml:space="preserve">. </w:t>
      </w:r>
      <w:r w:rsidR="00DC36F8" w:rsidRPr="00266EB2">
        <w:rPr>
          <w:rFonts w:cs="Arial"/>
        </w:rPr>
        <w:t xml:space="preserve">In the case of all four of these </w:t>
      </w:r>
      <w:r w:rsidR="005478A5" w:rsidRPr="00266EB2">
        <w:rPr>
          <w:rFonts w:cs="Arial"/>
        </w:rPr>
        <w:t>chemical</w:t>
      </w:r>
      <w:r w:rsidR="00DC36F8" w:rsidRPr="00266EB2">
        <w:rPr>
          <w:rFonts w:cs="Arial"/>
        </w:rPr>
        <w:t xml:space="preserve"> groups, </w:t>
      </w:r>
      <w:r w:rsidR="005478A5" w:rsidRPr="00266EB2">
        <w:rPr>
          <w:rFonts w:cs="Arial"/>
        </w:rPr>
        <w:t>occupational s</w:t>
      </w:r>
      <w:r w:rsidR="00DC36F8" w:rsidRPr="00266EB2">
        <w:rPr>
          <w:rFonts w:cs="Arial"/>
        </w:rPr>
        <w:t xml:space="preserve">kill </w:t>
      </w:r>
      <w:r w:rsidR="005478A5" w:rsidRPr="00266EB2">
        <w:rPr>
          <w:rFonts w:cs="Arial"/>
        </w:rPr>
        <w:t>l</w:t>
      </w:r>
      <w:r w:rsidR="00DC36F8" w:rsidRPr="00266EB2">
        <w:rPr>
          <w:rFonts w:cs="Arial"/>
        </w:rPr>
        <w:t xml:space="preserve">evel </w:t>
      </w:r>
      <w:r w:rsidR="005478A5" w:rsidRPr="00266EB2">
        <w:rPr>
          <w:rFonts w:cs="Arial"/>
        </w:rPr>
        <w:t>five recorded the second highest percentage of workers who reported exposure</w:t>
      </w:r>
      <w:r w:rsidR="00DC36F8" w:rsidRPr="00266EB2">
        <w:rPr>
          <w:rFonts w:cs="Arial"/>
        </w:rPr>
        <w:t>.</w:t>
      </w:r>
    </w:p>
    <w:p w:rsidR="003945E5" w:rsidRPr="00266EB2" w:rsidRDefault="003945E5" w:rsidP="003945E5">
      <w:pPr>
        <w:rPr>
          <w:rFonts w:cs="Arial"/>
        </w:rPr>
      </w:pPr>
    </w:p>
    <w:p w:rsidR="00703D90" w:rsidRPr="00266EB2" w:rsidRDefault="00703D90" w:rsidP="00703D90">
      <w:pPr>
        <w:pStyle w:val="Heading4"/>
      </w:pPr>
      <w:r w:rsidRPr="00266EB2">
        <w:rPr>
          <w:rFonts w:cs="Arial"/>
          <w:noProof/>
          <w:lang w:eastAsia="en-AU"/>
        </w:rPr>
        <w:lastRenderedPageBreak/>
        <w:drawing>
          <wp:inline distT="0" distB="0" distL="0" distR="0">
            <wp:extent cx="5762625" cy="2724150"/>
            <wp:effectExtent l="0" t="0" r="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17B4" w:rsidRPr="00266EB2" w:rsidRDefault="00703D90" w:rsidP="00703D90">
      <w:pPr>
        <w:pStyle w:val="Caption"/>
        <w:rPr>
          <w:rFonts w:cs="Arial"/>
          <w:noProof/>
          <w:lang w:eastAsia="en-AU"/>
        </w:rPr>
      </w:pPr>
      <w:bookmarkStart w:id="60" w:name="_Ref309913249"/>
      <w:bookmarkStart w:id="61" w:name="_Toc314730510"/>
      <w:r w:rsidRPr="00266EB2">
        <w:t xml:space="preserve">Figure </w:t>
      </w:r>
      <w:r w:rsidR="00AB2546" w:rsidRPr="00266EB2">
        <w:fldChar w:fldCharType="begin"/>
      </w:r>
      <w:r w:rsidRPr="00266EB2">
        <w:instrText xml:space="preserve"> SEQ Figure \* ARABIC </w:instrText>
      </w:r>
      <w:r w:rsidR="00AB2546" w:rsidRPr="00266EB2">
        <w:fldChar w:fldCharType="separate"/>
      </w:r>
      <w:r w:rsidR="00266EB2">
        <w:rPr>
          <w:noProof/>
        </w:rPr>
        <w:t>5</w:t>
      </w:r>
      <w:r w:rsidR="00AB2546" w:rsidRPr="00266EB2">
        <w:fldChar w:fldCharType="end"/>
      </w:r>
      <w:bookmarkEnd w:id="60"/>
      <w:r w:rsidRPr="00266EB2">
        <w:t>. The types of self-reported chemical exposure by worker occupational skill level</w:t>
      </w:r>
      <w:bookmarkEnd w:id="61"/>
    </w:p>
    <w:p w:rsidR="00BF6838" w:rsidRPr="00266EB2" w:rsidRDefault="00D64897" w:rsidP="00904BCF">
      <w:pPr>
        <w:pStyle w:val="Heading3"/>
      </w:pPr>
      <w:bookmarkStart w:id="62" w:name="_Toc312075708"/>
      <w:r w:rsidRPr="00266EB2">
        <w:t>Workplace size</w:t>
      </w:r>
      <w:bookmarkEnd w:id="62"/>
    </w:p>
    <w:p w:rsidR="00BF6838" w:rsidRPr="00266EB2" w:rsidRDefault="00BF6838" w:rsidP="00BF6838">
      <w:pPr>
        <w:rPr>
          <w:rFonts w:cs="Arial"/>
        </w:rPr>
      </w:pPr>
      <w:r w:rsidRPr="00266EB2">
        <w:rPr>
          <w:rFonts w:cs="Arial"/>
        </w:rPr>
        <w:t xml:space="preserve">There were </w:t>
      </w:r>
      <w:r w:rsidR="00971245" w:rsidRPr="00266EB2">
        <w:rPr>
          <w:rFonts w:cs="Arial"/>
        </w:rPr>
        <w:t>noticeable</w:t>
      </w:r>
      <w:r w:rsidRPr="00266EB2">
        <w:rPr>
          <w:rFonts w:cs="Arial"/>
        </w:rPr>
        <w:t xml:space="preserve"> differences </w:t>
      </w:r>
      <w:r w:rsidR="007F2EDE" w:rsidRPr="00266EB2">
        <w:rPr>
          <w:rFonts w:cs="Arial"/>
        </w:rPr>
        <w:t xml:space="preserve">in the percentages of workers who reported exposure to the main types of chemicals when patterns of </w:t>
      </w:r>
      <w:r w:rsidR="0004193E" w:rsidRPr="00266EB2">
        <w:rPr>
          <w:rFonts w:cs="Arial"/>
        </w:rPr>
        <w:t xml:space="preserve">self-reported </w:t>
      </w:r>
      <w:r w:rsidR="007F2EDE" w:rsidRPr="00266EB2">
        <w:rPr>
          <w:rFonts w:cs="Arial"/>
        </w:rPr>
        <w:t>exposure within workplace size (as measured by</w:t>
      </w:r>
      <w:r w:rsidRPr="00266EB2">
        <w:rPr>
          <w:rFonts w:cs="Arial"/>
        </w:rPr>
        <w:t xml:space="preserve"> the number of employees in the respondent’s workplace</w:t>
      </w:r>
      <w:r w:rsidR="007F2EDE" w:rsidRPr="00266EB2">
        <w:rPr>
          <w:rFonts w:cs="Arial"/>
        </w:rPr>
        <w:t>) were examined</w:t>
      </w:r>
      <w:r w:rsidR="00F10E8B" w:rsidRPr="00266EB2">
        <w:rPr>
          <w:rFonts w:cs="Arial"/>
        </w:rPr>
        <w:t xml:space="preserve"> (</w:t>
      </w:r>
      <w:fldSimple w:instr=" REF _Ref309918961 \h  \* MERGEFORMAT ">
        <w:r w:rsidR="00266EB2" w:rsidRPr="00266EB2">
          <w:t xml:space="preserve">Figure </w:t>
        </w:r>
        <w:r w:rsidR="00266EB2">
          <w:rPr>
            <w:noProof/>
          </w:rPr>
          <w:t>6</w:t>
        </w:r>
      </w:fldSimple>
      <w:r w:rsidR="00F10E8B" w:rsidRPr="00266EB2">
        <w:rPr>
          <w:rFonts w:cs="Arial"/>
        </w:rPr>
        <w:t>)</w:t>
      </w:r>
      <w:r w:rsidRPr="00266EB2">
        <w:rPr>
          <w:rFonts w:cs="Arial"/>
        </w:rPr>
        <w:t xml:space="preserve">. </w:t>
      </w:r>
      <w:r w:rsidR="0004193E" w:rsidRPr="00266EB2">
        <w:rPr>
          <w:rFonts w:cs="Arial"/>
        </w:rPr>
        <w:t xml:space="preserve">Larger percentages of workers in the smallest workplaces (&lt; five employees) than in the larger workplaces reported exposure to </w:t>
      </w:r>
      <w:r w:rsidR="00610AAC" w:rsidRPr="00266EB2">
        <w:rPr>
          <w:rFonts w:cs="Arial"/>
          <w:i/>
        </w:rPr>
        <w:t>Cement and lime</w:t>
      </w:r>
      <w:r w:rsidR="0004193E" w:rsidRPr="00266EB2">
        <w:rPr>
          <w:rFonts w:cs="Arial"/>
        </w:rPr>
        <w:t xml:space="preserve"> and the percentage of workers who reported exposure to this chemical group declined</w:t>
      </w:r>
      <w:r w:rsidR="00130B62" w:rsidRPr="00266EB2">
        <w:rPr>
          <w:rFonts w:cs="Arial"/>
        </w:rPr>
        <w:t xml:space="preserve"> considerably with </w:t>
      </w:r>
      <w:r w:rsidRPr="00266EB2">
        <w:rPr>
          <w:rFonts w:cs="Arial"/>
        </w:rPr>
        <w:t xml:space="preserve">increasing workplace size. This may </w:t>
      </w:r>
      <w:r w:rsidR="002A0B87" w:rsidRPr="00266EB2">
        <w:rPr>
          <w:rFonts w:cs="Arial"/>
        </w:rPr>
        <w:t xml:space="preserve">due to </w:t>
      </w:r>
      <w:r w:rsidRPr="00266EB2">
        <w:rPr>
          <w:rFonts w:cs="Arial"/>
        </w:rPr>
        <w:t xml:space="preserve">the structure of the </w:t>
      </w:r>
      <w:r w:rsidRPr="00266EB2">
        <w:rPr>
          <w:rFonts w:cs="Arial"/>
          <w:i/>
        </w:rPr>
        <w:t>Construction</w:t>
      </w:r>
      <w:r w:rsidRPr="00266EB2">
        <w:rPr>
          <w:rFonts w:cs="Arial"/>
        </w:rPr>
        <w:t xml:space="preserve"> industry</w:t>
      </w:r>
      <w:r w:rsidR="004E1F3C" w:rsidRPr="00266EB2">
        <w:rPr>
          <w:rFonts w:cs="Arial"/>
        </w:rPr>
        <w:t>, a sector in which small contractors are common</w:t>
      </w:r>
      <w:r w:rsidRPr="00266EB2">
        <w:rPr>
          <w:rFonts w:cs="Arial"/>
        </w:rPr>
        <w:t xml:space="preserve">. A similar pattern could also be seen for </w:t>
      </w:r>
      <w:r w:rsidR="003517A5" w:rsidRPr="00266EB2">
        <w:rPr>
          <w:rFonts w:cs="Arial"/>
          <w:i/>
        </w:rPr>
        <w:t>Paints, varnishes and inks</w:t>
      </w:r>
      <w:r w:rsidRPr="00266EB2">
        <w:rPr>
          <w:rFonts w:cs="Arial"/>
        </w:rPr>
        <w:t xml:space="preserve"> and </w:t>
      </w:r>
      <w:r w:rsidR="003517A5" w:rsidRPr="00266EB2">
        <w:rPr>
          <w:rFonts w:cs="Arial"/>
          <w:i/>
        </w:rPr>
        <w:t>Non-bituminous hydrocarbon fuels</w:t>
      </w:r>
      <w:r w:rsidRPr="00266EB2">
        <w:rPr>
          <w:rFonts w:cs="Arial"/>
        </w:rPr>
        <w:t xml:space="preserve">, possibly for similar reasons since these exposures are also associated with the </w:t>
      </w:r>
      <w:r w:rsidRPr="00266EB2">
        <w:rPr>
          <w:rFonts w:cs="Arial"/>
          <w:i/>
        </w:rPr>
        <w:t>Construction</w:t>
      </w:r>
      <w:r w:rsidRPr="00266EB2">
        <w:rPr>
          <w:rFonts w:cs="Arial"/>
        </w:rPr>
        <w:t xml:space="preserve"> industry.</w:t>
      </w:r>
    </w:p>
    <w:p w:rsidR="00531547" w:rsidRPr="00266EB2" w:rsidRDefault="00531547" w:rsidP="00531547">
      <w:pPr>
        <w:pStyle w:val="Caption"/>
        <w:keepNext/>
      </w:pPr>
      <w:bookmarkStart w:id="63" w:name="_Ref297034538"/>
      <w:r w:rsidRPr="00266EB2">
        <w:rPr>
          <w:rFonts w:cs="Arial"/>
          <w:noProof/>
          <w:lang w:eastAsia="en-AU"/>
        </w:rPr>
        <w:drawing>
          <wp:inline distT="0" distB="0" distL="0" distR="0">
            <wp:extent cx="5648325" cy="2562225"/>
            <wp:effectExtent l="0" t="0" r="0"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1547" w:rsidRPr="00266EB2" w:rsidRDefault="00531547" w:rsidP="00971245">
      <w:pPr>
        <w:pStyle w:val="Caption"/>
        <w:spacing w:after="0"/>
      </w:pPr>
      <w:bookmarkStart w:id="64" w:name="_Ref309918961"/>
      <w:bookmarkStart w:id="65" w:name="_Toc314730511"/>
      <w:r w:rsidRPr="00266EB2">
        <w:t xml:space="preserve">Figure </w:t>
      </w:r>
      <w:fldSimple w:instr=" SEQ Figure \* ARABIC ">
        <w:r w:rsidR="00266EB2">
          <w:rPr>
            <w:noProof/>
          </w:rPr>
          <w:t>6</w:t>
        </w:r>
      </w:fldSimple>
      <w:bookmarkEnd w:id="64"/>
      <w:r w:rsidRPr="00266EB2">
        <w:t>. The types of self-reported chemical exposure by workplace size</w:t>
      </w:r>
      <w:bookmarkEnd w:id="65"/>
    </w:p>
    <w:bookmarkEnd w:id="63"/>
    <w:p w:rsidR="00BF6838" w:rsidRPr="00266EB2" w:rsidRDefault="00130B62" w:rsidP="00531547">
      <w:pPr>
        <w:spacing w:before="120"/>
        <w:rPr>
          <w:rFonts w:cs="Arial"/>
        </w:rPr>
      </w:pPr>
      <w:r w:rsidRPr="00266EB2">
        <w:rPr>
          <w:rFonts w:cs="Arial"/>
        </w:rPr>
        <w:t>Similar proportions of workers from each workplace size reported exposure to</w:t>
      </w:r>
      <w:r w:rsidR="00BF6838" w:rsidRPr="00266EB2">
        <w:rPr>
          <w:rFonts w:cs="Arial"/>
        </w:rPr>
        <w:t xml:space="preserve"> </w:t>
      </w:r>
      <w:r w:rsidR="003517A5" w:rsidRPr="00266EB2">
        <w:rPr>
          <w:rFonts w:cs="Arial"/>
          <w:i/>
        </w:rPr>
        <w:t>Organic solvents</w:t>
      </w:r>
      <w:r w:rsidR="00BF6838" w:rsidRPr="00266EB2">
        <w:rPr>
          <w:rFonts w:cs="Arial"/>
        </w:rPr>
        <w:t xml:space="preserve">, </w:t>
      </w:r>
      <w:r w:rsidR="00095CDE" w:rsidRPr="00266EB2">
        <w:rPr>
          <w:rFonts w:cs="Arial"/>
          <w:i/>
        </w:rPr>
        <w:t>Detergent</w:t>
      </w:r>
      <w:r w:rsidRPr="00266EB2">
        <w:rPr>
          <w:rFonts w:cs="Arial"/>
          <w:i/>
        </w:rPr>
        <w:t>s,</w:t>
      </w:r>
      <w:r w:rsidR="00BF6838" w:rsidRPr="00266EB2">
        <w:rPr>
          <w:rFonts w:cs="Arial"/>
        </w:rPr>
        <w:t xml:space="preserve"> </w:t>
      </w:r>
      <w:r w:rsidR="00356D9D" w:rsidRPr="00266EB2">
        <w:rPr>
          <w:rFonts w:cs="Arial"/>
          <w:i/>
        </w:rPr>
        <w:t>Disinfectants</w:t>
      </w:r>
      <w:r w:rsidR="00BF6838" w:rsidRPr="00266EB2">
        <w:rPr>
          <w:rFonts w:cs="Arial"/>
        </w:rPr>
        <w:t xml:space="preserve"> and </w:t>
      </w:r>
      <w:r w:rsidR="00095CDE" w:rsidRPr="00266EB2">
        <w:rPr>
          <w:rFonts w:cs="Arial"/>
          <w:i/>
        </w:rPr>
        <w:t>Bases and alkalis</w:t>
      </w:r>
      <w:r w:rsidRPr="00266EB2">
        <w:rPr>
          <w:rFonts w:cs="Arial"/>
        </w:rPr>
        <w:t xml:space="preserve">, although a greater percentage of workers in workplaces with five to 19 employees reported exposure to </w:t>
      </w:r>
      <w:r w:rsidRPr="00266EB2">
        <w:rPr>
          <w:rFonts w:cs="Arial"/>
          <w:i/>
        </w:rPr>
        <w:t>Detergents</w:t>
      </w:r>
      <w:r w:rsidRPr="00266EB2">
        <w:rPr>
          <w:rFonts w:cs="Arial"/>
        </w:rPr>
        <w:t xml:space="preserve"> than for other workplace sizes. The </w:t>
      </w:r>
      <w:r w:rsidR="00114BD9">
        <w:rPr>
          <w:rFonts w:cs="Arial"/>
        </w:rPr>
        <w:t>similarity of proportions across</w:t>
      </w:r>
      <w:r w:rsidRPr="00266EB2">
        <w:rPr>
          <w:rFonts w:cs="Arial"/>
        </w:rPr>
        <w:t xml:space="preserve"> workplace size may reflect the fact that c</w:t>
      </w:r>
      <w:r w:rsidR="00BF6838" w:rsidRPr="00266EB2">
        <w:rPr>
          <w:rFonts w:cs="Arial"/>
        </w:rPr>
        <w:t>leaning</w:t>
      </w:r>
      <w:r w:rsidR="00114BD9">
        <w:rPr>
          <w:rFonts w:cs="Arial"/>
        </w:rPr>
        <w:t xml:space="preserve"> is a common task in all workplaces</w:t>
      </w:r>
      <w:r w:rsidR="00BF6838" w:rsidRPr="00266EB2">
        <w:rPr>
          <w:rFonts w:cs="Arial"/>
        </w:rPr>
        <w:t xml:space="preserve">. For example </w:t>
      </w:r>
      <w:r w:rsidR="00BF6838" w:rsidRPr="00266EB2">
        <w:rPr>
          <w:rFonts w:cs="Arial"/>
          <w:i/>
        </w:rPr>
        <w:t>Health and Community Services</w:t>
      </w:r>
      <w:r w:rsidR="00BF6838" w:rsidRPr="00266EB2">
        <w:rPr>
          <w:rFonts w:cs="Arial"/>
        </w:rPr>
        <w:t xml:space="preserve">, an industrial sector with stringent cleaning requirements, includes very large workplaces such as major teaching hospitals, medium workplaces such as suburban </w:t>
      </w:r>
      <w:r w:rsidR="00BF6838" w:rsidRPr="00266EB2">
        <w:rPr>
          <w:rFonts w:cs="Arial"/>
        </w:rPr>
        <w:lastRenderedPageBreak/>
        <w:t>hospitals and nursing homes, and small workplaces such as private-practice clinics. Cleaning work is often undertaken by specialised cleaning contractor companies which may be small, medium and large businesses.</w:t>
      </w:r>
    </w:p>
    <w:p w:rsidR="00531547" w:rsidRPr="00266EB2" w:rsidRDefault="00531547" w:rsidP="00531547">
      <w:pPr>
        <w:pStyle w:val="Heading3"/>
      </w:pPr>
      <w:bookmarkStart w:id="66" w:name="_Toc312075709"/>
      <w:r w:rsidRPr="00266EB2">
        <w:t>Industry</w:t>
      </w:r>
      <w:bookmarkEnd w:id="66"/>
      <w:r w:rsidRPr="00266EB2">
        <w:t xml:space="preserve"> </w:t>
      </w:r>
    </w:p>
    <w:p w:rsidR="00531547" w:rsidRPr="00266EB2" w:rsidRDefault="00531547" w:rsidP="00531547">
      <w:r w:rsidRPr="00266EB2">
        <w:t xml:space="preserve">The percentages of workers within each industry who reported exposure to each of the seven main dermal chemical exposure categories are presented in </w:t>
      </w:r>
      <w:fldSimple w:instr=" REF _Ref309994149 \h  \* MERGEFORMAT ">
        <w:r w:rsidR="00266EB2" w:rsidRPr="00266EB2">
          <w:t xml:space="preserve">Table </w:t>
        </w:r>
        <w:r w:rsidR="00266EB2">
          <w:rPr>
            <w:noProof/>
          </w:rPr>
          <w:t>2</w:t>
        </w:r>
      </w:fldSimple>
      <w:r w:rsidRPr="00266EB2">
        <w:t>. These percentages should be interpreted with some caution as the sample size for some of the non-priority industries, e.g. Mining or Electricity, gas and water supply, were very small.</w:t>
      </w:r>
    </w:p>
    <w:p w:rsidR="00075DB6" w:rsidRPr="00266EB2" w:rsidRDefault="00075DB6" w:rsidP="00D10943">
      <w:pPr>
        <w:pStyle w:val="Heading4"/>
      </w:pPr>
      <w:r w:rsidRPr="00266EB2">
        <w:t>General patterns across chemical exposure groups</w:t>
      </w:r>
    </w:p>
    <w:p w:rsidR="005011DC" w:rsidRPr="00266EB2" w:rsidRDefault="005011DC" w:rsidP="001A172D">
      <w:r w:rsidRPr="00266EB2">
        <w:t xml:space="preserve">In line with </w:t>
      </w:r>
      <w:r w:rsidRPr="00266EB2">
        <w:rPr>
          <w:i/>
        </w:rPr>
        <w:t>Detergents</w:t>
      </w:r>
      <w:r w:rsidRPr="00266EB2">
        <w:t xml:space="preserve"> being the most commonly reported dermal chemical exposure group in the NHEWS survey, this category recorded the largest percentages of self-reported exposures within most industries. However, a considerably higher percentage of workers in the Accommodation, cafes and restaurants industry (4</w:t>
      </w:r>
      <w:r w:rsidR="00075DB6" w:rsidRPr="00266EB2">
        <w:t>6</w:t>
      </w:r>
      <w:r w:rsidRPr="00266EB2">
        <w:t>%)</w:t>
      </w:r>
      <w:r w:rsidRPr="00266EB2">
        <w:rPr>
          <w:rStyle w:val="FootnoteReference"/>
        </w:rPr>
        <w:footnoteReference w:id="5"/>
      </w:r>
      <w:r w:rsidRPr="00266EB2">
        <w:t xml:space="preserve"> reported exposure to </w:t>
      </w:r>
      <w:r w:rsidRPr="00266EB2">
        <w:rPr>
          <w:i/>
        </w:rPr>
        <w:t>Detergents</w:t>
      </w:r>
      <w:r w:rsidRPr="00266EB2">
        <w:t xml:space="preserve"> than in the other industries. Other industries in which large percentages of workers reported exposure to </w:t>
      </w:r>
      <w:r w:rsidRPr="00266EB2">
        <w:rPr>
          <w:i/>
        </w:rPr>
        <w:t>Detergents</w:t>
      </w:r>
      <w:r w:rsidRPr="00266EB2">
        <w:t xml:space="preserve"> included </w:t>
      </w:r>
      <w:r w:rsidR="00971245" w:rsidRPr="00266EB2">
        <w:t>Wholesale and retail</w:t>
      </w:r>
      <w:r w:rsidRPr="00266EB2">
        <w:t xml:space="preserve"> trade (25%) and Health and community services (23%). </w:t>
      </w:r>
    </w:p>
    <w:p w:rsidR="005011DC" w:rsidRPr="00266EB2" w:rsidRDefault="00075DB6" w:rsidP="001A172D">
      <w:r w:rsidRPr="00266EB2">
        <w:t xml:space="preserve">There were a number of industries in which noticeably larger percentages of workers reported exposure to particular chemical substances in comparison to other industries. For example, more than 20% of workers in the Construction industry reported exposure to </w:t>
      </w:r>
      <w:r w:rsidRPr="00266EB2">
        <w:rPr>
          <w:i/>
        </w:rPr>
        <w:t>Cement and lime</w:t>
      </w:r>
      <w:r w:rsidRPr="00266EB2">
        <w:t xml:space="preserve">, with the next highest industry being Agriculture, forestry and fishing where 4% of workers reported exposure. More than 22% of workers in the Health and community services industry reported exposure to </w:t>
      </w:r>
      <w:r w:rsidRPr="00266EB2">
        <w:rPr>
          <w:i/>
        </w:rPr>
        <w:t>Disinfectants</w:t>
      </w:r>
      <w:r w:rsidRPr="00266EB2">
        <w:t xml:space="preserve"> but there were also reasonably large percentages of workers who reported exposure to </w:t>
      </w:r>
      <w:r w:rsidRPr="00266EB2">
        <w:rPr>
          <w:i/>
        </w:rPr>
        <w:t>Disinfectants</w:t>
      </w:r>
      <w:r w:rsidRPr="00266EB2">
        <w:t xml:space="preserve"> in the Accommodation, cafes and restaurants (13%) and Cultural, recreational and personal services (13%) industries.</w:t>
      </w:r>
      <w:r w:rsidR="00602679" w:rsidRPr="00266EB2">
        <w:t xml:space="preserve"> Exposure to </w:t>
      </w:r>
      <w:r w:rsidR="00602679" w:rsidRPr="00266EB2">
        <w:rPr>
          <w:i/>
        </w:rPr>
        <w:t>Bases and alkalis</w:t>
      </w:r>
      <w:r w:rsidR="00602679" w:rsidRPr="00266EB2">
        <w:t xml:space="preserve"> was common in the Accommodation, cafes and restaurants industry as well as the Health and community services industry in comparison to other industries.</w:t>
      </w:r>
    </w:p>
    <w:p w:rsidR="00075DB6" w:rsidRPr="00266EB2" w:rsidRDefault="00602679" w:rsidP="001A172D">
      <w:r w:rsidRPr="00266EB2">
        <w:t xml:space="preserve">Almost 10% of workers in Construction and just over 7% of workers in Manufacturing reported exposure to </w:t>
      </w:r>
      <w:r w:rsidR="00075DB6" w:rsidRPr="00266EB2">
        <w:rPr>
          <w:i/>
        </w:rPr>
        <w:t>Paints, varnishes and inks</w:t>
      </w:r>
      <w:r w:rsidRPr="00266EB2">
        <w:t xml:space="preserve">. There were a number of industries in which similar proportions of workers reported exposure to either </w:t>
      </w:r>
      <w:r w:rsidRPr="00266EB2">
        <w:rPr>
          <w:i/>
        </w:rPr>
        <w:t>Non-bituminous hydrocarbon fuels</w:t>
      </w:r>
      <w:r w:rsidRPr="00266EB2">
        <w:t xml:space="preserve"> or </w:t>
      </w:r>
      <w:r w:rsidRPr="00266EB2">
        <w:rPr>
          <w:i/>
        </w:rPr>
        <w:t>Organic solvents</w:t>
      </w:r>
      <w:r w:rsidRPr="00266EB2">
        <w:t xml:space="preserve">, with no industry associated with significantly larger percentages of workers who reported exposure. </w:t>
      </w:r>
    </w:p>
    <w:p w:rsidR="00904BCF" w:rsidRPr="00266EB2" w:rsidRDefault="00904BCF" w:rsidP="00904BCF">
      <w:pPr>
        <w:pStyle w:val="Heading4"/>
      </w:pPr>
      <w:r w:rsidRPr="00266EB2">
        <w:t>Patterns within industries</w:t>
      </w:r>
    </w:p>
    <w:p w:rsidR="00B5417B" w:rsidRPr="00266EB2" w:rsidRDefault="00821B2B" w:rsidP="001A172D">
      <w:r w:rsidRPr="00266EB2">
        <w:rPr>
          <w:b/>
        </w:rPr>
        <w:t>Manufacturing</w:t>
      </w:r>
      <w:r w:rsidR="003D1FF3">
        <w:t xml:space="preserve">     </w:t>
      </w:r>
      <w:r w:rsidR="00B5417B" w:rsidRPr="00266EB2">
        <w:t xml:space="preserve">The most frequently reported chemical exposure in the Manufacturing industry was </w:t>
      </w:r>
      <w:r w:rsidR="003517A5" w:rsidRPr="00266EB2">
        <w:rPr>
          <w:i/>
        </w:rPr>
        <w:t>Organic solvents</w:t>
      </w:r>
      <w:r w:rsidR="00B5417B" w:rsidRPr="00266EB2">
        <w:t xml:space="preserve">, </w:t>
      </w:r>
      <w:r w:rsidRPr="00266EB2">
        <w:t>for which</w:t>
      </w:r>
      <w:r w:rsidR="00B5417B" w:rsidRPr="00266EB2">
        <w:t xml:space="preserve"> approximately 15% of workers in this industry report</w:t>
      </w:r>
      <w:r w:rsidRPr="00266EB2">
        <w:t>ed</w:t>
      </w:r>
      <w:r w:rsidR="00B5417B" w:rsidRPr="00266EB2">
        <w:t xml:space="preserve"> exposure. Other commonly reported </w:t>
      </w:r>
      <w:r w:rsidRPr="00266EB2">
        <w:t>chemicals or substances</w:t>
      </w:r>
      <w:r w:rsidR="00B5417B" w:rsidRPr="00266EB2">
        <w:t xml:space="preserve"> included </w:t>
      </w:r>
      <w:r w:rsidR="00095CDE" w:rsidRPr="00266EB2">
        <w:rPr>
          <w:i/>
        </w:rPr>
        <w:t>Detergents</w:t>
      </w:r>
      <w:r w:rsidR="00B5417B" w:rsidRPr="00266EB2">
        <w:t xml:space="preserve">, </w:t>
      </w:r>
      <w:r w:rsidR="003517A5" w:rsidRPr="00266EB2">
        <w:rPr>
          <w:i/>
        </w:rPr>
        <w:t>Paints, varnishes and inks</w:t>
      </w:r>
      <w:r w:rsidR="00B5417B" w:rsidRPr="00266EB2">
        <w:t xml:space="preserve"> and </w:t>
      </w:r>
      <w:r w:rsidR="003517A5" w:rsidRPr="00266EB2">
        <w:rPr>
          <w:i/>
        </w:rPr>
        <w:t>Non-bituminous hydrocarbon fuels</w:t>
      </w:r>
      <w:r w:rsidR="00B5417B" w:rsidRPr="00266EB2">
        <w:t>, which were all reported by more than 6% of</w:t>
      </w:r>
      <w:r w:rsidR="00D10943" w:rsidRPr="00266EB2">
        <w:t xml:space="preserve"> the</w:t>
      </w:r>
      <w:r w:rsidR="00B5417B" w:rsidRPr="00266EB2">
        <w:t xml:space="preserve"> Manufacturing industry workers. </w:t>
      </w:r>
    </w:p>
    <w:p w:rsidR="00B5417B" w:rsidRPr="00266EB2" w:rsidRDefault="00821B2B" w:rsidP="001A172D">
      <w:r w:rsidRPr="00266EB2">
        <w:rPr>
          <w:b/>
        </w:rPr>
        <w:t>Transport and storage</w:t>
      </w:r>
      <w:r w:rsidR="003D1FF3">
        <w:t xml:space="preserve">      </w:t>
      </w:r>
      <w:r w:rsidR="00B5417B" w:rsidRPr="00266EB2">
        <w:t>The Transport and storage industry was characteri</w:t>
      </w:r>
      <w:r w:rsidR="003D1FF3">
        <w:t>s</w:t>
      </w:r>
      <w:r w:rsidR="00B5417B" w:rsidRPr="00266EB2">
        <w:t xml:space="preserve">ed by varied exposures. Approximately 12% of workers in this industry reported exposure to both </w:t>
      </w:r>
      <w:r w:rsidR="00095CDE" w:rsidRPr="00266EB2">
        <w:rPr>
          <w:i/>
        </w:rPr>
        <w:t>Detergents</w:t>
      </w:r>
      <w:r w:rsidR="00B5417B" w:rsidRPr="00266EB2">
        <w:t xml:space="preserve"> and </w:t>
      </w:r>
      <w:r w:rsidR="003517A5" w:rsidRPr="00266EB2">
        <w:rPr>
          <w:i/>
        </w:rPr>
        <w:t>Organic solvents</w:t>
      </w:r>
      <w:r w:rsidR="00B5417B" w:rsidRPr="00266EB2">
        <w:t xml:space="preserve">. </w:t>
      </w:r>
      <w:r w:rsidR="003517A5" w:rsidRPr="00266EB2">
        <w:rPr>
          <w:i/>
        </w:rPr>
        <w:t>Non-bituminous hydrocarbon fuels</w:t>
      </w:r>
      <w:r w:rsidR="00B5417B" w:rsidRPr="00266EB2">
        <w:t xml:space="preserve"> were reported by about 8% of workers in this industry, which is expected given the importance of fuels and lubricants in transport.</w:t>
      </w:r>
    </w:p>
    <w:p w:rsidR="00B5417B" w:rsidRPr="00266EB2" w:rsidRDefault="00821B2B" w:rsidP="001A172D">
      <w:r w:rsidRPr="00266EB2">
        <w:rPr>
          <w:b/>
        </w:rPr>
        <w:t>Construction</w:t>
      </w:r>
      <w:r w:rsidR="00971245" w:rsidRPr="00266EB2">
        <w:rPr>
          <w:b/>
        </w:rPr>
        <w:tab/>
      </w:r>
      <w:r w:rsidR="003D1FF3">
        <w:rPr>
          <w:b/>
        </w:rPr>
        <w:t xml:space="preserve">     </w:t>
      </w:r>
      <w:r w:rsidR="00B5417B" w:rsidRPr="00266EB2">
        <w:t xml:space="preserve">Exposure to </w:t>
      </w:r>
      <w:r w:rsidR="00610AAC" w:rsidRPr="00266EB2">
        <w:rPr>
          <w:i/>
        </w:rPr>
        <w:t>Cement and lime</w:t>
      </w:r>
      <w:r w:rsidR="00B5417B" w:rsidRPr="00266EB2">
        <w:t xml:space="preserve"> was reported by nearly 21% of workers in the Construction industry. Among workers in this industry, </w:t>
      </w:r>
      <w:r w:rsidR="003517A5" w:rsidRPr="00266EB2">
        <w:rPr>
          <w:i/>
        </w:rPr>
        <w:t>Paints, varnishes and inks</w:t>
      </w:r>
      <w:r w:rsidR="00B5417B" w:rsidRPr="00266EB2">
        <w:t xml:space="preserve">, </w:t>
      </w:r>
      <w:r w:rsidR="003517A5" w:rsidRPr="00266EB2">
        <w:rPr>
          <w:i/>
        </w:rPr>
        <w:t>Organic solvents</w:t>
      </w:r>
      <w:r w:rsidR="00B5417B" w:rsidRPr="00266EB2">
        <w:t xml:space="preserve"> and </w:t>
      </w:r>
      <w:r w:rsidR="003517A5" w:rsidRPr="00266EB2">
        <w:rPr>
          <w:i/>
        </w:rPr>
        <w:t>Non-bituminous hydrocarbon fuels</w:t>
      </w:r>
      <w:r w:rsidR="00B5417B" w:rsidRPr="00266EB2">
        <w:t xml:space="preserve"> were also prominent. Once again this is consistent with the nature of work in this industry.</w:t>
      </w:r>
    </w:p>
    <w:p w:rsidR="00B5417B" w:rsidRPr="00266EB2" w:rsidRDefault="00821B2B" w:rsidP="001A172D">
      <w:r w:rsidRPr="00266EB2">
        <w:rPr>
          <w:b/>
        </w:rPr>
        <w:lastRenderedPageBreak/>
        <w:t>Agriculture, forestry and fishing</w:t>
      </w:r>
      <w:r w:rsidR="003D1FF3">
        <w:rPr>
          <w:b/>
        </w:rPr>
        <w:t xml:space="preserve">     </w:t>
      </w:r>
      <w:r w:rsidR="00D10943" w:rsidRPr="00266EB2">
        <w:t>At least 4% of</w:t>
      </w:r>
      <w:r w:rsidR="00D10943" w:rsidRPr="00266EB2">
        <w:rPr>
          <w:i/>
        </w:rPr>
        <w:t xml:space="preserve"> </w:t>
      </w:r>
      <w:r w:rsidR="00B5417B" w:rsidRPr="00266EB2">
        <w:t xml:space="preserve">Agriculture, forestry and fishing workers reported exposure to </w:t>
      </w:r>
      <w:r w:rsidR="00D10943" w:rsidRPr="00266EB2">
        <w:t xml:space="preserve">each of the main </w:t>
      </w:r>
      <w:r w:rsidR="00B5417B" w:rsidRPr="00266EB2">
        <w:t>chemical</w:t>
      </w:r>
      <w:r w:rsidR="00D10943" w:rsidRPr="00266EB2">
        <w:t xml:space="preserve"> exposure categories. T</w:t>
      </w:r>
      <w:r w:rsidR="00B5417B" w:rsidRPr="00266EB2">
        <w:t xml:space="preserve">his is consistent with the varied nature of work in agri-businesses. </w:t>
      </w:r>
      <w:r w:rsidR="00095CDE" w:rsidRPr="00266EB2">
        <w:rPr>
          <w:i/>
        </w:rPr>
        <w:t>Detergents</w:t>
      </w:r>
      <w:r w:rsidR="00B5417B" w:rsidRPr="00266EB2">
        <w:t xml:space="preserve"> were the most commonly reported chemical exposure in this sector (11%) and this appears to be associated with animal husbandry, in particular, dairy operations.</w:t>
      </w:r>
    </w:p>
    <w:p w:rsidR="00B5417B" w:rsidRPr="00266EB2" w:rsidRDefault="00D10943" w:rsidP="001A172D">
      <w:r w:rsidRPr="00266EB2">
        <w:rPr>
          <w:b/>
        </w:rPr>
        <w:t>Health and community services</w:t>
      </w:r>
      <w:r w:rsidR="003D1FF3">
        <w:rPr>
          <w:b/>
        </w:rPr>
        <w:t xml:space="preserve">     </w:t>
      </w:r>
      <w:r w:rsidR="00B5417B" w:rsidRPr="00266EB2">
        <w:t>Over 22% of Health and community services</w:t>
      </w:r>
      <w:r w:rsidRPr="00266EB2">
        <w:t xml:space="preserve"> industry</w:t>
      </w:r>
      <w:r w:rsidR="00B5417B" w:rsidRPr="00266EB2">
        <w:t xml:space="preserve"> workers reported exposure to </w:t>
      </w:r>
      <w:r w:rsidR="00095CDE" w:rsidRPr="00266EB2">
        <w:rPr>
          <w:i/>
        </w:rPr>
        <w:t>Detergents</w:t>
      </w:r>
      <w:r w:rsidR="00B5417B" w:rsidRPr="00266EB2">
        <w:t xml:space="preserve"> and </w:t>
      </w:r>
      <w:r w:rsidR="00356D9D" w:rsidRPr="00266EB2">
        <w:rPr>
          <w:i/>
        </w:rPr>
        <w:t>Disinfectants</w:t>
      </w:r>
      <w:r w:rsidR="00B5417B" w:rsidRPr="00266EB2">
        <w:t xml:space="preserve"> and approximately 14% and 9%</w:t>
      </w:r>
      <w:r w:rsidRPr="00266EB2">
        <w:t xml:space="preserve"> of workers</w:t>
      </w:r>
      <w:r w:rsidR="00B5417B" w:rsidRPr="00266EB2">
        <w:t xml:space="preserve"> reported exposure to </w:t>
      </w:r>
      <w:r w:rsidR="003517A5" w:rsidRPr="00266EB2">
        <w:rPr>
          <w:i/>
        </w:rPr>
        <w:t>Organic solvents</w:t>
      </w:r>
      <w:r w:rsidR="00B5417B" w:rsidRPr="00266EB2">
        <w:t xml:space="preserve"> and </w:t>
      </w:r>
      <w:r w:rsidR="00095CDE" w:rsidRPr="00266EB2">
        <w:rPr>
          <w:i/>
        </w:rPr>
        <w:t>Bases and alkalis</w:t>
      </w:r>
      <w:r w:rsidR="00B5417B" w:rsidRPr="00266EB2">
        <w:t xml:space="preserve"> respectively. In the context of health care occupations, </w:t>
      </w:r>
      <w:r w:rsidR="003517A5" w:rsidRPr="00266EB2">
        <w:rPr>
          <w:i/>
        </w:rPr>
        <w:t>Organic solvents</w:t>
      </w:r>
      <w:r w:rsidR="00B5417B" w:rsidRPr="00266EB2">
        <w:t xml:space="preserve"> are predominantly alcohol-based skin disinfectant products and </w:t>
      </w:r>
      <w:r w:rsidR="00095CDE" w:rsidRPr="00266EB2">
        <w:rPr>
          <w:i/>
        </w:rPr>
        <w:t>Bases and alkalis</w:t>
      </w:r>
      <w:r w:rsidR="00B5417B" w:rsidRPr="00266EB2">
        <w:t xml:space="preserve"> are predominantly bleach-based cleaning products. Cleaning is an important task in the context of healthcare, particularly for infection control. Clinical environments tend to be areas of intense human occupation and are subject to ordinary soiling, as well as potentially infectious contamination, both of which must be managed by more frequent and thorough cleaning than most other workplaces.</w:t>
      </w:r>
    </w:p>
    <w:p w:rsidR="00B5417B" w:rsidRPr="00266EB2" w:rsidRDefault="00971245" w:rsidP="001A172D">
      <w:r w:rsidRPr="00266EB2">
        <w:rPr>
          <w:b/>
        </w:rPr>
        <w:t>Wholesale and retail</w:t>
      </w:r>
      <w:r w:rsidR="00F05468" w:rsidRPr="00266EB2">
        <w:rPr>
          <w:b/>
        </w:rPr>
        <w:t xml:space="preserve"> trade</w:t>
      </w:r>
      <w:r w:rsidR="003D1FF3">
        <w:rPr>
          <w:b/>
        </w:rPr>
        <w:t xml:space="preserve">     </w:t>
      </w:r>
      <w:r w:rsidR="00662899" w:rsidRPr="00266EB2">
        <w:t xml:space="preserve">The Wholesale and Retail trade industries were combined in the NHEWS survey dataset to combat small sample sizes in these industries. </w:t>
      </w:r>
      <w:r w:rsidRPr="00266EB2">
        <w:t>W</w:t>
      </w:r>
      <w:r w:rsidR="00AF3BF5" w:rsidRPr="00266EB2">
        <w:t>holesale</w:t>
      </w:r>
      <w:r w:rsidRPr="00266EB2">
        <w:t xml:space="preserve"> and retail</w:t>
      </w:r>
      <w:r w:rsidR="00AF3BF5" w:rsidRPr="00266EB2">
        <w:t xml:space="preserve"> trade</w:t>
      </w:r>
      <w:r w:rsidR="00B5417B" w:rsidRPr="00266EB2">
        <w:t xml:space="preserve"> workers reported </w:t>
      </w:r>
      <w:r w:rsidR="00F05468" w:rsidRPr="00266EB2">
        <w:t>exposure to a wide range of</w:t>
      </w:r>
      <w:r w:rsidR="00B5417B" w:rsidRPr="00266EB2">
        <w:t xml:space="preserve"> </w:t>
      </w:r>
      <w:r w:rsidR="00F05468" w:rsidRPr="00266EB2">
        <w:t>the main chemical exposure groups. It is possible that some of these self-reported exposures</w:t>
      </w:r>
      <w:r w:rsidR="00B5417B" w:rsidRPr="00266EB2">
        <w:t xml:space="preserve"> may be related to exposure to stock in trade rather than actual use. </w:t>
      </w:r>
      <w:r w:rsidR="00F05468" w:rsidRPr="00266EB2">
        <w:t xml:space="preserve">Exposure to </w:t>
      </w:r>
      <w:r w:rsidR="00095CDE" w:rsidRPr="00266EB2">
        <w:rPr>
          <w:i/>
        </w:rPr>
        <w:t>Detergents</w:t>
      </w:r>
      <w:r w:rsidR="00B5417B" w:rsidRPr="00266EB2">
        <w:t xml:space="preserve"> w</w:t>
      </w:r>
      <w:r w:rsidR="00F05468" w:rsidRPr="00266EB2">
        <w:t>as</w:t>
      </w:r>
      <w:r w:rsidR="00B5417B" w:rsidRPr="00266EB2">
        <w:t xml:space="preserve"> reported by about </w:t>
      </w:r>
      <w:r w:rsidR="00F05468" w:rsidRPr="00266EB2">
        <w:t>one</w:t>
      </w:r>
      <w:r w:rsidR="00B5417B" w:rsidRPr="00266EB2">
        <w:t xml:space="preserve"> quarter of all workers in the </w:t>
      </w:r>
      <w:r w:rsidRPr="00266EB2">
        <w:t>W</w:t>
      </w:r>
      <w:r w:rsidR="00D41A46" w:rsidRPr="00266EB2">
        <w:t>holesale</w:t>
      </w:r>
      <w:r w:rsidRPr="00266EB2">
        <w:t xml:space="preserve"> and retail</w:t>
      </w:r>
      <w:r w:rsidR="00D41A46" w:rsidRPr="00266EB2">
        <w:t xml:space="preserve"> trade</w:t>
      </w:r>
      <w:r w:rsidR="00B5417B" w:rsidRPr="00266EB2">
        <w:t xml:space="preserve"> </w:t>
      </w:r>
      <w:r w:rsidR="00F05468" w:rsidRPr="00266EB2">
        <w:t>industry</w:t>
      </w:r>
      <w:r w:rsidR="00B5417B" w:rsidRPr="00266EB2">
        <w:t xml:space="preserve">. </w:t>
      </w:r>
      <w:r w:rsidR="00F05468" w:rsidRPr="00266EB2">
        <w:t xml:space="preserve">Following the Accommodation, cafes and restaurants industry, this was the second largest proportion of workers within an industry to report exposure to </w:t>
      </w:r>
      <w:r w:rsidR="00F05468" w:rsidRPr="00266EB2">
        <w:rPr>
          <w:i/>
        </w:rPr>
        <w:t>Detergents</w:t>
      </w:r>
      <w:r w:rsidR="00F05468" w:rsidRPr="00266EB2">
        <w:t xml:space="preserve">. </w:t>
      </w:r>
      <w:r w:rsidR="00B5417B" w:rsidRPr="00266EB2">
        <w:t>Participants’ responses suggested that many of these workers use</w:t>
      </w:r>
      <w:r w:rsidR="00F05468" w:rsidRPr="00266EB2">
        <w:t>d</w:t>
      </w:r>
      <w:r w:rsidR="00B5417B" w:rsidRPr="00266EB2">
        <w:t xml:space="preserve"> cleaning products in the process of cleaning checkouts, counters and shelves</w:t>
      </w:r>
      <w:r w:rsidR="001148DE" w:rsidRPr="00266EB2">
        <w:t xml:space="preserve">. </w:t>
      </w:r>
      <w:r w:rsidR="003517A5" w:rsidRPr="00266EB2">
        <w:rPr>
          <w:i/>
        </w:rPr>
        <w:t>Organic solvents</w:t>
      </w:r>
      <w:r w:rsidR="00B5417B" w:rsidRPr="00266EB2">
        <w:t xml:space="preserve">, </w:t>
      </w:r>
      <w:r w:rsidR="00356D9D" w:rsidRPr="00266EB2">
        <w:rPr>
          <w:i/>
        </w:rPr>
        <w:t>Disinfectants</w:t>
      </w:r>
      <w:r w:rsidR="00B5417B" w:rsidRPr="00266EB2">
        <w:t xml:space="preserve"> and </w:t>
      </w:r>
      <w:r w:rsidR="00095CDE" w:rsidRPr="00266EB2">
        <w:rPr>
          <w:i/>
        </w:rPr>
        <w:t>Bases and alkalis</w:t>
      </w:r>
      <w:r w:rsidR="00B5417B" w:rsidRPr="00266EB2">
        <w:t xml:space="preserve"> were reported by approximately 10%, 8% and 5% of these workers respectively. Many of these exposures also appear to be associated with cleaning.</w:t>
      </w:r>
    </w:p>
    <w:p w:rsidR="00B5417B" w:rsidRPr="00266EB2" w:rsidRDefault="00F05468" w:rsidP="001A172D">
      <w:r w:rsidRPr="00266EB2">
        <w:rPr>
          <w:b/>
        </w:rPr>
        <w:t>Accommodation, cafes and restaurants</w:t>
      </w:r>
      <w:r w:rsidR="003D1FF3">
        <w:t xml:space="preserve">     </w:t>
      </w:r>
      <w:r w:rsidR="00B5417B" w:rsidRPr="00266EB2">
        <w:t xml:space="preserve">Workers in the </w:t>
      </w:r>
      <w:r w:rsidR="00B5417B" w:rsidRPr="00114BD9">
        <w:t>Accommodation, cafes and restaurants</w:t>
      </w:r>
      <w:r w:rsidR="00B5417B" w:rsidRPr="00266EB2">
        <w:t xml:space="preserve"> sector frequently reported exposure to </w:t>
      </w:r>
      <w:r w:rsidR="00095CDE" w:rsidRPr="00266EB2">
        <w:rPr>
          <w:i/>
        </w:rPr>
        <w:t>Detergents</w:t>
      </w:r>
      <w:r w:rsidR="00B5417B" w:rsidRPr="00266EB2">
        <w:t xml:space="preserve"> (46%). </w:t>
      </w:r>
      <w:r w:rsidR="00561F6B" w:rsidRPr="00266EB2">
        <w:t>In addition</w:t>
      </w:r>
      <w:r w:rsidR="00B5417B" w:rsidRPr="00266EB2">
        <w:t xml:space="preserve">, approximately 20% and 13% of workers also reported exposure to </w:t>
      </w:r>
      <w:r w:rsidR="00095CDE" w:rsidRPr="00266EB2">
        <w:rPr>
          <w:i/>
        </w:rPr>
        <w:t>Bases and alkalis</w:t>
      </w:r>
      <w:r w:rsidR="00B5417B" w:rsidRPr="00266EB2">
        <w:t xml:space="preserve"> and </w:t>
      </w:r>
      <w:r w:rsidR="00356D9D" w:rsidRPr="00266EB2">
        <w:rPr>
          <w:i/>
        </w:rPr>
        <w:t>Disinfectants</w:t>
      </w:r>
      <w:r w:rsidR="00B5417B" w:rsidRPr="00266EB2">
        <w:t xml:space="preserve"> respectively. Cleaning of accommodation areas, kitchens and food consumption areas is an important task in this industry and therefore the frequency of exposure to detergents, bleaches and other disinfectants is not surprising. </w:t>
      </w:r>
      <w:r w:rsidR="003517A5" w:rsidRPr="00266EB2">
        <w:rPr>
          <w:i/>
        </w:rPr>
        <w:t xml:space="preserve">Organic solvents </w:t>
      </w:r>
      <w:r w:rsidR="00600A52" w:rsidRPr="00266EB2">
        <w:t>exposure was</w:t>
      </w:r>
      <w:r w:rsidR="00B5417B" w:rsidRPr="00266EB2">
        <w:t xml:space="preserve"> reported by approximately 9% of workers in this group. This likely reflects the type of cleaning in this industry, where the emphasis is on environmental cleaning and detergents and bleaches are more likely to be used than alcohol-based cleansers.</w:t>
      </w:r>
    </w:p>
    <w:p w:rsidR="00B5417B" w:rsidRPr="00266EB2" w:rsidRDefault="00F1312E" w:rsidP="001A172D">
      <w:r w:rsidRPr="00266EB2">
        <w:rPr>
          <w:b/>
        </w:rPr>
        <w:t>Property and business services</w:t>
      </w:r>
      <w:r w:rsidR="003D1FF3">
        <w:rPr>
          <w:b/>
        </w:rPr>
        <w:t xml:space="preserve">     </w:t>
      </w:r>
      <w:r w:rsidR="00B5417B" w:rsidRPr="00266EB2">
        <w:t>About 10% of workers in</w:t>
      </w:r>
      <w:r w:rsidR="00544C68" w:rsidRPr="00266EB2">
        <w:t xml:space="preserve"> the</w:t>
      </w:r>
      <w:r w:rsidR="00B5417B" w:rsidRPr="00266EB2">
        <w:t xml:space="preserve"> Property and business services </w:t>
      </w:r>
      <w:r w:rsidR="00544C68" w:rsidRPr="00266EB2">
        <w:t xml:space="preserve">industry </w:t>
      </w:r>
      <w:r w:rsidR="00B5417B" w:rsidRPr="00266EB2">
        <w:t>reported expos</w:t>
      </w:r>
      <w:r w:rsidR="000C6664" w:rsidRPr="00266EB2">
        <w:t xml:space="preserve">ure to </w:t>
      </w:r>
      <w:r w:rsidR="00095CDE" w:rsidRPr="00266EB2">
        <w:rPr>
          <w:i/>
        </w:rPr>
        <w:t>Detergents</w:t>
      </w:r>
      <w:r w:rsidR="000C6664" w:rsidRPr="00266EB2">
        <w:t xml:space="preserve">. Exposure to </w:t>
      </w:r>
      <w:r w:rsidR="003517A5" w:rsidRPr="00266EB2">
        <w:rPr>
          <w:i/>
        </w:rPr>
        <w:t>Organic solvents</w:t>
      </w:r>
      <w:r w:rsidR="00B5417B" w:rsidRPr="00266EB2">
        <w:t xml:space="preserve"> and </w:t>
      </w:r>
      <w:r w:rsidR="00356D9D" w:rsidRPr="00266EB2">
        <w:rPr>
          <w:i/>
        </w:rPr>
        <w:t>Disinfectants</w:t>
      </w:r>
      <w:r w:rsidR="00B5417B" w:rsidRPr="00266EB2">
        <w:t xml:space="preserve"> were each reported by about 5% in this industry. These exposures may reflect property maintenance tasks amongst these workers.</w:t>
      </w:r>
    </w:p>
    <w:p w:rsidR="00B5417B" w:rsidRPr="00266EB2" w:rsidRDefault="00F1312E" w:rsidP="001A172D">
      <w:r w:rsidRPr="00266EB2">
        <w:rPr>
          <w:b/>
        </w:rPr>
        <w:t>Education</w:t>
      </w:r>
      <w:r w:rsidR="003D1FF3">
        <w:rPr>
          <w:b/>
        </w:rPr>
        <w:t xml:space="preserve">     </w:t>
      </w:r>
      <w:r w:rsidR="00B5417B" w:rsidRPr="00266EB2">
        <w:t xml:space="preserve">About 9% of workers in the Education industry reported exposure to </w:t>
      </w:r>
      <w:r w:rsidR="00095CDE" w:rsidRPr="00266EB2">
        <w:rPr>
          <w:i/>
        </w:rPr>
        <w:t>Detergents</w:t>
      </w:r>
      <w:r w:rsidR="00B5417B" w:rsidRPr="00266EB2">
        <w:t xml:space="preserve">. </w:t>
      </w:r>
      <w:r w:rsidR="00B5417B" w:rsidRPr="00266EB2">
        <w:rPr>
          <w:i/>
        </w:rPr>
        <w:t>Organic solvent</w:t>
      </w:r>
      <w:r w:rsidR="006F19AD" w:rsidRPr="00266EB2">
        <w:t>s</w:t>
      </w:r>
      <w:r w:rsidR="00B5417B" w:rsidRPr="00266EB2">
        <w:t xml:space="preserve"> and </w:t>
      </w:r>
      <w:r w:rsidR="00356D9D" w:rsidRPr="00266EB2">
        <w:rPr>
          <w:i/>
        </w:rPr>
        <w:t>Disinfectants</w:t>
      </w:r>
      <w:r w:rsidR="00B5417B" w:rsidRPr="00266EB2">
        <w:t xml:space="preserve"> exposures were reported by </w:t>
      </w:r>
      <w:r w:rsidR="00114BD9">
        <w:t>8</w:t>
      </w:r>
      <w:r w:rsidR="00B5417B" w:rsidRPr="00266EB2">
        <w:t xml:space="preserve">% and </w:t>
      </w:r>
      <w:r w:rsidR="00114BD9">
        <w:t>5</w:t>
      </w:r>
      <w:r w:rsidR="00B5417B" w:rsidRPr="00266EB2">
        <w:t xml:space="preserve">% </w:t>
      </w:r>
      <w:r w:rsidR="00544C68" w:rsidRPr="00266EB2">
        <w:t xml:space="preserve">of workers </w:t>
      </w:r>
      <w:r w:rsidR="00B5417B" w:rsidRPr="00266EB2">
        <w:t>respectively. Certain education environments require comparatively frequent cleaning, particularly early childhood en</w:t>
      </w:r>
      <w:r w:rsidR="000C6664" w:rsidRPr="00266EB2">
        <w:t>vironments, as well as specialis</w:t>
      </w:r>
      <w:r w:rsidR="00B5417B" w:rsidRPr="00266EB2">
        <w:t>ed teaching areas, such as laboratories and other practical teaching environments</w:t>
      </w:r>
      <w:r w:rsidR="001148DE" w:rsidRPr="00266EB2">
        <w:t xml:space="preserve">. </w:t>
      </w:r>
    </w:p>
    <w:p w:rsidR="00B5417B" w:rsidRPr="00266EB2" w:rsidRDefault="00544C68" w:rsidP="001A172D">
      <w:r w:rsidRPr="00266EB2">
        <w:rPr>
          <w:b/>
        </w:rPr>
        <w:t>Cultural, recreational and personal services</w:t>
      </w:r>
      <w:r w:rsidR="003D1FF3">
        <w:t xml:space="preserve">     </w:t>
      </w:r>
      <w:r w:rsidR="00B5417B" w:rsidRPr="00266EB2">
        <w:t xml:space="preserve">Nearly 19% of </w:t>
      </w:r>
      <w:r w:rsidRPr="00266EB2">
        <w:t>Cultural, recreational</w:t>
      </w:r>
      <w:r w:rsidR="00B5417B" w:rsidRPr="00266EB2">
        <w:t xml:space="preserve"> </w:t>
      </w:r>
      <w:r w:rsidRPr="00266EB2">
        <w:t xml:space="preserve">and personal services </w:t>
      </w:r>
      <w:r w:rsidR="00B5417B" w:rsidRPr="00266EB2">
        <w:t xml:space="preserve">workers reported exposure to </w:t>
      </w:r>
      <w:r w:rsidR="00095CDE" w:rsidRPr="00266EB2">
        <w:rPr>
          <w:i/>
        </w:rPr>
        <w:t>Detergents</w:t>
      </w:r>
      <w:r w:rsidR="00B5417B" w:rsidRPr="00266EB2">
        <w:t xml:space="preserve">. This likely reflects the intensity of human activity that is characteristic of many cultural and recreational environments. </w:t>
      </w:r>
      <w:r w:rsidRPr="00266EB2">
        <w:t>Furthermore, o</w:t>
      </w:r>
      <w:r w:rsidR="00B5417B" w:rsidRPr="00266EB2">
        <w:t xml:space="preserve">ver 12% of workers in this sector reported exposure to </w:t>
      </w:r>
      <w:r w:rsidR="003517A5" w:rsidRPr="00266EB2">
        <w:rPr>
          <w:i/>
        </w:rPr>
        <w:t>Organic solvents</w:t>
      </w:r>
      <w:r w:rsidR="00B5417B" w:rsidRPr="00266EB2">
        <w:t xml:space="preserve"> and </w:t>
      </w:r>
      <w:r w:rsidR="00356D9D" w:rsidRPr="00266EB2">
        <w:rPr>
          <w:i/>
        </w:rPr>
        <w:t>Disinfectants</w:t>
      </w:r>
      <w:r w:rsidR="00B5417B" w:rsidRPr="00266EB2">
        <w:t xml:space="preserve"> and over 8%</w:t>
      </w:r>
      <w:r w:rsidRPr="00266EB2">
        <w:t xml:space="preserve"> of workers</w:t>
      </w:r>
      <w:r w:rsidR="00B5417B" w:rsidRPr="00266EB2">
        <w:t xml:space="preserve"> reported </w:t>
      </w:r>
      <w:r w:rsidR="00095CDE" w:rsidRPr="00266EB2">
        <w:rPr>
          <w:i/>
        </w:rPr>
        <w:t>Bases and alkalis</w:t>
      </w:r>
      <w:r w:rsidR="00B5417B" w:rsidRPr="00266EB2">
        <w:t>. It should be noted that this category includes beauty therapists, nail technicians and other personal service workers for whom cleaning and disinfection duties are important and who may also use solvent-based products in their core-business tasks.</w:t>
      </w:r>
    </w:p>
    <w:p w:rsidR="00B5417B" w:rsidRPr="00266EB2" w:rsidRDefault="00B5417B" w:rsidP="001A172D">
      <w:pPr>
        <w:sectPr w:rsidR="00B5417B" w:rsidRPr="00266EB2" w:rsidSect="00531547">
          <w:footerReference w:type="default" r:id="rId19"/>
          <w:type w:val="nextColumn"/>
          <w:pgSz w:w="11907" w:h="16840" w:code="9"/>
          <w:pgMar w:top="1440" w:right="1440" w:bottom="1440" w:left="1440" w:header="709" w:footer="709" w:gutter="0"/>
          <w:pgNumType w:start="1"/>
          <w:cols w:space="708"/>
          <w:docGrid w:linePitch="360"/>
        </w:sectPr>
      </w:pPr>
    </w:p>
    <w:p w:rsidR="00A50494" w:rsidRPr="00266EB2" w:rsidRDefault="00A50494" w:rsidP="00A50494">
      <w:pPr>
        <w:pStyle w:val="Caption"/>
        <w:keepNext/>
      </w:pPr>
      <w:bookmarkStart w:id="67" w:name="_Ref309994149"/>
      <w:bookmarkStart w:id="68" w:name="_Toc314730497"/>
      <w:r w:rsidRPr="00266EB2">
        <w:lastRenderedPageBreak/>
        <w:t xml:space="preserve">Table </w:t>
      </w:r>
      <w:r w:rsidR="00AB2546" w:rsidRPr="00266EB2">
        <w:fldChar w:fldCharType="begin"/>
      </w:r>
      <w:r w:rsidR="00180044" w:rsidRPr="00266EB2">
        <w:instrText xml:space="preserve"> SEQ Table \* ARABIC </w:instrText>
      </w:r>
      <w:r w:rsidR="00AB2546" w:rsidRPr="00266EB2">
        <w:fldChar w:fldCharType="separate"/>
      </w:r>
      <w:r w:rsidR="00266EB2">
        <w:rPr>
          <w:noProof/>
        </w:rPr>
        <w:t>2</w:t>
      </w:r>
      <w:r w:rsidR="00AB2546" w:rsidRPr="00266EB2">
        <w:fldChar w:fldCharType="end"/>
      </w:r>
      <w:bookmarkEnd w:id="67"/>
      <w:r w:rsidRPr="00266EB2">
        <w:t>. The types of self-reported exposure to chemicals within industries</w:t>
      </w:r>
      <w:bookmarkEnd w:id="68"/>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938"/>
        <w:gridCol w:w="1461"/>
        <w:gridCol w:w="1461"/>
        <w:gridCol w:w="1472"/>
        <w:gridCol w:w="1460"/>
        <w:gridCol w:w="1461"/>
        <w:gridCol w:w="1461"/>
        <w:gridCol w:w="1462"/>
      </w:tblGrid>
      <w:tr w:rsidR="0034539C" w:rsidRPr="00266EB2" w:rsidTr="00BC28AD">
        <w:tc>
          <w:tcPr>
            <w:tcW w:w="2938" w:type="dxa"/>
            <w:vMerge w:val="restart"/>
            <w:tcBorders>
              <w:top w:val="single" w:sz="12" w:space="0" w:color="auto"/>
              <w:left w:val="single" w:sz="4" w:space="0" w:color="auto"/>
              <w:bottom w:val="nil"/>
            </w:tcBorders>
            <w:vAlign w:val="bottom"/>
          </w:tcPr>
          <w:p w:rsidR="0034539C" w:rsidRPr="00266EB2" w:rsidRDefault="0034539C" w:rsidP="0034539C">
            <w:pPr>
              <w:spacing w:before="40" w:after="40"/>
              <w:rPr>
                <w:b/>
                <w:sz w:val="20"/>
                <w:szCs w:val="20"/>
              </w:rPr>
            </w:pPr>
            <w:bookmarkStart w:id="69" w:name="_Ref297034600"/>
            <w:r w:rsidRPr="00266EB2">
              <w:rPr>
                <w:b/>
                <w:sz w:val="20"/>
                <w:szCs w:val="20"/>
              </w:rPr>
              <w:t>Industry of main job</w:t>
            </w:r>
          </w:p>
        </w:tc>
        <w:tc>
          <w:tcPr>
            <w:tcW w:w="10238" w:type="dxa"/>
            <w:gridSpan w:val="7"/>
            <w:tcBorders>
              <w:top w:val="single" w:sz="12" w:space="0" w:color="auto"/>
              <w:bottom w:val="single" w:sz="8" w:space="0" w:color="808080" w:themeColor="background1" w:themeShade="80"/>
              <w:right w:val="single" w:sz="4" w:space="0" w:color="auto"/>
            </w:tcBorders>
            <w:shd w:val="clear" w:color="auto" w:fill="808080" w:themeFill="background1" w:themeFillShade="80"/>
          </w:tcPr>
          <w:p w:rsidR="0034539C" w:rsidRPr="00266EB2" w:rsidRDefault="0034539C" w:rsidP="0034539C">
            <w:pPr>
              <w:spacing w:before="40" w:after="40"/>
              <w:jc w:val="center"/>
              <w:rPr>
                <w:b/>
                <w:color w:val="FFFFFF" w:themeColor="background1"/>
                <w:sz w:val="20"/>
                <w:szCs w:val="20"/>
              </w:rPr>
            </w:pPr>
            <w:r w:rsidRPr="00266EB2">
              <w:rPr>
                <w:b/>
                <w:color w:val="FFFFFF" w:themeColor="background1"/>
                <w:sz w:val="20"/>
                <w:szCs w:val="20"/>
              </w:rPr>
              <w:t>The percentage of workers within industries who reported exposure to each of seven main dermal chemical exposure categories</w:t>
            </w:r>
          </w:p>
        </w:tc>
      </w:tr>
      <w:tr w:rsidR="0034539C" w:rsidRPr="00266EB2" w:rsidTr="00BC28AD">
        <w:tc>
          <w:tcPr>
            <w:tcW w:w="2938" w:type="dxa"/>
            <w:vMerge/>
            <w:tcBorders>
              <w:top w:val="nil"/>
              <w:left w:val="single" w:sz="4" w:space="0" w:color="auto"/>
              <w:bottom w:val="single" w:sz="12" w:space="0" w:color="auto"/>
            </w:tcBorders>
            <w:vAlign w:val="bottom"/>
          </w:tcPr>
          <w:p w:rsidR="0034539C" w:rsidRPr="00266EB2" w:rsidRDefault="0034539C" w:rsidP="0034539C">
            <w:pPr>
              <w:spacing w:before="40" w:after="40"/>
              <w:rPr>
                <w:sz w:val="20"/>
                <w:szCs w:val="20"/>
              </w:rPr>
            </w:pPr>
          </w:p>
        </w:tc>
        <w:tc>
          <w:tcPr>
            <w:tcW w:w="1461"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Detergents</w:t>
            </w:r>
          </w:p>
        </w:tc>
        <w:tc>
          <w:tcPr>
            <w:tcW w:w="1461"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Organic solvents</w:t>
            </w:r>
          </w:p>
        </w:tc>
        <w:tc>
          <w:tcPr>
            <w:tcW w:w="1472"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Disinfectants</w:t>
            </w:r>
          </w:p>
        </w:tc>
        <w:tc>
          <w:tcPr>
            <w:tcW w:w="1460"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Bases &amp; alkalis</w:t>
            </w:r>
          </w:p>
        </w:tc>
        <w:tc>
          <w:tcPr>
            <w:tcW w:w="1461"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Paints, varnishes &amp; inks</w:t>
            </w:r>
          </w:p>
        </w:tc>
        <w:tc>
          <w:tcPr>
            <w:tcW w:w="1461" w:type="dxa"/>
            <w:tcBorders>
              <w:top w:val="single" w:sz="8" w:space="0" w:color="808080" w:themeColor="background1" w:themeShade="80"/>
              <w:bottom w:val="single" w:sz="12" w:space="0" w:color="auto"/>
            </w:tcBorders>
            <w:vAlign w:val="bottom"/>
          </w:tcPr>
          <w:p w:rsidR="0034539C" w:rsidRPr="00266EB2" w:rsidRDefault="0034539C" w:rsidP="0034539C">
            <w:pPr>
              <w:spacing w:before="40" w:after="40"/>
              <w:jc w:val="center"/>
              <w:rPr>
                <w:b/>
                <w:sz w:val="20"/>
                <w:szCs w:val="20"/>
              </w:rPr>
            </w:pPr>
            <w:r w:rsidRPr="00266EB2">
              <w:rPr>
                <w:b/>
                <w:sz w:val="20"/>
                <w:szCs w:val="20"/>
              </w:rPr>
              <w:t>Cement &amp; lime</w:t>
            </w:r>
          </w:p>
        </w:tc>
        <w:tc>
          <w:tcPr>
            <w:tcW w:w="1462" w:type="dxa"/>
            <w:tcBorders>
              <w:top w:val="single" w:sz="8" w:space="0" w:color="808080" w:themeColor="background1" w:themeShade="80"/>
              <w:bottom w:val="single" w:sz="12" w:space="0" w:color="auto"/>
              <w:right w:val="single" w:sz="4" w:space="0" w:color="auto"/>
            </w:tcBorders>
            <w:vAlign w:val="bottom"/>
          </w:tcPr>
          <w:p w:rsidR="0034539C" w:rsidRPr="00266EB2" w:rsidRDefault="0034539C" w:rsidP="0034539C">
            <w:pPr>
              <w:spacing w:before="40" w:after="40"/>
              <w:jc w:val="center"/>
              <w:rPr>
                <w:b/>
                <w:sz w:val="20"/>
                <w:szCs w:val="20"/>
              </w:rPr>
            </w:pPr>
            <w:r w:rsidRPr="00266EB2">
              <w:rPr>
                <w:b/>
                <w:sz w:val="20"/>
                <w:szCs w:val="20"/>
              </w:rPr>
              <w:t>Non- bituminous hydrocarbon fuels</w:t>
            </w:r>
          </w:p>
        </w:tc>
      </w:tr>
      <w:tr w:rsidR="0034539C" w:rsidRPr="00266EB2" w:rsidTr="00BC28AD">
        <w:tc>
          <w:tcPr>
            <w:tcW w:w="2938" w:type="dxa"/>
            <w:tcBorders>
              <w:top w:val="single" w:sz="12" w:space="0" w:color="auto"/>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Manufacturing</w:t>
            </w:r>
          </w:p>
        </w:tc>
        <w:tc>
          <w:tcPr>
            <w:tcW w:w="1461"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8.0</w:t>
            </w:r>
          </w:p>
        </w:tc>
        <w:tc>
          <w:tcPr>
            <w:tcW w:w="1461"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15.1</w:t>
            </w:r>
          </w:p>
        </w:tc>
        <w:tc>
          <w:tcPr>
            <w:tcW w:w="1472"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2.4</w:t>
            </w:r>
          </w:p>
        </w:tc>
        <w:tc>
          <w:tcPr>
            <w:tcW w:w="1460"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3.8</w:t>
            </w:r>
          </w:p>
        </w:tc>
        <w:tc>
          <w:tcPr>
            <w:tcW w:w="1461"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7.4</w:t>
            </w:r>
          </w:p>
        </w:tc>
        <w:tc>
          <w:tcPr>
            <w:tcW w:w="1461" w:type="dxa"/>
            <w:tcBorders>
              <w:top w:val="single" w:sz="12" w:space="0" w:color="auto"/>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1.4</w:t>
            </w:r>
          </w:p>
        </w:tc>
        <w:tc>
          <w:tcPr>
            <w:tcW w:w="1462" w:type="dxa"/>
            <w:tcBorders>
              <w:top w:val="single" w:sz="12" w:space="0" w:color="auto"/>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6.9</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Transport &amp; storage</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12.5</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12.5</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2.8</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1.8</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3.8</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1.5</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8.2</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Construction</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2.8</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8.6</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1.4</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0.6</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9.9</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20.9</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6.4</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Agriculture, forestry &amp; fishing</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11.0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5.1</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5.4</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4.4</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3.8</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4.1</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5.1</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Health &amp; community services</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22.5</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14.3</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22.7</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9.1</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0.5</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F274D1">
            <w:pPr>
              <w:spacing w:before="40" w:after="40"/>
              <w:rPr>
                <w:rFonts w:cs="Arial"/>
                <w:color w:val="000000"/>
                <w:sz w:val="20"/>
                <w:szCs w:val="20"/>
              </w:rPr>
            </w:pPr>
            <w:r w:rsidRPr="00266EB2">
              <w:rPr>
                <w:rFonts w:cs="Arial"/>
                <w:color w:val="000000"/>
                <w:sz w:val="20"/>
                <w:szCs w:val="20"/>
              </w:rPr>
              <w:t>Electricity, gas &amp; water</w:t>
            </w:r>
            <w:r w:rsidR="00A50494" w:rsidRPr="00266EB2">
              <w:rPr>
                <w:rFonts w:cs="Arial"/>
                <w:color w:val="000000"/>
                <w:sz w:val="20"/>
                <w:szCs w:val="20"/>
              </w:rPr>
              <w:t xml:space="preserve"> supply</w:t>
            </w:r>
            <w:r w:rsidR="00F274D1" w:rsidRPr="00266EB2">
              <w:rPr>
                <w:rFonts w:cs="Arial"/>
                <w:color w:val="000000"/>
                <w:sz w:val="20"/>
                <w:szCs w:val="20"/>
              </w:rPr>
              <w:t>**</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8.1</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2.7</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8.1</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971245" w:rsidP="0034539C">
            <w:pPr>
              <w:spacing w:before="40" w:after="40"/>
              <w:rPr>
                <w:rFonts w:cs="Arial"/>
                <w:color w:val="000000"/>
                <w:sz w:val="20"/>
                <w:szCs w:val="20"/>
              </w:rPr>
            </w:pPr>
            <w:r w:rsidRPr="00266EB2">
              <w:rPr>
                <w:rFonts w:cs="Arial"/>
                <w:color w:val="000000"/>
                <w:sz w:val="20"/>
                <w:szCs w:val="20"/>
              </w:rPr>
              <w:t>W</w:t>
            </w:r>
            <w:r w:rsidR="0034539C" w:rsidRPr="00266EB2">
              <w:rPr>
                <w:rFonts w:cs="Arial"/>
                <w:color w:val="000000"/>
                <w:sz w:val="20"/>
                <w:szCs w:val="20"/>
              </w:rPr>
              <w:t>holesale</w:t>
            </w:r>
            <w:r w:rsidRPr="00266EB2">
              <w:rPr>
                <w:rFonts w:cs="Arial"/>
                <w:color w:val="000000"/>
                <w:sz w:val="20"/>
                <w:szCs w:val="20"/>
              </w:rPr>
              <w:t xml:space="preserve"> and retail</w:t>
            </w:r>
            <w:r w:rsidR="0034539C" w:rsidRPr="00266EB2">
              <w:rPr>
                <w:rFonts w:cs="Arial"/>
                <w:color w:val="000000"/>
                <w:sz w:val="20"/>
                <w:szCs w:val="20"/>
              </w:rPr>
              <w:t xml:space="preserve"> trade</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25.3</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10.1</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7.6</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4.6</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2.5</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0.8</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2.1</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Accommodation, cafes &amp; restaurants</w:t>
            </w:r>
            <w:r w:rsidR="00A50494" w:rsidRPr="00266EB2">
              <w:rPr>
                <w:rFonts w:cs="Arial"/>
                <w:color w:val="000000"/>
                <w:sz w:val="20"/>
                <w:szCs w:val="20"/>
              </w:rPr>
              <w:t>*</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46.2</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8.8</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13.2</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19.8</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1.1</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1.1</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Communication services</w:t>
            </w:r>
            <w:r w:rsidR="00F274D1" w:rsidRPr="00266EB2">
              <w:rPr>
                <w:rFonts w:cs="Arial"/>
                <w:color w:val="000000"/>
                <w:sz w:val="20"/>
                <w:szCs w:val="20"/>
              </w:rPr>
              <w:t>**</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6.0</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2.0</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Finance &amp; insurance</w:t>
            </w:r>
            <w:r w:rsidR="00F274D1" w:rsidRPr="00266EB2">
              <w:rPr>
                <w:rFonts w:cs="Arial"/>
                <w:color w:val="000000"/>
                <w:sz w:val="20"/>
                <w:szCs w:val="20"/>
              </w:rPr>
              <w:t>*</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5.3</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2.1</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Property &amp; business services</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10.7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5.0</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4.6</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3.4</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0.8</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Government administration &amp; defence</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5.4</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2.5</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1.7</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0.4</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Education</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9.1</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7.5</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4.7</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2.5</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4.7</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0.3</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0.9</w:t>
            </w:r>
          </w:p>
        </w:tc>
      </w:tr>
      <w:tr w:rsidR="0034539C" w:rsidRPr="00266EB2" w:rsidTr="00BC28AD">
        <w:tc>
          <w:tcPr>
            <w:tcW w:w="2938" w:type="dxa"/>
            <w:tcBorders>
              <w:top w:val="single" w:sz="8" w:space="0" w:color="808080" w:themeColor="background1" w:themeShade="80"/>
              <w:left w:val="single" w:sz="4" w:space="0" w:color="auto"/>
              <w:bottom w:val="single" w:sz="8" w:space="0" w:color="808080" w:themeColor="background1" w:themeShade="80"/>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Cultural, recreational &amp; personal services</w:t>
            </w:r>
            <w:r w:rsidR="00F274D1" w:rsidRPr="00266EB2">
              <w:rPr>
                <w:rFonts w:cs="Arial"/>
                <w:color w:val="000000"/>
                <w:sz w:val="20"/>
                <w:szCs w:val="20"/>
              </w:rPr>
              <w:t>*</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19.0</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12.6</w:t>
            </w:r>
          </w:p>
        </w:tc>
        <w:tc>
          <w:tcPr>
            <w:tcW w:w="1472"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12.6</w:t>
            </w:r>
          </w:p>
        </w:tc>
        <w:tc>
          <w:tcPr>
            <w:tcW w:w="1460"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8.4</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3.2</w:t>
            </w:r>
          </w:p>
        </w:tc>
        <w:tc>
          <w:tcPr>
            <w:tcW w:w="1461" w:type="dxa"/>
            <w:tcBorders>
              <w:top w:val="single" w:sz="8" w:space="0" w:color="808080" w:themeColor="background1" w:themeShade="80"/>
              <w:bottom w:val="single" w:sz="8" w:space="0" w:color="808080" w:themeColor="background1" w:themeShade="80"/>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2.1</w:t>
            </w:r>
          </w:p>
        </w:tc>
        <w:tc>
          <w:tcPr>
            <w:tcW w:w="1462" w:type="dxa"/>
            <w:tcBorders>
              <w:top w:val="single" w:sz="8" w:space="0" w:color="808080" w:themeColor="background1" w:themeShade="80"/>
              <w:bottom w:val="single" w:sz="8" w:space="0" w:color="808080" w:themeColor="background1" w:themeShade="80"/>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1.1</w:t>
            </w:r>
          </w:p>
        </w:tc>
      </w:tr>
      <w:tr w:rsidR="0034539C" w:rsidRPr="00266EB2" w:rsidTr="00BC28AD">
        <w:tc>
          <w:tcPr>
            <w:tcW w:w="2938" w:type="dxa"/>
            <w:tcBorders>
              <w:top w:val="single" w:sz="8" w:space="0" w:color="808080" w:themeColor="background1" w:themeShade="80"/>
              <w:left w:val="single" w:sz="4" w:space="0" w:color="auto"/>
              <w:bottom w:val="double" w:sz="12" w:space="0" w:color="auto"/>
            </w:tcBorders>
            <w:vAlign w:val="bottom"/>
          </w:tcPr>
          <w:p w:rsidR="0034539C" w:rsidRPr="00266EB2" w:rsidRDefault="0034539C" w:rsidP="0034539C">
            <w:pPr>
              <w:spacing w:before="40" w:after="40"/>
              <w:rPr>
                <w:rFonts w:cs="Arial"/>
                <w:color w:val="000000"/>
                <w:sz w:val="20"/>
                <w:szCs w:val="20"/>
              </w:rPr>
            </w:pPr>
            <w:r w:rsidRPr="00266EB2">
              <w:rPr>
                <w:rFonts w:cs="Arial"/>
                <w:color w:val="000000"/>
                <w:sz w:val="20"/>
                <w:szCs w:val="20"/>
              </w:rPr>
              <w:t>Mining</w:t>
            </w:r>
            <w:r w:rsidR="00F274D1" w:rsidRPr="00266EB2">
              <w:rPr>
                <w:rFonts w:cs="Arial"/>
                <w:color w:val="000000"/>
                <w:sz w:val="20"/>
                <w:szCs w:val="20"/>
              </w:rPr>
              <w:t>**</w:t>
            </w:r>
            <w:r w:rsidRPr="00266EB2">
              <w:rPr>
                <w:rFonts w:cs="Arial"/>
                <w:color w:val="000000"/>
                <w:sz w:val="20"/>
                <w:szCs w:val="20"/>
              </w:rPr>
              <w:t xml:space="preserve"> </w:t>
            </w:r>
          </w:p>
        </w:tc>
        <w:tc>
          <w:tcPr>
            <w:tcW w:w="1461"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1"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18.4</w:t>
            </w:r>
          </w:p>
        </w:tc>
        <w:tc>
          <w:tcPr>
            <w:tcW w:w="1472"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0"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2.6</w:t>
            </w:r>
          </w:p>
        </w:tc>
        <w:tc>
          <w:tcPr>
            <w:tcW w:w="1461"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2.6</w:t>
            </w:r>
          </w:p>
        </w:tc>
        <w:tc>
          <w:tcPr>
            <w:tcW w:w="1461" w:type="dxa"/>
            <w:tcBorders>
              <w:top w:val="single" w:sz="8" w:space="0" w:color="808080" w:themeColor="background1" w:themeShade="80"/>
              <w:bottom w:val="double" w:sz="12"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0.0</w:t>
            </w:r>
          </w:p>
        </w:tc>
        <w:tc>
          <w:tcPr>
            <w:tcW w:w="1462" w:type="dxa"/>
            <w:tcBorders>
              <w:top w:val="single" w:sz="8" w:space="0" w:color="808080" w:themeColor="background1" w:themeShade="80"/>
              <w:bottom w:val="double" w:sz="12" w:space="0" w:color="auto"/>
              <w:right w:val="single" w:sz="4" w:space="0" w:color="auto"/>
            </w:tcBorders>
            <w:vAlign w:val="bottom"/>
          </w:tcPr>
          <w:p w:rsidR="0034539C" w:rsidRPr="00266EB2" w:rsidRDefault="0034539C" w:rsidP="0034539C">
            <w:pPr>
              <w:spacing w:before="40" w:after="40"/>
              <w:jc w:val="center"/>
              <w:rPr>
                <w:rFonts w:cs="Arial"/>
                <w:color w:val="000000"/>
                <w:sz w:val="20"/>
                <w:szCs w:val="20"/>
              </w:rPr>
            </w:pPr>
            <w:r w:rsidRPr="00266EB2">
              <w:rPr>
                <w:rFonts w:cs="Arial"/>
                <w:color w:val="000000"/>
                <w:sz w:val="20"/>
                <w:szCs w:val="20"/>
              </w:rPr>
              <w:t>7.9</w:t>
            </w:r>
          </w:p>
        </w:tc>
      </w:tr>
      <w:tr w:rsidR="00F274D1" w:rsidRPr="00266EB2" w:rsidTr="00BC28AD">
        <w:tc>
          <w:tcPr>
            <w:tcW w:w="13176" w:type="dxa"/>
            <w:gridSpan w:val="8"/>
            <w:tcBorders>
              <w:top w:val="double" w:sz="12" w:space="0" w:color="auto"/>
              <w:left w:val="single" w:sz="4" w:space="0" w:color="auto"/>
              <w:bottom w:val="single" w:sz="12" w:space="0" w:color="auto"/>
              <w:right w:val="single" w:sz="4" w:space="0" w:color="auto"/>
            </w:tcBorders>
            <w:vAlign w:val="bottom"/>
          </w:tcPr>
          <w:p w:rsidR="00F274D1" w:rsidRPr="00266EB2" w:rsidRDefault="00F274D1" w:rsidP="00F274D1">
            <w:pPr>
              <w:spacing w:before="40" w:after="40"/>
              <w:rPr>
                <w:rFonts w:cs="Arial"/>
                <w:color w:val="000000"/>
                <w:sz w:val="20"/>
                <w:szCs w:val="20"/>
              </w:rPr>
            </w:pPr>
            <w:r w:rsidRPr="00266EB2">
              <w:rPr>
                <w:rFonts w:cs="Arial"/>
                <w:color w:val="000000"/>
                <w:sz w:val="20"/>
                <w:szCs w:val="20"/>
              </w:rPr>
              <w:t>* Industry sample size: 90-100 workers, ** Industry sample size: ≤50 workers, caution is required when interpreting these percentages</w:t>
            </w:r>
          </w:p>
        </w:tc>
      </w:tr>
    </w:tbl>
    <w:p w:rsidR="001A172D" w:rsidRPr="00266EB2" w:rsidRDefault="001A172D" w:rsidP="001A172D"/>
    <w:bookmarkEnd w:id="69"/>
    <w:p w:rsidR="00767EFA" w:rsidRPr="00266EB2" w:rsidRDefault="00767EFA" w:rsidP="006A692D">
      <w:pPr>
        <w:pStyle w:val="Heading3"/>
        <w:sectPr w:rsidR="00767EFA" w:rsidRPr="00266EB2" w:rsidSect="007C515D">
          <w:footerReference w:type="default" r:id="rId20"/>
          <w:pgSz w:w="15840" w:h="12240" w:orient="landscape"/>
          <w:pgMar w:top="1440" w:right="1440" w:bottom="1440" w:left="1440" w:header="709" w:footer="709" w:gutter="0"/>
          <w:cols w:space="708"/>
          <w:docGrid w:linePitch="360"/>
        </w:sectPr>
      </w:pPr>
    </w:p>
    <w:p w:rsidR="001B4C39" w:rsidRPr="00356510" w:rsidRDefault="001B4C39" w:rsidP="006A692D">
      <w:pPr>
        <w:pStyle w:val="Heading3"/>
      </w:pPr>
      <w:bookmarkStart w:id="70" w:name="_Toc309808254"/>
      <w:bookmarkStart w:id="71" w:name="_Toc312075710"/>
      <w:r w:rsidRPr="00266EB2">
        <w:lastRenderedPageBreak/>
        <w:t>Multivaria</w:t>
      </w:r>
      <w:r w:rsidR="00DC0248" w:rsidRPr="00266EB2">
        <w:t>te</w:t>
      </w:r>
      <w:r w:rsidRPr="00266EB2">
        <w:t xml:space="preserve"> analys</w:t>
      </w:r>
      <w:r w:rsidR="00DC0248" w:rsidRPr="00266EB2">
        <w:t>e</w:t>
      </w:r>
      <w:r w:rsidRPr="00266EB2">
        <w:t xml:space="preserve">s of </w:t>
      </w:r>
      <w:bookmarkEnd w:id="70"/>
      <w:r w:rsidR="00DC0248" w:rsidRPr="00266EB2">
        <w:t>self-reported exposure to chemicals</w:t>
      </w:r>
      <w:bookmarkEnd w:id="71"/>
      <w:r w:rsidRPr="00356510">
        <w:t xml:space="preserve"> </w:t>
      </w:r>
    </w:p>
    <w:p w:rsidR="001B4C39" w:rsidRPr="00356510" w:rsidRDefault="001B4C39" w:rsidP="001B4C39">
      <w:pPr>
        <w:rPr>
          <w:rFonts w:cs="Arial"/>
        </w:rPr>
      </w:pPr>
      <w:r w:rsidRPr="00356510">
        <w:rPr>
          <w:rFonts w:cs="Arial"/>
        </w:rPr>
        <w:t xml:space="preserve">Logistic regression models were run to </w:t>
      </w:r>
      <w:r w:rsidR="00686445">
        <w:rPr>
          <w:rFonts w:cs="Arial"/>
        </w:rPr>
        <w:t>identify</w:t>
      </w:r>
      <w:r w:rsidRPr="00356510">
        <w:rPr>
          <w:rFonts w:cs="Arial"/>
        </w:rPr>
        <w:t xml:space="preserve"> workplace and demographic predictors </w:t>
      </w:r>
      <w:r w:rsidR="003F08E8">
        <w:rPr>
          <w:rFonts w:cs="Arial"/>
        </w:rPr>
        <w:t>of</w:t>
      </w:r>
      <w:r w:rsidRPr="00356510">
        <w:rPr>
          <w:rFonts w:cs="Arial"/>
        </w:rPr>
        <w:t xml:space="preserve"> self-reported exposure to each of the seven main chemical exposure categories. </w:t>
      </w:r>
      <w:r w:rsidR="00686445">
        <w:rPr>
          <w:rFonts w:cs="Arial"/>
        </w:rPr>
        <w:t>The d</w:t>
      </w:r>
      <w:r w:rsidRPr="00356510">
        <w:rPr>
          <w:rFonts w:cs="Arial"/>
          <w:szCs w:val="22"/>
        </w:rPr>
        <w:t>ata w</w:t>
      </w:r>
      <w:r w:rsidR="00686445">
        <w:rPr>
          <w:rFonts w:cs="Arial"/>
          <w:szCs w:val="22"/>
        </w:rPr>
        <w:t>ere</w:t>
      </w:r>
      <w:r w:rsidRPr="00356510">
        <w:rPr>
          <w:rFonts w:cs="Arial"/>
          <w:szCs w:val="22"/>
        </w:rPr>
        <w:t xml:space="preserve"> analysed </w:t>
      </w:r>
      <w:r w:rsidR="003F08E8">
        <w:rPr>
          <w:rFonts w:cs="Arial"/>
          <w:szCs w:val="22"/>
        </w:rPr>
        <w:t xml:space="preserve">initially </w:t>
      </w:r>
      <w:r w:rsidRPr="00356510">
        <w:rPr>
          <w:rFonts w:cs="Arial"/>
          <w:szCs w:val="22"/>
        </w:rPr>
        <w:t xml:space="preserve">using univariate logistic regression (data not reported). </w:t>
      </w:r>
      <w:r w:rsidR="003F08E8">
        <w:rPr>
          <w:rFonts w:cs="Arial"/>
          <w:szCs w:val="22"/>
        </w:rPr>
        <w:t>V</w:t>
      </w:r>
      <w:r w:rsidRPr="00356510">
        <w:rPr>
          <w:rFonts w:cs="Arial"/>
          <w:szCs w:val="22"/>
        </w:rPr>
        <w:t xml:space="preserve">ariables </w:t>
      </w:r>
      <w:r w:rsidR="003F08E8">
        <w:rPr>
          <w:rFonts w:cs="Arial"/>
          <w:szCs w:val="22"/>
        </w:rPr>
        <w:t xml:space="preserve">that were statistically significantly associated with self-reported exposure in </w:t>
      </w:r>
      <w:r w:rsidRPr="00356510">
        <w:rPr>
          <w:rFonts w:cs="Arial"/>
          <w:szCs w:val="22"/>
        </w:rPr>
        <w:t>the univariate models were included in the multi</w:t>
      </w:r>
      <w:r w:rsidR="00A161FC">
        <w:rPr>
          <w:rFonts w:cs="Arial"/>
          <w:szCs w:val="22"/>
        </w:rPr>
        <w:t>variate</w:t>
      </w:r>
      <w:r w:rsidRPr="00356510">
        <w:rPr>
          <w:rFonts w:cs="Arial"/>
          <w:szCs w:val="22"/>
        </w:rPr>
        <w:t xml:space="preserve"> logistic regression models. </w:t>
      </w:r>
      <w:r w:rsidR="003F08E8">
        <w:rPr>
          <w:rFonts w:cs="Arial"/>
          <w:szCs w:val="22"/>
        </w:rPr>
        <w:t>For each of the seven chemical exposures, t</w:t>
      </w:r>
      <w:r w:rsidRPr="00356510">
        <w:rPr>
          <w:rFonts w:cs="Arial"/>
          <w:szCs w:val="22"/>
        </w:rPr>
        <w:t xml:space="preserve">hese models described the </w:t>
      </w:r>
      <w:r w:rsidR="001A1245" w:rsidRPr="00356510">
        <w:rPr>
          <w:rFonts w:cs="Arial"/>
          <w:szCs w:val="22"/>
        </w:rPr>
        <w:t>likelihood</w:t>
      </w:r>
      <w:r w:rsidRPr="00356510">
        <w:rPr>
          <w:rFonts w:cs="Arial"/>
          <w:szCs w:val="22"/>
        </w:rPr>
        <w:t xml:space="preserve"> </w:t>
      </w:r>
      <w:r w:rsidR="001A1245" w:rsidRPr="00356510">
        <w:rPr>
          <w:rFonts w:cs="Arial"/>
          <w:szCs w:val="22"/>
        </w:rPr>
        <w:t>(or odds)</w:t>
      </w:r>
      <w:r w:rsidR="003F08E8" w:rsidRPr="00356510">
        <w:rPr>
          <w:rStyle w:val="FootnoteReference"/>
          <w:rFonts w:cs="Arial"/>
        </w:rPr>
        <w:footnoteReference w:id="6"/>
      </w:r>
      <w:r w:rsidR="001A1245" w:rsidRPr="00356510">
        <w:rPr>
          <w:rFonts w:cs="Arial"/>
          <w:szCs w:val="22"/>
        </w:rPr>
        <w:t xml:space="preserve"> </w:t>
      </w:r>
      <w:r w:rsidRPr="00356510">
        <w:rPr>
          <w:rFonts w:cs="Arial"/>
          <w:szCs w:val="22"/>
        </w:rPr>
        <w:t xml:space="preserve">of reporting skin exposure to chemicals/substances with respect to employment and demographic factors. </w:t>
      </w:r>
      <w:r w:rsidR="00200207">
        <w:rPr>
          <w:rFonts w:cs="Arial"/>
          <w:szCs w:val="22"/>
        </w:rPr>
        <w:t>The m</w:t>
      </w:r>
      <w:r w:rsidRPr="00356510">
        <w:rPr>
          <w:rFonts w:cs="Arial"/>
          <w:szCs w:val="22"/>
        </w:rPr>
        <w:t xml:space="preserve">odels for each of the chemical exposure variables were run separately, </w:t>
      </w:r>
      <w:r w:rsidR="00200207">
        <w:rPr>
          <w:rFonts w:cs="Arial"/>
          <w:szCs w:val="22"/>
        </w:rPr>
        <w:t>but</w:t>
      </w:r>
      <w:r w:rsidRPr="00356510">
        <w:rPr>
          <w:rFonts w:cs="Arial"/>
          <w:szCs w:val="22"/>
        </w:rPr>
        <w:t xml:space="preserve"> are presented </w:t>
      </w:r>
      <w:r w:rsidRPr="00356510">
        <w:rPr>
          <w:rFonts w:cs="Arial"/>
        </w:rPr>
        <w:t>in common tables</w:t>
      </w:r>
      <w:r w:rsidRPr="00356510">
        <w:rPr>
          <w:rFonts w:cs="Arial"/>
          <w:szCs w:val="22"/>
        </w:rPr>
        <w:t xml:space="preserve"> </w:t>
      </w:r>
      <w:r w:rsidR="00A161FC">
        <w:rPr>
          <w:rFonts w:cs="Arial"/>
          <w:szCs w:val="22"/>
        </w:rPr>
        <w:t>(</w:t>
      </w:r>
      <w:r w:rsidR="00AB2546">
        <w:rPr>
          <w:rFonts w:cs="Arial"/>
          <w:szCs w:val="22"/>
        </w:rPr>
        <w:fldChar w:fldCharType="begin"/>
      </w:r>
      <w:r w:rsidR="00A161FC">
        <w:rPr>
          <w:rFonts w:cs="Arial"/>
          <w:szCs w:val="22"/>
        </w:rPr>
        <w:instrText xml:space="preserve"> REF _Ref311554058 \h </w:instrText>
      </w:r>
      <w:r w:rsidR="00AB2546">
        <w:rPr>
          <w:rFonts w:cs="Arial"/>
          <w:szCs w:val="22"/>
        </w:rPr>
      </w:r>
      <w:r w:rsidR="00AB2546">
        <w:rPr>
          <w:rFonts w:cs="Arial"/>
          <w:szCs w:val="22"/>
        </w:rPr>
        <w:fldChar w:fldCharType="separate"/>
      </w:r>
      <w:r w:rsidR="00266EB2">
        <w:t xml:space="preserve">Table </w:t>
      </w:r>
      <w:r w:rsidR="00266EB2">
        <w:rPr>
          <w:noProof/>
        </w:rPr>
        <w:t>3</w:t>
      </w:r>
      <w:r w:rsidR="00AB2546">
        <w:rPr>
          <w:rFonts w:cs="Arial"/>
          <w:szCs w:val="22"/>
        </w:rPr>
        <w:fldChar w:fldCharType="end"/>
      </w:r>
      <w:r w:rsidR="00A161FC">
        <w:rPr>
          <w:rFonts w:cs="Arial"/>
          <w:szCs w:val="22"/>
        </w:rPr>
        <w:t xml:space="preserve"> and </w:t>
      </w:r>
      <w:r w:rsidR="00AB2546">
        <w:rPr>
          <w:rFonts w:cs="Arial"/>
          <w:szCs w:val="22"/>
        </w:rPr>
        <w:fldChar w:fldCharType="begin"/>
      </w:r>
      <w:r w:rsidR="00A161FC">
        <w:rPr>
          <w:rFonts w:cs="Arial"/>
          <w:szCs w:val="22"/>
        </w:rPr>
        <w:instrText xml:space="preserve"> REF _Ref311554061 \h </w:instrText>
      </w:r>
      <w:r w:rsidR="00AB2546">
        <w:rPr>
          <w:rFonts w:cs="Arial"/>
          <w:szCs w:val="22"/>
        </w:rPr>
      </w:r>
      <w:r w:rsidR="00AB2546">
        <w:rPr>
          <w:rFonts w:cs="Arial"/>
          <w:szCs w:val="22"/>
        </w:rPr>
        <w:fldChar w:fldCharType="separate"/>
      </w:r>
      <w:r w:rsidR="00266EB2">
        <w:t xml:space="preserve">Table </w:t>
      </w:r>
      <w:r w:rsidR="00266EB2">
        <w:rPr>
          <w:noProof/>
        </w:rPr>
        <w:t>4</w:t>
      </w:r>
      <w:r w:rsidR="00AB2546">
        <w:rPr>
          <w:rFonts w:cs="Arial"/>
          <w:szCs w:val="22"/>
        </w:rPr>
        <w:fldChar w:fldCharType="end"/>
      </w:r>
      <w:r w:rsidR="00A161FC">
        <w:rPr>
          <w:rFonts w:cs="Arial"/>
          <w:szCs w:val="22"/>
        </w:rPr>
        <w:t xml:space="preserve">) </w:t>
      </w:r>
      <w:r w:rsidRPr="00356510">
        <w:rPr>
          <w:rFonts w:cs="Arial"/>
          <w:szCs w:val="22"/>
        </w:rPr>
        <w:t xml:space="preserve">for ease of comparison. If a </w:t>
      </w:r>
      <w:r w:rsidR="00200207">
        <w:rPr>
          <w:rFonts w:cs="Arial"/>
          <w:szCs w:val="22"/>
        </w:rPr>
        <w:t xml:space="preserve">predictive factor </w:t>
      </w:r>
      <w:r w:rsidRPr="00356510">
        <w:rPr>
          <w:rFonts w:cs="Arial"/>
          <w:szCs w:val="22"/>
        </w:rPr>
        <w:t xml:space="preserve">was </w:t>
      </w:r>
      <w:r w:rsidR="00200207">
        <w:rPr>
          <w:rFonts w:cs="Arial"/>
          <w:szCs w:val="22"/>
        </w:rPr>
        <w:t xml:space="preserve">statistically </w:t>
      </w:r>
      <w:r w:rsidRPr="00356510">
        <w:rPr>
          <w:rFonts w:cs="Arial"/>
          <w:szCs w:val="22"/>
        </w:rPr>
        <w:t xml:space="preserve">significant in a model for one chemical exposure it was retained for all models. </w:t>
      </w:r>
      <w:r w:rsidRPr="00356510">
        <w:rPr>
          <w:rFonts w:cs="Arial"/>
        </w:rPr>
        <w:t xml:space="preserve">Significant associations, i.e. workplace or demographic factors that affect the likelihood of </w:t>
      </w:r>
      <w:r w:rsidR="00200207">
        <w:rPr>
          <w:rFonts w:cs="Arial"/>
        </w:rPr>
        <w:t>reporting exposure</w:t>
      </w:r>
      <w:r w:rsidRPr="00356510">
        <w:rPr>
          <w:rFonts w:cs="Arial"/>
        </w:rPr>
        <w:t xml:space="preserve"> to particular chemicals, have been highlighted in</w:t>
      </w:r>
      <w:r w:rsidR="00A161FC">
        <w:rPr>
          <w:rFonts w:cs="Arial"/>
        </w:rPr>
        <w:t xml:space="preserve"> bold font in</w:t>
      </w:r>
      <w:r w:rsidRPr="00356510">
        <w:rPr>
          <w:rFonts w:cs="Arial"/>
        </w:rPr>
        <w:t xml:space="preserve"> the tables. Model diagnostics (Hosmer-Lemeshow goodness of fit tests) </w:t>
      </w:r>
      <w:r w:rsidR="00A161FC">
        <w:rPr>
          <w:rFonts w:cs="Arial"/>
        </w:rPr>
        <w:t>are</w:t>
      </w:r>
      <w:r w:rsidRPr="00356510">
        <w:rPr>
          <w:rFonts w:cs="Arial"/>
        </w:rPr>
        <w:t xml:space="preserve"> presented at the bottom of each separate model. These confirm that all the models had acceptable fit.</w:t>
      </w:r>
    </w:p>
    <w:p w:rsidR="001B4C39" w:rsidRPr="00356510" w:rsidRDefault="001B4C39" w:rsidP="001B4C39">
      <w:pPr>
        <w:pStyle w:val="Heading4"/>
        <w:rPr>
          <w:rFonts w:cs="Arial"/>
        </w:rPr>
      </w:pPr>
      <w:r w:rsidRPr="00356510">
        <w:rPr>
          <w:rFonts w:cs="Arial"/>
        </w:rPr>
        <w:t>Bases and alkalis</w:t>
      </w:r>
    </w:p>
    <w:p w:rsidR="001B4C39" w:rsidRPr="00356510" w:rsidRDefault="00A161FC" w:rsidP="001B4C39">
      <w:pPr>
        <w:rPr>
          <w:rFonts w:cs="Arial"/>
        </w:rPr>
      </w:pPr>
      <w:r>
        <w:rPr>
          <w:rFonts w:cs="Arial"/>
        </w:rPr>
        <w:t>T</w:t>
      </w:r>
      <w:r w:rsidR="001B4C39" w:rsidRPr="00356510">
        <w:rPr>
          <w:rFonts w:cs="Arial"/>
        </w:rPr>
        <w:t xml:space="preserve">he logistic regression model for </w:t>
      </w:r>
      <w:r w:rsidR="00095CDE" w:rsidRPr="00356510">
        <w:rPr>
          <w:rFonts w:cs="Arial"/>
          <w:i/>
        </w:rPr>
        <w:t>Bases and alkalis</w:t>
      </w:r>
      <w:r w:rsidR="00DC0248">
        <w:rPr>
          <w:rFonts w:cs="Arial"/>
          <w:i/>
        </w:rPr>
        <w:t xml:space="preserve"> </w:t>
      </w:r>
      <w:r w:rsidR="00DC0248" w:rsidRPr="00DC0248">
        <w:rPr>
          <w:rFonts w:cs="Arial"/>
        </w:rPr>
        <w:t>(</w:t>
      </w:r>
      <w:r w:rsidR="00AB2546">
        <w:rPr>
          <w:rFonts w:cs="Arial"/>
        </w:rPr>
        <w:fldChar w:fldCharType="begin"/>
      </w:r>
      <w:r w:rsidR="00DC0248">
        <w:rPr>
          <w:rFonts w:cs="Arial"/>
        </w:rPr>
        <w:instrText xml:space="preserve"> REF _Ref311554058 \h </w:instrText>
      </w:r>
      <w:r w:rsidR="00AB2546">
        <w:rPr>
          <w:rFonts w:cs="Arial"/>
        </w:rPr>
      </w:r>
      <w:r w:rsidR="00AB2546">
        <w:rPr>
          <w:rFonts w:cs="Arial"/>
        </w:rPr>
        <w:fldChar w:fldCharType="separate"/>
      </w:r>
      <w:r w:rsidR="00266EB2">
        <w:t xml:space="preserve">Table </w:t>
      </w:r>
      <w:r w:rsidR="00266EB2">
        <w:rPr>
          <w:noProof/>
        </w:rPr>
        <w:t>3</w:t>
      </w:r>
      <w:r w:rsidR="00AB2546">
        <w:rPr>
          <w:rFonts w:cs="Arial"/>
        </w:rPr>
        <w:fldChar w:fldCharType="end"/>
      </w:r>
      <w:r w:rsidR="001B4C39" w:rsidRPr="00DC0248">
        <w:rPr>
          <w:rFonts w:cs="Arial"/>
        </w:rPr>
        <w:t>)</w:t>
      </w:r>
      <w:r w:rsidR="001B4C39" w:rsidRPr="00356510">
        <w:rPr>
          <w:rFonts w:cs="Arial"/>
        </w:rPr>
        <w:t xml:space="preserve"> </w:t>
      </w:r>
      <w:r>
        <w:rPr>
          <w:rFonts w:cs="Arial"/>
        </w:rPr>
        <w:t>identified</w:t>
      </w:r>
      <w:r w:rsidR="001B4C39" w:rsidRPr="00356510">
        <w:rPr>
          <w:rFonts w:cs="Arial"/>
        </w:rPr>
        <w:t xml:space="preserve"> a number of worker groups that were more (or less) likely to report exposure to this chemical category. Female workers were almost three times more likely to report exposure to </w:t>
      </w:r>
      <w:r w:rsidR="00095CDE" w:rsidRPr="00356510">
        <w:rPr>
          <w:rFonts w:cs="Arial"/>
          <w:i/>
        </w:rPr>
        <w:t>Bases and alkalis</w:t>
      </w:r>
      <w:r w:rsidR="001B4C39" w:rsidRPr="00356510">
        <w:rPr>
          <w:rFonts w:cs="Arial"/>
        </w:rPr>
        <w:t xml:space="preserve"> than male workers. </w:t>
      </w:r>
      <w:r>
        <w:rPr>
          <w:rFonts w:cs="Arial"/>
        </w:rPr>
        <w:t xml:space="preserve">Relative to workers in the highest skill level - </w:t>
      </w:r>
      <w:r w:rsidRPr="00356510">
        <w:rPr>
          <w:rFonts w:cs="Arial"/>
        </w:rPr>
        <w:t>Level one (Manager</w:t>
      </w:r>
      <w:r>
        <w:rPr>
          <w:rFonts w:cs="Arial"/>
        </w:rPr>
        <w:t>s</w:t>
      </w:r>
      <w:r w:rsidRPr="00356510">
        <w:rPr>
          <w:rFonts w:cs="Arial"/>
        </w:rPr>
        <w:t xml:space="preserve"> and professional</w:t>
      </w:r>
      <w:r>
        <w:rPr>
          <w:rFonts w:cs="Arial"/>
        </w:rPr>
        <w:t>s</w:t>
      </w:r>
      <w:r w:rsidRPr="00356510">
        <w:rPr>
          <w:rFonts w:cs="Arial"/>
        </w:rPr>
        <w:t>)</w:t>
      </w:r>
      <w:r>
        <w:rPr>
          <w:rFonts w:cs="Arial"/>
        </w:rPr>
        <w:t>, w</w:t>
      </w:r>
      <w:r w:rsidR="001B4C39" w:rsidRPr="00356510">
        <w:rPr>
          <w:rFonts w:cs="Arial"/>
        </w:rPr>
        <w:t xml:space="preserve">orkers in each </w:t>
      </w:r>
      <w:r>
        <w:rPr>
          <w:rFonts w:cs="Arial"/>
        </w:rPr>
        <w:t xml:space="preserve">of the lower </w:t>
      </w:r>
      <w:r w:rsidR="001B4C39" w:rsidRPr="00356510">
        <w:rPr>
          <w:rFonts w:cs="Arial"/>
        </w:rPr>
        <w:t>occupational skill level</w:t>
      </w:r>
      <w:r>
        <w:rPr>
          <w:rFonts w:cs="Arial"/>
        </w:rPr>
        <w:t>s</w:t>
      </w:r>
      <w:r w:rsidR="001B4C39" w:rsidRPr="00356510">
        <w:rPr>
          <w:rFonts w:cs="Arial"/>
        </w:rPr>
        <w:t xml:space="preserve"> were more likely to report exposure </w:t>
      </w:r>
      <w:r>
        <w:rPr>
          <w:rFonts w:cs="Arial"/>
        </w:rPr>
        <w:t>to Bases and alkalis.</w:t>
      </w:r>
      <w:r w:rsidR="001B4C39" w:rsidRPr="00356510">
        <w:rPr>
          <w:rFonts w:cs="Arial"/>
        </w:rPr>
        <w:t xml:space="preserve"> This </w:t>
      </w:r>
      <w:r w:rsidR="00815AF9" w:rsidRPr="00356510">
        <w:rPr>
          <w:rFonts w:cs="Arial"/>
        </w:rPr>
        <w:t xml:space="preserve">increased likelihood </w:t>
      </w:r>
      <w:r w:rsidR="001B4C39" w:rsidRPr="00356510">
        <w:rPr>
          <w:rFonts w:cs="Arial"/>
        </w:rPr>
        <w:t xml:space="preserve">was </w:t>
      </w:r>
      <w:r>
        <w:rPr>
          <w:rFonts w:cs="Arial"/>
        </w:rPr>
        <w:t>greates</w:t>
      </w:r>
      <w:r w:rsidR="001B4C39" w:rsidRPr="00356510">
        <w:rPr>
          <w:rFonts w:cs="Arial"/>
        </w:rPr>
        <w:t>t for workers in the l</w:t>
      </w:r>
      <w:r w:rsidR="008161A1" w:rsidRPr="00356510">
        <w:rPr>
          <w:rFonts w:cs="Arial"/>
        </w:rPr>
        <w:t>owest occupational skill level</w:t>
      </w:r>
      <w:r>
        <w:rPr>
          <w:rFonts w:cs="Arial"/>
        </w:rPr>
        <w:t xml:space="preserve"> -</w:t>
      </w:r>
      <w:r w:rsidR="00287635" w:rsidRPr="00356510">
        <w:rPr>
          <w:rFonts w:cs="Arial"/>
        </w:rPr>
        <w:t xml:space="preserve"> </w:t>
      </w:r>
      <w:r>
        <w:rPr>
          <w:rFonts w:cs="Arial"/>
        </w:rPr>
        <w:t>L</w:t>
      </w:r>
      <w:r w:rsidR="008161A1" w:rsidRPr="00356510">
        <w:rPr>
          <w:rFonts w:cs="Arial"/>
        </w:rPr>
        <w:t>evel five</w:t>
      </w:r>
      <w:r w:rsidR="001B4C39" w:rsidRPr="00356510">
        <w:rPr>
          <w:rFonts w:cs="Arial"/>
        </w:rPr>
        <w:t xml:space="preserve"> </w:t>
      </w:r>
      <w:r w:rsidR="008161A1" w:rsidRPr="00356510">
        <w:rPr>
          <w:rFonts w:cs="Arial"/>
        </w:rPr>
        <w:t>(Elementary clerical, sales or service work and labourer or related work</w:t>
      </w:r>
      <w:r w:rsidR="001B4C39" w:rsidRPr="00356510">
        <w:rPr>
          <w:rFonts w:cs="Arial"/>
        </w:rPr>
        <w:t>)</w:t>
      </w:r>
      <w:r w:rsidR="008161A1" w:rsidRPr="00356510">
        <w:rPr>
          <w:rFonts w:cs="Arial"/>
        </w:rPr>
        <w:t>,</w:t>
      </w:r>
      <w:r w:rsidR="001B4C39" w:rsidRPr="00356510">
        <w:rPr>
          <w:rFonts w:cs="Arial"/>
        </w:rPr>
        <w:t xml:space="preserve"> who were more than four times more likely to report exposure to these chemicals </w:t>
      </w:r>
      <w:r w:rsidR="001B4C39" w:rsidRPr="00356510">
        <w:rPr>
          <w:rFonts w:cs="Arial"/>
          <w:szCs w:val="22"/>
        </w:rPr>
        <w:t>(OR 4.28, 95% CI: 2.70-6.78).</w:t>
      </w:r>
      <w:r w:rsidR="001B4C39" w:rsidRPr="00356510">
        <w:rPr>
          <w:rFonts w:cs="Arial"/>
        </w:rPr>
        <w:t xml:space="preserve"> The likelihood of exposure to </w:t>
      </w:r>
      <w:r w:rsidR="00095CDE" w:rsidRPr="00356510">
        <w:rPr>
          <w:rFonts w:cs="Arial"/>
          <w:i/>
        </w:rPr>
        <w:t>Bases and alkalis</w:t>
      </w:r>
      <w:r w:rsidR="001B4C39" w:rsidRPr="00356510">
        <w:rPr>
          <w:rFonts w:cs="Arial"/>
        </w:rPr>
        <w:t xml:space="preserve"> was similar for most workers based on workplace</w:t>
      </w:r>
      <w:r>
        <w:rPr>
          <w:rFonts w:cs="Arial"/>
        </w:rPr>
        <w:t xml:space="preserve"> size</w:t>
      </w:r>
      <w:r w:rsidR="001B4C39" w:rsidRPr="00356510">
        <w:rPr>
          <w:rFonts w:cs="Arial"/>
        </w:rPr>
        <w:t xml:space="preserve">. However, workers in workplaces with between 20 to 199 workers were about half as likely to report exposure to </w:t>
      </w:r>
      <w:r w:rsidR="00095CDE" w:rsidRPr="00356510">
        <w:rPr>
          <w:rFonts w:cs="Arial"/>
          <w:i/>
        </w:rPr>
        <w:t>Bases and alkalis</w:t>
      </w:r>
      <w:r w:rsidR="001B4C39" w:rsidRPr="00356510">
        <w:rPr>
          <w:rFonts w:cs="Arial"/>
        </w:rPr>
        <w:t xml:space="preserve"> </w:t>
      </w:r>
      <w:r w:rsidR="001B4C39" w:rsidRPr="00356510">
        <w:rPr>
          <w:rFonts w:cs="Arial"/>
          <w:szCs w:val="22"/>
        </w:rPr>
        <w:t xml:space="preserve">(OR 0.59, 95% CI: 0.40-0.87) compared to workers in the largest workplaces (200 or more workers). </w:t>
      </w:r>
    </w:p>
    <w:p w:rsidR="001B4C39" w:rsidRPr="00356510" w:rsidRDefault="001B4C39" w:rsidP="001B4C39">
      <w:pPr>
        <w:pStyle w:val="Heading4"/>
        <w:rPr>
          <w:rFonts w:cs="Arial"/>
        </w:rPr>
      </w:pPr>
      <w:r w:rsidRPr="00356510">
        <w:rPr>
          <w:rFonts w:cs="Arial"/>
        </w:rPr>
        <w:t>Non-bituminous hydrocarbon fuels</w:t>
      </w:r>
    </w:p>
    <w:p w:rsidR="00672B8E" w:rsidRDefault="00334843" w:rsidP="001B4C39">
      <w:pPr>
        <w:rPr>
          <w:rFonts w:cs="Arial"/>
          <w:szCs w:val="22"/>
        </w:rPr>
        <w:sectPr w:rsidR="00672B8E" w:rsidSect="007C515D">
          <w:footerReference w:type="default" r:id="rId21"/>
          <w:type w:val="nextColumn"/>
          <w:pgSz w:w="12240" w:h="15840"/>
          <w:pgMar w:top="1440" w:right="1440" w:bottom="1440" w:left="1440" w:header="709" w:footer="709" w:gutter="0"/>
          <w:cols w:space="708"/>
          <w:docGrid w:linePitch="360"/>
        </w:sectPr>
      </w:pPr>
      <w:r>
        <w:rPr>
          <w:rFonts w:cs="Arial"/>
        </w:rPr>
        <w:t>T</w:t>
      </w:r>
      <w:r w:rsidR="001B4C39" w:rsidRPr="00356510">
        <w:rPr>
          <w:rFonts w:cs="Arial"/>
        </w:rPr>
        <w:t>he</w:t>
      </w:r>
      <w:r w:rsidR="008161A1" w:rsidRPr="00356510">
        <w:rPr>
          <w:rFonts w:cs="Arial"/>
        </w:rPr>
        <w:t xml:space="preserve"> model </w:t>
      </w:r>
      <w:r>
        <w:rPr>
          <w:rFonts w:cs="Arial"/>
        </w:rPr>
        <w:t>examining self-</w:t>
      </w:r>
      <w:r w:rsidR="008161A1" w:rsidRPr="00356510">
        <w:rPr>
          <w:rFonts w:cs="Arial"/>
        </w:rPr>
        <w:t>r</w:t>
      </w:r>
      <w:r>
        <w:rPr>
          <w:rFonts w:cs="Arial"/>
        </w:rPr>
        <w:t>eported exposure to</w:t>
      </w:r>
      <w:r w:rsidR="008161A1" w:rsidRPr="00356510">
        <w:rPr>
          <w:rFonts w:cs="Arial"/>
        </w:rPr>
        <w:t xml:space="preserve"> </w:t>
      </w:r>
      <w:r w:rsidR="003517A5" w:rsidRPr="00356510">
        <w:rPr>
          <w:rFonts w:cs="Arial"/>
          <w:i/>
        </w:rPr>
        <w:t>Non-bituminous hydrocarbon fuels</w:t>
      </w:r>
      <w:r w:rsidR="001B4C39" w:rsidRPr="00356510">
        <w:rPr>
          <w:rFonts w:cs="Arial"/>
        </w:rPr>
        <w:t xml:space="preserve"> (</w:t>
      </w:r>
      <w:r w:rsidR="00AB2546">
        <w:fldChar w:fldCharType="begin"/>
      </w:r>
      <w:r w:rsidR="00DC0248">
        <w:rPr>
          <w:rFonts w:cs="Arial"/>
        </w:rPr>
        <w:instrText xml:space="preserve"> REF _Ref311554058 \h </w:instrText>
      </w:r>
      <w:r w:rsidR="00AB2546">
        <w:fldChar w:fldCharType="separate"/>
      </w:r>
      <w:r w:rsidR="00266EB2">
        <w:t xml:space="preserve">Table </w:t>
      </w:r>
      <w:r w:rsidR="00266EB2">
        <w:rPr>
          <w:noProof/>
        </w:rPr>
        <w:t>3</w:t>
      </w:r>
      <w:r w:rsidR="00AB2546">
        <w:fldChar w:fldCharType="end"/>
      </w:r>
      <w:r w:rsidR="001B4C39" w:rsidRPr="00356510">
        <w:rPr>
          <w:rFonts w:cs="Arial"/>
        </w:rPr>
        <w:t xml:space="preserve">), </w:t>
      </w:r>
      <w:r>
        <w:rPr>
          <w:rFonts w:cs="Arial"/>
        </w:rPr>
        <w:t xml:space="preserve">found that </w:t>
      </w:r>
      <w:r w:rsidR="001B4C39" w:rsidRPr="00356510">
        <w:rPr>
          <w:rFonts w:cs="Arial"/>
        </w:rPr>
        <w:t>female workers were much less likely to report exposure than male workers</w:t>
      </w:r>
      <w:r w:rsidR="001B4C39" w:rsidRPr="00356510">
        <w:t xml:space="preserve"> </w:t>
      </w:r>
      <w:r w:rsidR="001B4C39" w:rsidRPr="00356510">
        <w:rPr>
          <w:rFonts w:cs="Arial"/>
          <w:szCs w:val="22"/>
        </w:rPr>
        <w:t xml:space="preserve">(OR 0.16, 95% CI: 0.09-0.27). Similar to </w:t>
      </w:r>
      <w:r w:rsidR="00095CDE" w:rsidRPr="00356510">
        <w:rPr>
          <w:rFonts w:cs="Arial"/>
          <w:i/>
          <w:szCs w:val="22"/>
        </w:rPr>
        <w:t>Bases and alkalis</w:t>
      </w:r>
      <w:r w:rsidR="001B4C39" w:rsidRPr="00356510">
        <w:rPr>
          <w:rFonts w:cs="Arial"/>
          <w:szCs w:val="22"/>
        </w:rPr>
        <w:t xml:space="preserve">, </w:t>
      </w:r>
      <w:r w:rsidR="001B4C39" w:rsidRPr="00356510">
        <w:t xml:space="preserve">occupational skill level was </w:t>
      </w:r>
      <w:r>
        <w:t xml:space="preserve">also </w:t>
      </w:r>
      <w:r w:rsidR="001B4C39" w:rsidRPr="00356510">
        <w:t>associated with differences in the likelihood a worker reported exposure</w:t>
      </w:r>
      <w:r>
        <w:t xml:space="preserve"> to </w:t>
      </w:r>
      <w:r w:rsidRPr="00356510">
        <w:rPr>
          <w:rFonts w:cs="Arial"/>
          <w:i/>
        </w:rPr>
        <w:t>Non-bituminous hydrocarbon fuels</w:t>
      </w:r>
      <w:r w:rsidR="001B4C39" w:rsidRPr="00356510">
        <w:t>. Compared to workers in</w:t>
      </w:r>
      <w:r>
        <w:t xml:space="preserve"> the highest skill level</w:t>
      </w:r>
      <w:r w:rsidR="001B4C39" w:rsidRPr="00356510">
        <w:t xml:space="preserve">, workers in occupational </w:t>
      </w:r>
      <w:r>
        <w:t>s</w:t>
      </w:r>
      <w:r w:rsidR="001B4C39" w:rsidRPr="00356510">
        <w:t>kill level three (</w:t>
      </w:r>
      <w:r w:rsidR="008161A1" w:rsidRPr="00356510">
        <w:t>Tradesperson or related work</w:t>
      </w:r>
      <w:r>
        <w:t>er</w:t>
      </w:r>
      <w:r w:rsidR="008161A1" w:rsidRPr="00356510">
        <w:t xml:space="preserve"> and advanced clerical or service work</w:t>
      </w:r>
      <w:r>
        <w:t>ers</w:t>
      </w:r>
      <w:r w:rsidR="001B4C39" w:rsidRPr="00356510">
        <w:t>) were more than five times more likely to report e</w:t>
      </w:r>
      <w:r w:rsidR="004421A5" w:rsidRPr="00356510">
        <w:t xml:space="preserve">xposure to </w:t>
      </w:r>
      <w:r w:rsidR="003517A5" w:rsidRPr="00356510">
        <w:rPr>
          <w:i/>
        </w:rPr>
        <w:t>Non-bituminous hydrocarbon fuels</w:t>
      </w:r>
      <w:r w:rsidR="001B4C39" w:rsidRPr="00356510">
        <w:t xml:space="preserve"> </w:t>
      </w:r>
      <w:r w:rsidR="001B4C39" w:rsidRPr="00356510">
        <w:rPr>
          <w:rFonts w:cs="Arial"/>
          <w:szCs w:val="22"/>
        </w:rPr>
        <w:t xml:space="preserve">(OR 5.28, 95% CI: 3.20-8.71). The likelihood of reporting exposure was also elevated for workers in </w:t>
      </w:r>
      <w:r>
        <w:rPr>
          <w:rFonts w:cs="Arial"/>
          <w:szCs w:val="22"/>
        </w:rPr>
        <w:t>s</w:t>
      </w:r>
      <w:r w:rsidR="001B4C39" w:rsidRPr="00356510">
        <w:rPr>
          <w:rFonts w:cs="Arial"/>
          <w:szCs w:val="22"/>
        </w:rPr>
        <w:t>kill leve</w:t>
      </w:r>
      <w:r>
        <w:rPr>
          <w:rFonts w:cs="Arial"/>
          <w:szCs w:val="22"/>
        </w:rPr>
        <w:t>l four</w:t>
      </w:r>
      <w:r w:rsidR="001B4C39" w:rsidRPr="00356510">
        <w:t xml:space="preserve"> </w:t>
      </w:r>
      <w:r w:rsidR="001B4C39" w:rsidRPr="00356510">
        <w:rPr>
          <w:rFonts w:cs="Arial"/>
          <w:szCs w:val="22"/>
        </w:rPr>
        <w:t xml:space="preserve">(OR 2.71, 95% CI: 1.56-4.71) </w:t>
      </w:r>
      <w:r w:rsidR="001B4C39" w:rsidRPr="00356510">
        <w:t xml:space="preserve">and </w:t>
      </w:r>
      <w:r>
        <w:t>skill level five</w:t>
      </w:r>
      <w:r w:rsidR="001B4C39" w:rsidRPr="00356510">
        <w:t xml:space="preserve"> </w:t>
      </w:r>
      <w:r w:rsidR="001B4C39" w:rsidRPr="00356510">
        <w:rPr>
          <w:rFonts w:cs="Arial"/>
          <w:szCs w:val="22"/>
        </w:rPr>
        <w:t xml:space="preserve">(OR 2.70, 95% CI: 1.45-5.02). </w:t>
      </w:r>
    </w:p>
    <w:p w:rsidR="00672B8E" w:rsidRDefault="00672B8E" w:rsidP="00672B8E">
      <w:pPr>
        <w:pStyle w:val="Caption"/>
        <w:keepNext/>
      </w:pPr>
      <w:bookmarkStart w:id="72" w:name="_Ref311554058"/>
      <w:bookmarkStart w:id="73" w:name="_Toc314730498"/>
      <w:r>
        <w:lastRenderedPageBreak/>
        <w:t xml:space="preserve">Table </w:t>
      </w:r>
      <w:r w:rsidR="00AB2546">
        <w:fldChar w:fldCharType="begin"/>
      </w:r>
      <w:r w:rsidR="00F32219">
        <w:instrText xml:space="preserve"> SEQ Table \* ARABIC </w:instrText>
      </w:r>
      <w:r w:rsidR="00AB2546">
        <w:fldChar w:fldCharType="separate"/>
      </w:r>
      <w:r w:rsidR="00266EB2">
        <w:rPr>
          <w:noProof/>
        </w:rPr>
        <w:t>3</w:t>
      </w:r>
      <w:r w:rsidR="00AB2546">
        <w:fldChar w:fldCharType="end"/>
      </w:r>
      <w:bookmarkEnd w:id="72"/>
      <w:r>
        <w:t xml:space="preserve">. </w:t>
      </w:r>
      <w:r w:rsidRPr="00356510">
        <w:rPr>
          <w:rFonts w:cs="Arial"/>
        </w:rPr>
        <w:t>Results (odds ratios and 95% confidence intervals) of the multivariate logistic regression models examining self reported exposure to: Bases and Alkalis, Non-bituminous hydrocarbon fuels, Organic solvents, and Paints, varnishes and inks</w:t>
      </w:r>
      <w:bookmarkEnd w:id="73"/>
    </w:p>
    <w:tbl>
      <w:tblPr>
        <w:tblStyle w:val="TableGrid"/>
        <w:tblW w:w="0" w:type="auto"/>
        <w:tblLayout w:type="fixed"/>
        <w:tblLook w:val="04A0"/>
      </w:tblPr>
      <w:tblGrid>
        <w:gridCol w:w="2943"/>
        <w:gridCol w:w="1279"/>
        <w:gridCol w:w="1279"/>
        <w:gridCol w:w="1279"/>
        <w:gridCol w:w="1279"/>
        <w:gridCol w:w="1279"/>
        <w:gridCol w:w="1279"/>
        <w:gridCol w:w="1279"/>
        <w:gridCol w:w="1280"/>
      </w:tblGrid>
      <w:tr w:rsidR="00672B8E" w:rsidRPr="00E47CAF" w:rsidTr="000843AE">
        <w:tc>
          <w:tcPr>
            <w:tcW w:w="2943" w:type="dxa"/>
            <w:vMerge w:val="restart"/>
            <w:tcBorders>
              <w:top w:val="single" w:sz="12" w:space="0" w:color="auto"/>
              <w:left w:val="single" w:sz="8" w:space="0" w:color="auto"/>
              <w:right w:val="single" w:sz="8" w:space="0" w:color="auto"/>
            </w:tcBorders>
            <w:vAlign w:val="bottom"/>
          </w:tcPr>
          <w:p w:rsidR="00672B8E" w:rsidRDefault="00672B8E" w:rsidP="000843AE">
            <w:pPr>
              <w:pStyle w:val="Caption"/>
              <w:spacing w:before="40" w:after="40"/>
              <w:rPr>
                <w:rFonts w:cs="Arial"/>
              </w:rPr>
            </w:pPr>
            <w:bookmarkStart w:id="74" w:name="_Ref297200376"/>
            <w:r w:rsidRPr="00E47CAF">
              <w:rPr>
                <w:rFonts w:cs="Arial"/>
              </w:rPr>
              <w:t>Employment or demographic factor</w:t>
            </w:r>
          </w:p>
          <w:p w:rsidR="00672B8E" w:rsidRDefault="00672B8E" w:rsidP="000843AE"/>
          <w:p w:rsidR="00672B8E" w:rsidRPr="00BE27A0" w:rsidRDefault="00672B8E" w:rsidP="000843AE">
            <w:pPr>
              <w:rPr>
                <w:sz w:val="18"/>
                <w:szCs w:val="18"/>
              </w:rPr>
            </w:pPr>
            <w:r w:rsidRPr="00BE27A0">
              <w:rPr>
                <w:sz w:val="18"/>
                <w:szCs w:val="18"/>
              </w:rPr>
              <w:t>Statistically significant relationships are shown in bold</w:t>
            </w:r>
          </w:p>
        </w:tc>
        <w:tc>
          <w:tcPr>
            <w:tcW w:w="10233" w:type="dxa"/>
            <w:gridSpan w:val="8"/>
            <w:tcBorders>
              <w:top w:val="single" w:sz="12" w:space="0" w:color="auto"/>
              <w:left w:val="single" w:sz="8" w:space="0" w:color="auto"/>
              <w:bottom w:val="nil"/>
              <w:right w:val="single" w:sz="8" w:space="0" w:color="auto"/>
            </w:tcBorders>
          </w:tcPr>
          <w:p w:rsidR="00672B8E" w:rsidRPr="00E47CAF" w:rsidRDefault="00672B8E" w:rsidP="000843AE">
            <w:pPr>
              <w:pStyle w:val="Caption"/>
              <w:spacing w:before="40" w:after="40"/>
              <w:jc w:val="center"/>
              <w:rPr>
                <w:rFonts w:cs="Arial"/>
              </w:rPr>
            </w:pPr>
            <w:r>
              <w:rPr>
                <w:rFonts w:cs="Arial"/>
              </w:rPr>
              <w:t>The likelihood (OR) that a worker reported exposure to each chemical type relative to the reference group for each factor</w:t>
            </w:r>
          </w:p>
        </w:tc>
      </w:tr>
      <w:tr w:rsidR="00672B8E" w:rsidRPr="00E47CAF" w:rsidTr="000843AE">
        <w:tc>
          <w:tcPr>
            <w:tcW w:w="2943" w:type="dxa"/>
            <w:vMerge/>
            <w:tcBorders>
              <w:left w:val="single" w:sz="8" w:space="0" w:color="auto"/>
              <w:right w:val="single" w:sz="8" w:space="0" w:color="auto"/>
            </w:tcBorders>
          </w:tcPr>
          <w:p w:rsidR="00672B8E" w:rsidRPr="00E47CAF" w:rsidRDefault="00672B8E" w:rsidP="000843AE">
            <w:pPr>
              <w:pStyle w:val="Caption"/>
              <w:spacing w:before="40" w:after="40"/>
              <w:rPr>
                <w:rFonts w:cs="Arial"/>
              </w:rPr>
            </w:pPr>
          </w:p>
        </w:tc>
        <w:tc>
          <w:tcPr>
            <w:tcW w:w="2558" w:type="dxa"/>
            <w:gridSpan w:val="2"/>
            <w:tcBorders>
              <w:top w:val="nil"/>
              <w:left w:val="single" w:sz="8"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sidRPr="00D213B2">
              <w:rPr>
                <w:rFonts w:cs="Arial"/>
                <w:color w:val="FFFFFF" w:themeColor="background1"/>
              </w:rPr>
              <w:t xml:space="preserve">Bases </w:t>
            </w:r>
            <w:r>
              <w:rPr>
                <w:rFonts w:cs="Arial"/>
                <w:color w:val="FFFFFF" w:themeColor="background1"/>
              </w:rPr>
              <w:t>&amp;</w:t>
            </w:r>
            <w:r w:rsidRPr="00D213B2">
              <w:rPr>
                <w:rFonts w:cs="Arial"/>
                <w:color w:val="FFFFFF" w:themeColor="background1"/>
              </w:rPr>
              <w:t xml:space="preserve"> Alkalis</w:t>
            </w:r>
          </w:p>
        </w:tc>
        <w:tc>
          <w:tcPr>
            <w:tcW w:w="2558" w:type="dxa"/>
            <w:gridSpan w:val="2"/>
            <w:tcBorders>
              <w:top w:val="nil"/>
              <w:left w:val="single" w:sz="4"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sidRPr="00D213B2">
              <w:rPr>
                <w:rFonts w:cs="Arial"/>
                <w:color w:val="FFFFFF" w:themeColor="background1"/>
              </w:rPr>
              <w:t>Non-bituminous hydrocarbon fuels</w:t>
            </w:r>
          </w:p>
        </w:tc>
        <w:tc>
          <w:tcPr>
            <w:tcW w:w="2558" w:type="dxa"/>
            <w:gridSpan w:val="2"/>
            <w:tcBorders>
              <w:top w:val="nil"/>
              <w:left w:val="single" w:sz="4"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sidRPr="00D213B2">
              <w:rPr>
                <w:rFonts w:cs="Arial"/>
                <w:color w:val="FFFFFF" w:themeColor="background1"/>
              </w:rPr>
              <w:t>Organic solvents</w:t>
            </w:r>
          </w:p>
        </w:tc>
        <w:tc>
          <w:tcPr>
            <w:tcW w:w="2559" w:type="dxa"/>
            <w:gridSpan w:val="2"/>
            <w:tcBorders>
              <w:top w:val="nil"/>
              <w:left w:val="single" w:sz="4"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sidRPr="00D213B2">
              <w:rPr>
                <w:rFonts w:cs="Arial"/>
                <w:color w:val="FFFFFF" w:themeColor="background1"/>
              </w:rPr>
              <w:t>Paints, varnishes &amp; inks</w:t>
            </w:r>
          </w:p>
        </w:tc>
      </w:tr>
      <w:tr w:rsidR="00672B8E" w:rsidRPr="00E47CAF" w:rsidTr="000843AE">
        <w:trPr>
          <w:trHeight w:val="349"/>
        </w:trPr>
        <w:tc>
          <w:tcPr>
            <w:tcW w:w="2943" w:type="dxa"/>
            <w:vMerge/>
            <w:tcBorders>
              <w:left w:val="single" w:sz="8" w:space="0" w:color="auto"/>
              <w:bottom w:val="single" w:sz="12" w:space="0" w:color="auto"/>
              <w:right w:val="single" w:sz="8" w:space="0" w:color="auto"/>
            </w:tcBorders>
          </w:tcPr>
          <w:p w:rsidR="00672B8E" w:rsidRPr="00E47CAF" w:rsidRDefault="00672B8E" w:rsidP="000843AE">
            <w:pPr>
              <w:pStyle w:val="Caption"/>
              <w:spacing w:before="40" w:after="40"/>
              <w:rPr>
                <w:rFonts w:cs="Arial"/>
              </w:rPr>
            </w:pPr>
          </w:p>
        </w:tc>
        <w:tc>
          <w:tcPr>
            <w:tcW w:w="1279" w:type="dxa"/>
            <w:tcBorders>
              <w:top w:val="nil"/>
              <w:left w:val="single" w:sz="8"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7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c>
          <w:tcPr>
            <w:tcW w:w="1279" w:type="dxa"/>
            <w:tcBorders>
              <w:top w:val="nil"/>
              <w:left w:val="single" w:sz="4"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7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c>
          <w:tcPr>
            <w:tcW w:w="1279" w:type="dxa"/>
            <w:tcBorders>
              <w:top w:val="nil"/>
              <w:left w:val="single" w:sz="4"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7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c>
          <w:tcPr>
            <w:tcW w:w="1279" w:type="dxa"/>
            <w:tcBorders>
              <w:top w:val="nil"/>
              <w:left w:val="single" w:sz="4"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80"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r>
      <w:tr w:rsidR="00672B8E" w:rsidRPr="00E47CAF" w:rsidTr="000843AE">
        <w:tc>
          <w:tcPr>
            <w:tcW w:w="2943" w:type="dxa"/>
            <w:tcBorders>
              <w:top w:val="single" w:sz="12" w:space="0" w:color="auto"/>
            </w:tcBorders>
            <w:shd w:val="clear" w:color="auto" w:fill="808080" w:themeFill="background1" w:themeFillShade="80"/>
          </w:tcPr>
          <w:p w:rsidR="00672B8E" w:rsidRPr="00E47CAF" w:rsidRDefault="00672B8E" w:rsidP="000843AE">
            <w:pPr>
              <w:spacing w:before="40" w:after="40"/>
              <w:rPr>
                <w:rFonts w:cs="Arial"/>
                <w:b/>
                <w:bCs/>
                <w:color w:val="FFFFFF" w:themeColor="background1"/>
                <w:sz w:val="20"/>
                <w:szCs w:val="20"/>
                <w:lang w:eastAsia="en-AU"/>
              </w:rPr>
            </w:pPr>
            <w:r w:rsidRPr="00E47CAF">
              <w:rPr>
                <w:rFonts w:cs="Arial"/>
                <w:b/>
                <w:bCs/>
                <w:color w:val="FFFFFF" w:themeColor="background1"/>
                <w:sz w:val="20"/>
                <w:szCs w:val="20"/>
                <w:lang w:eastAsia="en-AU"/>
              </w:rPr>
              <w:t>Gender</w:t>
            </w: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80"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r>
      <w:tr w:rsidR="00672B8E" w:rsidRPr="00E47CAF" w:rsidTr="000843AE">
        <w:tc>
          <w:tcPr>
            <w:tcW w:w="2943" w:type="dxa"/>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Male (ref)</w:t>
            </w: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80" w:type="dxa"/>
          </w:tcPr>
          <w:p w:rsidR="00672B8E" w:rsidRPr="009A27C8" w:rsidRDefault="00672B8E" w:rsidP="000843AE">
            <w:pPr>
              <w:pStyle w:val="Caption"/>
              <w:spacing w:before="40" w:after="40"/>
              <w:jc w:val="center"/>
              <w:rPr>
                <w:rFonts w:cs="Arial"/>
                <w:b w:val="0"/>
              </w:rPr>
            </w:pPr>
          </w:p>
        </w:tc>
      </w:tr>
      <w:tr w:rsidR="00672B8E" w:rsidRPr="00E47CAF" w:rsidTr="000843AE">
        <w:tc>
          <w:tcPr>
            <w:tcW w:w="2943" w:type="dxa"/>
            <w:tcBorders>
              <w:bottom w:val="single" w:sz="4" w:space="0" w:color="auto"/>
            </w:tcBorders>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 xml:space="preserve">Female </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sidRPr="009A27C8">
              <w:rPr>
                <w:rFonts w:cs="Arial"/>
              </w:rPr>
              <w:t>2.75</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sidRPr="009A27C8">
              <w:rPr>
                <w:rFonts w:cs="Arial"/>
              </w:rPr>
              <w:t>1.99-3.80</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0.16</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0.09-0.27</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1.00</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0.80-1.24</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0.41</w:t>
            </w:r>
          </w:p>
        </w:tc>
        <w:tc>
          <w:tcPr>
            <w:tcW w:w="1280"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0.27-0.61</w:t>
            </w:r>
          </w:p>
        </w:tc>
      </w:tr>
      <w:tr w:rsidR="00672B8E" w:rsidRPr="00E47CAF" w:rsidTr="000843AE">
        <w:tc>
          <w:tcPr>
            <w:tcW w:w="2943" w:type="dxa"/>
            <w:shd w:val="clear" w:color="auto" w:fill="808080" w:themeFill="background1" w:themeFillShade="80"/>
            <w:vAlign w:val="center"/>
          </w:tcPr>
          <w:p w:rsidR="00672B8E" w:rsidRPr="00E47CAF" w:rsidRDefault="00672B8E" w:rsidP="000843AE">
            <w:pPr>
              <w:spacing w:before="40" w:after="40"/>
              <w:rPr>
                <w:rFonts w:cs="Arial"/>
                <w:b/>
                <w:bCs/>
                <w:color w:val="FFFFFF" w:themeColor="background1"/>
                <w:sz w:val="20"/>
                <w:szCs w:val="20"/>
                <w:lang w:eastAsia="en-AU"/>
              </w:rPr>
            </w:pPr>
            <w:r w:rsidRPr="00E47CAF">
              <w:rPr>
                <w:rFonts w:cs="Arial"/>
                <w:b/>
                <w:bCs/>
                <w:color w:val="FFFFFF" w:themeColor="background1"/>
                <w:sz w:val="20"/>
                <w:szCs w:val="20"/>
                <w:lang w:eastAsia="en-AU"/>
              </w:rPr>
              <w:t>Age group</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80"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15-24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80" w:type="dxa"/>
          </w:tcPr>
          <w:p w:rsidR="00672B8E" w:rsidRPr="009A27C8" w:rsidRDefault="00672B8E" w:rsidP="000843AE">
            <w:pPr>
              <w:pStyle w:val="Caption"/>
              <w:spacing w:before="40" w:after="40"/>
              <w:jc w:val="center"/>
              <w:rPr>
                <w:rFonts w:cs="Arial"/>
                <w:b w:val="0"/>
              </w:rPr>
            </w:pP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25-34</w:t>
            </w:r>
          </w:p>
        </w:tc>
        <w:tc>
          <w:tcPr>
            <w:tcW w:w="1279" w:type="dxa"/>
          </w:tcPr>
          <w:p w:rsidR="00672B8E" w:rsidRPr="009A27C8" w:rsidRDefault="00672B8E" w:rsidP="000843AE">
            <w:pPr>
              <w:pStyle w:val="Caption"/>
              <w:spacing w:before="40" w:after="40"/>
              <w:jc w:val="center"/>
              <w:rPr>
                <w:rFonts w:cs="Arial"/>
                <w:b w:val="0"/>
              </w:rPr>
            </w:pPr>
            <w:r>
              <w:rPr>
                <w:rFonts w:cs="Arial"/>
                <w:b w:val="0"/>
              </w:rPr>
              <w:t>0.95</w:t>
            </w:r>
          </w:p>
        </w:tc>
        <w:tc>
          <w:tcPr>
            <w:tcW w:w="1279" w:type="dxa"/>
          </w:tcPr>
          <w:p w:rsidR="00672B8E" w:rsidRPr="009A27C8" w:rsidRDefault="00672B8E" w:rsidP="000843AE">
            <w:pPr>
              <w:pStyle w:val="Caption"/>
              <w:spacing w:before="40" w:after="40"/>
              <w:jc w:val="center"/>
              <w:rPr>
                <w:rFonts w:cs="Arial"/>
                <w:b w:val="0"/>
              </w:rPr>
            </w:pPr>
            <w:r>
              <w:rPr>
                <w:rFonts w:cs="Arial"/>
                <w:b w:val="0"/>
              </w:rPr>
              <w:t>0.50-1.82</w:t>
            </w:r>
          </w:p>
        </w:tc>
        <w:tc>
          <w:tcPr>
            <w:tcW w:w="1279" w:type="dxa"/>
          </w:tcPr>
          <w:p w:rsidR="00672B8E" w:rsidRPr="009A27C8" w:rsidRDefault="00672B8E" w:rsidP="000843AE">
            <w:pPr>
              <w:pStyle w:val="Caption"/>
              <w:spacing w:before="40" w:after="40"/>
              <w:jc w:val="center"/>
              <w:rPr>
                <w:rFonts w:cs="Arial"/>
                <w:b w:val="0"/>
              </w:rPr>
            </w:pPr>
            <w:r>
              <w:rPr>
                <w:rFonts w:cs="Arial"/>
                <w:b w:val="0"/>
              </w:rPr>
              <w:t>1.96</w:t>
            </w:r>
          </w:p>
        </w:tc>
        <w:tc>
          <w:tcPr>
            <w:tcW w:w="1279" w:type="dxa"/>
          </w:tcPr>
          <w:p w:rsidR="00672B8E" w:rsidRPr="009A27C8" w:rsidRDefault="00672B8E" w:rsidP="000843AE">
            <w:pPr>
              <w:pStyle w:val="Caption"/>
              <w:spacing w:before="40" w:after="40"/>
              <w:jc w:val="center"/>
              <w:rPr>
                <w:rFonts w:cs="Arial"/>
                <w:b w:val="0"/>
              </w:rPr>
            </w:pPr>
            <w:r>
              <w:rPr>
                <w:rFonts w:cs="Arial"/>
                <w:b w:val="0"/>
              </w:rPr>
              <w:t>0.90-4.27</w:t>
            </w:r>
          </w:p>
        </w:tc>
        <w:tc>
          <w:tcPr>
            <w:tcW w:w="1279" w:type="dxa"/>
          </w:tcPr>
          <w:p w:rsidR="00672B8E" w:rsidRPr="009A27C8" w:rsidRDefault="00672B8E" w:rsidP="000843AE">
            <w:pPr>
              <w:pStyle w:val="Caption"/>
              <w:spacing w:before="40" w:after="40"/>
              <w:jc w:val="center"/>
              <w:rPr>
                <w:rFonts w:cs="Arial"/>
                <w:b w:val="0"/>
              </w:rPr>
            </w:pPr>
            <w:r>
              <w:rPr>
                <w:rFonts w:cs="Arial"/>
                <w:b w:val="0"/>
              </w:rPr>
              <w:t>1.33</w:t>
            </w:r>
          </w:p>
        </w:tc>
        <w:tc>
          <w:tcPr>
            <w:tcW w:w="1279" w:type="dxa"/>
          </w:tcPr>
          <w:p w:rsidR="00672B8E" w:rsidRPr="009A27C8" w:rsidRDefault="00672B8E" w:rsidP="000843AE">
            <w:pPr>
              <w:pStyle w:val="Caption"/>
              <w:spacing w:before="40" w:after="40"/>
              <w:jc w:val="center"/>
              <w:rPr>
                <w:rFonts w:cs="Arial"/>
                <w:b w:val="0"/>
              </w:rPr>
            </w:pPr>
            <w:r>
              <w:rPr>
                <w:rFonts w:cs="Arial"/>
                <w:b w:val="0"/>
              </w:rPr>
              <w:t>0.81-2.16</w:t>
            </w:r>
          </w:p>
        </w:tc>
        <w:tc>
          <w:tcPr>
            <w:tcW w:w="1279" w:type="dxa"/>
          </w:tcPr>
          <w:p w:rsidR="00672B8E" w:rsidRPr="009A27C8" w:rsidRDefault="00672B8E" w:rsidP="000843AE">
            <w:pPr>
              <w:pStyle w:val="Caption"/>
              <w:spacing w:before="40" w:after="40"/>
              <w:jc w:val="center"/>
              <w:rPr>
                <w:rFonts w:cs="Arial"/>
                <w:b w:val="0"/>
              </w:rPr>
            </w:pPr>
            <w:r>
              <w:rPr>
                <w:rFonts w:cs="Arial"/>
                <w:b w:val="0"/>
              </w:rPr>
              <w:t>1.39</w:t>
            </w:r>
          </w:p>
        </w:tc>
        <w:tc>
          <w:tcPr>
            <w:tcW w:w="1280" w:type="dxa"/>
          </w:tcPr>
          <w:p w:rsidR="00672B8E" w:rsidRPr="009A27C8" w:rsidRDefault="00672B8E" w:rsidP="000843AE">
            <w:pPr>
              <w:pStyle w:val="Caption"/>
              <w:spacing w:before="40" w:after="40"/>
              <w:jc w:val="center"/>
              <w:rPr>
                <w:rFonts w:cs="Arial"/>
                <w:b w:val="0"/>
              </w:rPr>
            </w:pPr>
            <w:r>
              <w:rPr>
                <w:rFonts w:cs="Arial"/>
                <w:b w:val="0"/>
              </w:rPr>
              <w:t>0.72-2.68</w:t>
            </w: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35-44</w:t>
            </w:r>
          </w:p>
        </w:tc>
        <w:tc>
          <w:tcPr>
            <w:tcW w:w="1279" w:type="dxa"/>
          </w:tcPr>
          <w:p w:rsidR="00672B8E" w:rsidRPr="009A27C8" w:rsidRDefault="00672B8E" w:rsidP="000843AE">
            <w:pPr>
              <w:pStyle w:val="Caption"/>
              <w:spacing w:before="40" w:after="40"/>
              <w:jc w:val="center"/>
              <w:rPr>
                <w:rFonts w:cs="Arial"/>
                <w:b w:val="0"/>
              </w:rPr>
            </w:pPr>
            <w:r>
              <w:rPr>
                <w:rFonts w:cs="Arial"/>
                <w:b w:val="0"/>
              </w:rPr>
              <w:t>0.81</w:t>
            </w:r>
          </w:p>
        </w:tc>
        <w:tc>
          <w:tcPr>
            <w:tcW w:w="1279" w:type="dxa"/>
          </w:tcPr>
          <w:p w:rsidR="00672B8E" w:rsidRPr="009A27C8" w:rsidRDefault="00672B8E" w:rsidP="000843AE">
            <w:pPr>
              <w:pStyle w:val="Caption"/>
              <w:spacing w:before="40" w:after="40"/>
              <w:jc w:val="center"/>
              <w:rPr>
                <w:rFonts w:cs="Arial"/>
                <w:b w:val="0"/>
              </w:rPr>
            </w:pPr>
            <w:r>
              <w:rPr>
                <w:rFonts w:cs="Arial"/>
                <w:b w:val="0"/>
              </w:rPr>
              <w:t>0.44-1.49</w:t>
            </w:r>
          </w:p>
        </w:tc>
        <w:tc>
          <w:tcPr>
            <w:tcW w:w="1279" w:type="dxa"/>
          </w:tcPr>
          <w:p w:rsidR="00672B8E" w:rsidRPr="009A27C8" w:rsidRDefault="00672B8E" w:rsidP="000843AE">
            <w:pPr>
              <w:pStyle w:val="Caption"/>
              <w:spacing w:before="40" w:after="40"/>
              <w:jc w:val="center"/>
              <w:rPr>
                <w:rFonts w:cs="Arial"/>
                <w:b w:val="0"/>
              </w:rPr>
            </w:pPr>
            <w:r>
              <w:rPr>
                <w:rFonts w:cs="Arial"/>
                <w:b w:val="0"/>
              </w:rPr>
              <w:t>1.68</w:t>
            </w:r>
          </w:p>
        </w:tc>
        <w:tc>
          <w:tcPr>
            <w:tcW w:w="1279" w:type="dxa"/>
          </w:tcPr>
          <w:p w:rsidR="00672B8E" w:rsidRPr="009A27C8" w:rsidRDefault="00672B8E" w:rsidP="000843AE">
            <w:pPr>
              <w:pStyle w:val="Caption"/>
              <w:spacing w:before="40" w:after="40"/>
              <w:jc w:val="center"/>
              <w:rPr>
                <w:rFonts w:cs="Arial"/>
                <w:b w:val="0"/>
              </w:rPr>
            </w:pPr>
            <w:r>
              <w:rPr>
                <w:rFonts w:cs="Arial"/>
                <w:b w:val="0"/>
              </w:rPr>
              <w:t>0.80-3.54</w:t>
            </w:r>
          </w:p>
        </w:tc>
        <w:tc>
          <w:tcPr>
            <w:tcW w:w="1279" w:type="dxa"/>
          </w:tcPr>
          <w:p w:rsidR="00672B8E" w:rsidRPr="009A27C8" w:rsidRDefault="00672B8E" w:rsidP="000843AE">
            <w:pPr>
              <w:pStyle w:val="Caption"/>
              <w:spacing w:before="40" w:after="40"/>
              <w:jc w:val="center"/>
              <w:rPr>
                <w:rFonts w:cs="Arial"/>
                <w:b w:val="0"/>
              </w:rPr>
            </w:pPr>
            <w:r>
              <w:rPr>
                <w:rFonts w:cs="Arial"/>
                <w:b w:val="0"/>
              </w:rPr>
              <w:t>1.37</w:t>
            </w:r>
          </w:p>
        </w:tc>
        <w:tc>
          <w:tcPr>
            <w:tcW w:w="1279" w:type="dxa"/>
          </w:tcPr>
          <w:p w:rsidR="00672B8E" w:rsidRPr="009A27C8" w:rsidRDefault="00672B8E" w:rsidP="000843AE">
            <w:pPr>
              <w:pStyle w:val="Caption"/>
              <w:spacing w:before="40" w:after="40"/>
              <w:jc w:val="center"/>
              <w:rPr>
                <w:rFonts w:cs="Arial"/>
                <w:b w:val="0"/>
              </w:rPr>
            </w:pPr>
            <w:r>
              <w:rPr>
                <w:rFonts w:cs="Arial"/>
                <w:b w:val="0"/>
              </w:rPr>
              <w:t>0.86-2.17</w:t>
            </w:r>
          </w:p>
        </w:tc>
        <w:tc>
          <w:tcPr>
            <w:tcW w:w="1279" w:type="dxa"/>
          </w:tcPr>
          <w:p w:rsidR="00672B8E" w:rsidRPr="009A27C8" w:rsidRDefault="00672B8E" w:rsidP="000843AE">
            <w:pPr>
              <w:pStyle w:val="Caption"/>
              <w:spacing w:before="40" w:after="40"/>
              <w:jc w:val="center"/>
              <w:rPr>
                <w:rFonts w:cs="Arial"/>
                <w:b w:val="0"/>
              </w:rPr>
            </w:pPr>
            <w:r>
              <w:rPr>
                <w:rFonts w:cs="Arial"/>
                <w:b w:val="0"/>
              </w:rPr>
              <w:t>0.92</w:t>
            </w:r>
          </w:p>
        </w:tc>
        <w:tc>
          <w:tcPr>
            <w:tcW w:w="1280" w:type="dxa"/>
          </w:tcPr>
          <w:p w:rsidR="00672B8E" w:rsidRPr="009A27C8" w:rsidRDefault="00672B8E" w:rsidP="000843AE">
            <w:pPr>
              <w:pStyle w:val="Caption"/>
              <w:spacing w:before="40" w:after="40"/>
              <w:jc w:val="center"/>
              <w:rPr>
                <w:rFonts w:cs="Arial"/>
                <w:b w:val="0"/>
              </w:rPr>
            </w:pPr>
            <w:r>
              <w:rPr>
                <w:rFonts w:cs="Arial"/>
                <w:b w:val="0"/>
              </w:rPr>
              <w:t>0.49-1.75</w:t>
            </w: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45-54</w:t>
            </w:r>
          </w:p>
        </w:tc>
        <w:tc>
          <w:tcPr>
            <w:tcW w:w="1279" w:type="dxa"/>
          </w:tcPr>
          <w:p w:rsidR="00672B8E" w:rsidRPr="009A27C8" w:rsidRDefault="00672B8E" w:rsidP="000843AE">
            <w:pPr>
              <w:pStyle w:val="Caption"/>
              <w:spacing w:before="40" w:after="40"/>
              <w:jc w:val="center"/>
              <w:rPr>
                <w:rFonts w:cs="Arial"/>
                <w:b w:val="0"/>
              </w:rPr>
            </w:pPr>
            <w:r>
              <w:rPr>
                <w:rFonts w:cs="Arial"/>
                <w:b w:val="0"/>
              </w:rPr>
              <w:t>0.78</w:t>
            </w:r>
          </w:p>
        </w:tc>
        <w:tc>
          <w:tcPr>
            <w:tcW w:w="1279" w:type="dxa"/>
          </w:tcPr>
          <w:p w:rsidR="00672B8E" w:rsidRPr="009A27C8" w:rsidRDefault="00672B8E" w:rsidP="000843AE">
            <w:pPr>
              <w:pStyle w:val="Caption"/>
              <w:spacing w:before="40" w:after="40"/>
              <w:jc w:val="center"/>
              <w:rPr>
                <w:rFonts w:cs="Arial"/>
                <w:b w:val="0"/>
              </w:rPr>
            </w:pPr>
            <w:r>
              <w:rPr>
                <w:rFonts w:cs="Arial"/>
                <w:b w:val="0"/>
              </w:rPr>
              <w:t>0.43-1.42</w:t>
            </w:r>
          </w:p>
        </w:tc>
        <w:tc>
          <w:tcPr>
            <w:tcW w:w="1279" w:type="dxa"/>
          </w:tcPr>
          <w:p w:rsidR="00672B8E" w:rsidRPr="009A27C8" w:rsidRDefault="00672B8E" w:rsidP="000843AE">
            <w:pPr>
              <w:pStyle w:val="Caption"/>
              <w:spacing w:before="40" w:after="40"/>
              <w:jc w:val="center"/>
              <w:rPr>
                <w:rFonts w:cs="Arial"/>
                <w:b w:val="0"/>
              </w:rPr>
            </w:pPr>
            <w:r>
              <w:rPr>
                <w:rFonts w:cs="Arial"/>
                <w:b w:val="0"/>
              </w:rPr>
              <w:t>1.43</w:t>
            </w:r>
          </w:p>
        </w:tc>
        <w:tc>
          <w:tcPr>
            <w:tcW w:w="1279" w:type="dxa"/>
          </w:tcPr>
          <w:p w:rsidR="00672B8E" w:rsidRPr="009A27C8" w:rsidRDefault="00672B8E" w:rsidP="000843AE">
            <w:pPr>
              <w:pStyle w:val="Caption"/>
              <w:spacing w:before="40" w:after="40"/>
              <w:jc w:val="center"/>
              <w:rPr>
                <w:rFonts w:cs="Arial"/>
                <w:b w:val="0"/>
              </w:rPr>
            </w:pPr>
            <w:r>
              <w:rPr>
                <w:rFonts w:cs="Arial"/>
                <w:b w:val="0"/>
              </w:rPr>
              <w:t>0.68-3.00</w:t>
            </w:r>
          </w:p>
        </w:tc>
        <w:tc>
          <w:tcPr>
            <w:tcW w:w="1279" w:type="dxa"/>
          </w:tcPr>
          <w:p w:rsidR="00672B8E" w:rsidRPr="009A27C8" w:rsidRDefault="00672B8E" w:rsidP="000843AE">
            <w:pPr>
              <w:pStyle w:val="Caption"/>
              <w:spacing w:before="40" w:after="40"/>
              <w:jc w:val="center"/>
              <w:rPr>
                <w:rFonts w:cs="Arial"/>
                <w:b w:val="0"/>
              </w:rPr>
            </w:pPr>
            <w:r>
              <w:rPr>
                <w:rFonts w:cs="Arial"/>
                <w:b w:val="0"/>
              </w:rPr>
              <w:t>1.12</w:t>
            </w:r>
          </w:p>
        </w:tc>
        <w:tc>
          <w:tcPr>
            <w:tcW w:w="1279" w:type="dxa"/>
          </w:tcPr>
          <w:p w:rsidR="00672B8E" w:rsidRPr="009A27C8" w:rsidRDefault="00672B8E" w:rsidP="000843AE">
            <w:pPr>
              <w:pStyle w:val="Caption"/>
              <w:spacing w:before="40" w:after="40"/>
              <w:jc w:val="center"/>
              <w:rPr>
                <w:rFonts w:cs="Arial"/>
                <w:b w:val="0"/>
              </w:rPr>
            </w:pPr>
            <w:r>
              <w:rPr>
                <w:rFonts w:cs="Arial"/>
                <w:b w:val="0"/>
              </w:rPr>
              <w:t>0.71-1.77</w:t>
            </w:r>
          </w:p>
        </w:tc>
        <w:tc>
          <w:tcPr>
            <w:tcW w:w="1279" w:type="dxa"/>
          </w:tcPr>
          <w:p w:rsidR="00672B8E" w:rsidRPr="009A27C8" w:rsidRDefault="00672B8E" w:rsidP="000843AE">
            <w:pPr>
              <w:pStyle w:val="Caption"/>
              <w:spacing w:before="40" w:after="40"/>
              <w:jc w:val="center"/>
              <w:rPr>
                <w:rFonts w:cs="Arial"/>
                <w:b w:val="0"/>
              </w:rPr>
            </w:pPr>
            <w:r>
              <w:rPr>
                <w:rFonts w:cs="Arial"/>
                <w:b w:val="0"/>
              </w:rPr>
              <w:t>0.84</w:t>
            </w:r>
          </w:p>
        </w:tc>
        <w:tc>
          <w:tcPr>
            <w:tcW w:w="1280" w:type="dxa"/>
          </w:tcPr>
          <w:p w:rsidR="00672B8E" w:rsidRPr="009A27C8" w:rsidRDefault="00672B8E" w:rsidP="000843AE">
            <w:pPr>
              <w:pStyle w:val="Caption"/>
              <w:spacing w:before="40" w:after="40"/>
              <w:jc w:val="center"/>
              <w:rPr>
                <w:rFonts w:cs="Arial"/>
                <w:b w:val="0"/>
              </w:rPr>
            </w:pPr>
            <w:r>
              <w:rPr>
                <w:rFonts w:cs="Arial"/>
                <w:b w:val="0"/>
              </w:rPr>
              <w:t>0.45-1.58</w:t>
            </w:r>
          </w:p>
        </w:tc>
      </w:tr>
      <w:tr w:rsidR="00672B8E" w:rsidRPr="00E47CAF" w:rsidTr="000843AE">
        <w:tc>
          <w:tcPr>
            <w:tcW w:w="2943" w:type="dxa"/>
            <w:tcBorders>
              <w:bottom w:val="single" w:sz="4" w:space="0" w:color="auto"/>
            </w:tcBorders>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55+</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0.64</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0.34-1.22</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1.47</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0.68-3.17</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1.32</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0.82-2.12</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0.96</w:t>
            </w:r>
          </w:p>
        </w:tc>
        <w:tc>
          <w:tcPr>
            <w:tcW w:w="1280"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0.50-1.85</w:t>
            </w:r>
          </w:p>
        </w:tc>
      </w:tr>
      <w:tr w:rsidR="00672B8E" w:rsidRPr="00E47CAF" w:rsidTr="000843AE">
        <w:tc>
          <w:tcPr>
            <w:tcW w:w="2943" w:type="dxa"/>
            <w:shd w:val="clear" w:color="auto" w:fill="808080" w:themeFill="background1" w:themeFillShade="80"/>
            <w:vAlign w:val="center"/>
          </w:tcPr>
          <w:p w:rsidR="00672B8E" w:rsidRPr="00E47CAF" w:rsidRDefault="00672B8E" w:rsidP="000843AE">
            <w:pPr>
              <w:spacing w:before="40" w:after="40"/>
              <w:rPr>
                <w:rFonts w:cs="Arial"/>
                <w:color w:val="FFFFFF" w:themeColor="background1"/>
                <w:sz w:val="20"/>
                <w:szCs w:val="20"/>
              </w:rPr>
            </w:pPr>
            <w:r w:rsidRPr="00E47CAF">
              <w:rPr>
                <w:rFonts w:cs="Arial"/>
                <w:b/>
                <w:bCs/>
                <w:color w:val="FFFFFF" w:themeColor="background1"/>
                <w:sz w:val="20"/>
                <w:szCs w:val="20"/>
                <w:lang w:eastAsia="en-AU"/>
              </w:rPr>
              <w:t>Occupational skill level</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80"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1 (highest skill)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80" w:type="dxa"/>
          </w:tcPr>
          <w:p w:rsidR="00672B8E" w:rsidRPr="009A27C8" w:rsidRDefault="00672B8E" w:rsidP="000843AE">
            <w:pPr>
              <w:pStyle w:val="Caption"/>
              <w:spacing w:before="40" w:after="40"/>
              <w:jc w:val="center"/>
              <w:rPr>
                <w:rFonts w:cs="Arial"/>
                <w:b w:val="0"/>
              </w:rPr>
            </w:pP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2</w:t>
            </w:r>
          </w:p>
        </w:tc>
        <w:tc>
          <w:tcPr>
            <w:tcW w:w="1279" w:type="dxa"/>
          </w:tcPr>
          <w:p w:rsidR="00672B8E" w:rsidRPr="009A27C8" w:rsidRDefault="00672B8E" w:rsidP="000843AE">
            <w:pPr>
              <w:pStyle w:val="Caption"/>
              <w:spacing w:before="40" w:after="40"/>
              <w:jc w:val="center"/>
              <w:rPr>
                <w:rFonts w:cs="Arial"/>
              </w:rPr>
            </w:pPr>
            <w:r w:rsidRPr="009A27C8">
              <w:rPr>
                <w:rFonts w:cs="Arial"/>
              </w:rPr>
              <w:t>2.51</w:t>
            </w:r>
          </w:p>
        </w:tc>
        <w:tc>
          <w:tcPr>
            <w:tcW w:w="1279" w:type="dxa"/>
          </w:tcPr>
          <w:p w:rsidR="00672B8E" w:rsidRPr="009A27C8" w:rsidRDefault="00672B8E" w:rsidP="000843AE">
            <w:pPr>
              <w:pStyle w:val="Caption"/>
              <w:spacing w:before="40" w:after="40"/>
              <w:jc w:val="center"/>
              <w:rPr>
                <w:rFonts w:cs="Arial"/>
              </w:rPr>
            </w:pPr>
            <w:r w:rsidRPr="009A27C8">
              <w:rPr>
                <w:rFonts w:cs="Arial"/>
              </w:rPr>
              <w:t>1.43-4.40</w:t>
            </w:r>
          </w:p>
        </w:tc>
        <w:tc>
          <w:tcPr>
            <w:tcW w:w="1279" w:type="dxa"/>
          </w:tcPr>
          <w:p w:rsidR="00672B8E" w:rsidRPr="009A27C8" w:rsidRDefault="00672B8E" w:rsidP="000843AE">
            <w:pPr>
              <w:pStyle w:val="Caption"/>
              <w:spacing w:before="40" w:after="40"/>
              <w:jc w:val="center"/>
              <w:rPr>
                <w:rFonts w:cs="Arial"/>
                <w:b w:val="0"/>
              </w:rPr>
            </w:pPr>
            <w:r>
              <w:rPr>
                <w:rFonts w:cs="Arial"/>
                <w:b w:val="0"/>
              </w:rPr>
              <w:t>1.52</w:t>
            </w:r>
          </w:p>
        </w:tc>
        <w:tc>
          <w:tcPr>
            <w:tcW w:w="1279" w:type="dxa"/>
          </w:tcPr>
          <w:p w:rsidR="00672B8E" w:rsidRPr="009A27C8" w:rsidRDefault="00672B8E" w:rsidP="000843AE">
            <w:pPr>
              <w:pStyle w:val="Caption"/>
              <w:spacing w:before="40" w:after="40"/>
              <w:jc w:val="center"/>
              <w:rPr>
                <w:rFonts w:cs="Arial"/>
                <w:b w:val="0"/>
              </w:rPr>
            </w:pPr>
            <w:r>
              <w:rPr>
                <w:rFonts w:cs="Arial"/>
                <w:b w:val="0"/>
              </w:rPr>
              <w:t>0.67-3.49</w:t>
            </w:r>
          </w:p>
        </w:tc>
        <w:tc>
          <w:tcPr>
            <w:tcW w:w="1279" w:type="dxa"/>
          </w:tcPr>
          <w:p w:rsidR="00672B8E" w:rsidRPr="009A27C8" w:rsidRDefault="00672B8E" w:rsidP="000843AE">
            <w:pPr>
              <w:pStyle w:val="Caption"/>
              <w:spacing w:before="40" w:after="40"/>
              <w:jc w:val="center"/>
              <w:rPr>
                <w:rFonts w:cs="Arial"/>
                <w:b w:val="0"/>
              </w:rPr>
            </w:pPr>
            <w:r>
              <w:rPr>
                <w:rFonts w:cs="Arial"/>
                <w:b w:val="0"/>
              </w:rPr>
              <w:t>1.42</w:t>
            </w:r>
          </w:p>
        </w:tc>
        <w:tc>
          <w:tcPr>
            <w:tcW w:w="1279" w:type="dxa"/>
          </w:tcPr>
          <w:p w:rsidR="00672B8E" w:rsidRPr="009A27C8" w:rsidRDefault="00672B8E" w:rsidP="000843AE">
            <w:pPr>
              <w:pStyle w:val="Caption"/>
              <w:spacing w:before="40" w:after="40"/>
              <w:jc w:val="center"/>
              <w:rPr>
                <w:rFonts w:cs="Arial"/>
                <w:b w:val="0"/>
              </w:rPr>
            </w:pPr>
            <w:r>
              <w:rPr>
                <w:rFonts w:cs="Arial"/>
                <w:b w:val="0"/>
              </w:rPr>
              <w:t>0.97-2.09</w:t>
            </w:r>
          </w:p>
        </w:tc>
        <w:tc>
          <w:tcPr>
            <w:tcW w:w="1279" w:type="dxa"/>
          </w:tcPr>
          <w:p w:rsidR="00672B8E" w:rsidRPr="009A27C8" w:rsidRDefault="00672B8E" w:rsidP="000843AE">
            <w:pPr>
              <w:pStyle w:val="Caption"/>
              <w:spacing w:before="40" w:after="40"/>
              <w:jc w:val="center"/>
              <w:rPr>
                <w:rFonts w:cs="Arial"/>
                <w:b w:val="0"/>
              </w:rPr>
            </w:pPr>
            <w:r>
              <w:rPr>
                <w:rFonts w:cs="Arial"/>
                <w:b w:val="0"/>
              </w:rPr>
              <w:t>0.44</w:t>
            </w:r>
          </w:p>
        </w:tc>
        <w:tc>
          <w:tcPr>
            <w:tcW w:w="1280" w:type="dxa"/>
          </w:tcPr>
          <w:p w:rsidR="00672B8E" w:rsidRPr="009A27C8" w:rsidRDefault="00672B8E" w:rsidP="000843AE">
            <w:pPr>
              <w:pStyle w:val="Caption"/>
              <w:spacing w:before="40" w:after="40"/>
              <w:jc w:val="center"/>
              <w:rPr>
                <w:rFonts w:cs="Arial"/>
                <w:b w:val="0"/>
              </w:rPr>
            </w:pPr>
            <w:r>
              <w:rPr>
                <w:rFonts w:cs="Arial"/>
                <w:b w:val="0"/>
              </w:rPr>
              <w:t>0.17-1.11</w:t>
            </w: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3</w:t>
            </w:r>
          </w:p>
        </w:tc>
        <w:tc>
          <w:tcPr>
            <w:tcW w:w="1279" w:type="dxa"/>
          </w:tcPr>
          <w:p w:rsidR="00672B8E" w:rsidRPr="009A27C8" w:rsidRDefault="00672B8E" w:rsidP="000843AE">
            <w:pPr>
              <w:pStyle w:val="Caption"/>
              <w:spacing w:before="40" w:after="40"/>
              <w:jc w:val="center"/>
              <w:rPr>
                <w:rFonts w:cs="Arial"/>
              </w:rPr>
            </w:pPr>
            <w:r w:rsidRPr="009A27C8">
              <w:rPr>
                <w:rFonts w:cs="Arial"/>
              </w:rPr>
              <w:t>2.60</w:t>
            </w:r>
          </w:p>
        </w:tc>
        <w:tc>
          <w:tcPr>
            <w:tcW w:w="1279" w:type="dxa"/>
          </w:tcPr>
          <w:p w:rsidR="00672B8E" w:rsidRPr="009A27C8" w:rsidRDefault="00672B8E" w:rsidP="000843AE">
            <w:pPr>
              <w:pStyle w:val="Caption"/>
              <w:spacing w:before="40" w:after="40"/>
              <w:jc w:val="center"/>
              <w:rPr>
                <w:rFonts w:cs="Arial"/>
              </w:rPr>
            </w:pPr>
            <w:r w:rsidRPr="009A27C8">
              <w:rPr>
                <w:rFonts w:cs="Arial"/>
              </w:rPr>
              <w:t>1.55-4.35</w:t>
            </w:r>
          </w:p>
        </w:tc>
        <w:tc>
          <w:tcPr>
            <w:tcW w:w="1279" w:type="dxa"/>
          </w:tcPr>
          <w:p w:rsidR="00672B8E" w:rsidRPr="00F976FC" w:rsidRDefault="00672B8E" w:rsidP="000843AE">
            <w:pPr>
              <w:pStyle w:val="Caption"/>
              <w:spacing w:before="40" w:after="40"/>
              <w:jc w:val="center"/>
              <w:rPr>
                <w:rFonts w:cs="Arial"/>
              </w:rPr>
            </w:pPr>
            <w:r w:rsidRPr="00F976FC">
              <w:rPr>
                <w:rFonts w:cs="Arial"/>
              </w:rPr>
              <w:t>5.28</w:t>
            </w:r>
          </w:p>
        </w:tc>
        <w:tc>
          <w:tcPr>
            <w:tcW w:w="1279" w:type="dxa"/>
          </w:tcPr>
          <w:p w:rsidR="00672B8E" w:rsidRPr="00F976FC" w:rsidRDefault="00672B8E" w:rsidP="000843AE">
            <w:pPr>
              <w:pStyle w:val="Caption"/>
              <w:spacing w:before="40" w:after="40"/>
              <w:jc w:val="center"/>
              <w:rPr>
                <w:rFonts w:cs="Arial"/>
              </w:rPr>
            </w:pPr>
            <w:r w:rsidRPr="00F976FC">
              <w:rPr>
                <w:rFonts w:cs="Arial"/>
              </w:rPr>
              <w:t>3.20-8.71</w:t>
            </w:r>
          </w:p>
        </w:tc>
        <w:tc>
          <w:tcPr>
            <w:tcW w:w="1279" w:type="dxa"/>
          </w:tcPr>
          <w:p w:rsidR="00672B8E" w:rsidRPr="00F976FC" w:rsidRDefault="00672B8E" w:rsidP="000843AE">
            <w:pPr>
              <w:pStyle w:val="Caption"/>
              <w:spacing w:before="40" w:after="40"/>
              <w:jc w:val="center"/>
              <w:rPr>
                <w:rFonts w:cs="Arial"/>
              </w:rPr>
            </w:pPr>
            <w:r w:rsidRPr="00F976FC">
              <w:rPr>
                <w:rFonts w:cs="Arial"/>
              </w:rPr>
              <w:t>3.66</w:t>
            </w:r>
          </w:p>
        </w:tc>
        <w:tc>
          <w:tcPr>
            <w:tcW w:w="1279" w:type="dxa"/>
          </w:tcPr>
          <w:p w:rsidR="00672B8E" w:rsidRPr="00F976FC" w:rsidRDefault="00672B8E" w:rsidP="000843AE">
            <w:pPr>
              <w:pStyle w:val="Caption"/>
              <w:spacing w:before="40" w:after="40"/>
              <w:jc w:val="center"/>
              <w:rPr>
                <w:rFonts w:cs="Arial"/>
              </w:rPr>
            </w:pPr>
            <w:r w:rsidRPr="00F976FC">
              <w:rPr>
                <w:rFonts w:cs="Arial"/>
              </w:rPr>
              <w:t>2.78-4.81</w:t>
            </w:r>
          </w:p>
        </w:tc>
        <w:tc>
          <w:tcPr>
            <w:tcW w:w="1279" w:type="dxa"/>
          </w:tcPr>
          <w:p w:rsidR="00672B8E" w:rsidRPr="00F976FC" w:rsidRDefault="00672B8E" w:rsidP="000843AE">
            <w:pPr>
              <w:pStyle w:val="Caption"/>
              <w:spacing w:before="40" w:after="40"/>
              <w:jc w:val="center"/>
              <w:rPr>
                <w:rFonts w:cs="Arial"/>
              </w:rPr>
            </w:pPr>
            <w:r w:rsidRPr="00F976FC">
              <w:rPr>
                <w:rFonts w:cs="Arial"/>
              </w:rPr>
              <w:t>3.19</w:t>
            </w:r>
          </w:p>
        </w:tc>
        <w:tc>
          <w:tcPr>
            <w:tcW w:w="1280" w:type="dxa"/>
          </w:tcPr>
          <w:p w:rsidR="00672B8E" w:rsidRPr="00F976FC" w:rsidRDefault="00672B8E" w:rsidP="000843AE">
            <w:pPr>
              <w:pStyle w:val="Caption"/>
              <w:spacing w:before="40" w:after="40"/>
              <w:jc w:val="center"/>
              <w:rPr>
                <w:rFonts w:cs="Arial"/>
              </w:rPr>
            </w:pPr>
            <w:r w:rsidRPr="00F976FC">
              <w:rPr>
                <w:rFonts w:cs="Arial"/>
              </w:rPr>
              <w:t>2.17-4.70</w:t>
            </w:r>
          </w:p>
        </w:tc>
      </w:tr>
      <w:tr w:rsidR="00672B8E" w:rsidRPr="00E47CAF" w:rsidTr="000843AE">
        <w:tc>
          <w:tcPr>
            <w:tcW w:w="2943"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4</w:t>
            </w:r>
          </w:p>
        </w:tc>
        <w:tc>
          <w:tcPr>
            <w:tcW w:w="1279" w:type="dxa"/>
          </w:tcPr>
          <w:p w:rsidR="00672B8E" w:rsidRPr="009A27C8" w:rsidRDefault="00672B8E" w:rsidP="000843AE">
            <w:pPr>
              <w:pStyle w:val="Caption"/>
              <w:spacing w:before="40" w:after="40"/>
              <w:jc w:val="center"/>
              <w:rPr>
                <w:rFonts w:cs="Arial"/>
              </w:rPr>
            </w:pPr>
            <w:r w:rsidRPr="009A27C8">
              <w:rPr>
                <w:rFonts w:cs="Arial"/>
              </w:rPr>
              <w:t>2.43</w:t>
            </w:r>
          </w:p>
        </w:tc>
        <w:tc>
          <w:tcPr>
            <w:tcW w:w="1279" w:type="dxa"/>
          </w:tcPr>
          <w:p w:rsidR="00672B8E" w:rsidRPr="009A27C8" w:rsidRDefault="00672B8E" w:rsidP="000843AE">
            <w:pPr>
              <w:pStyle w:val="Caption"/>
              <w:spacing w:before="40" w:after="40"/>
              <w:jc w:val="center"/>
              <w:rPr>
                <w:rFonts w:cs="Arial"/>
              </w:rPr>
            </w:pPr>
            <w:r w:rsidRPr="009A27C8">
              <w:rPr>
                <w:rFonts w:cs="Arial"/>
              </w:rPr>
              <w:t>1.56-3.77</w:t>
            </w:r>
          </w:p>
        </w:tc>
        <w:tc>
          <w:tcPr>
            <w:tcW w:w="1279" w:type="dxa"/>
          </w:tcPr>
          <w:p w:rsidR="00672B8E" w:rsidRPr="00F976FC" w:rsidRDefault="00672B8E" w:rsidP="000843AE">
            <w:pPr>
              <w:pStyle w:val="Caption"/>
              <w:spacing w:before="40" w:after="40"/>
              <w:jc w:val="center"/>
              <w:rPr>
                <w:rFonts w:cs="Arial"/>
              </w:rPr>
            </w:pPr>
            <w:r w:rsidRPr="00F976FC">
              <w:rPr>
                <w:rFonts w:cs="Arial"/>
              </w:rPr>
              <w:t>2.71</w:t>
            </w:r>
          </w:p>
        </w:tc>
        <w:tc>
          <w:tcPr>
            <w:tcW w:w="1279" w:type="dxa"/>
          </w:tcPr>
          <w:p w:rsidR="00672B8E" w:rsidRPr="00F976FC" w:rsidRDefault="00672B8E" w:rsidP="000843AE">
            <w:pPr>
              <w:pStyle w:val="Caption"/>
              <w:spacing w:before="40" w:after="40"/>
              <w:jc w:val="center"/>
              <w:rPr>
                <w:rFonts w:cs="Arial"/>
              </w:rPr>
            </w:pPr>
            <w:r w:rsidRPr="00F976FC">
              <w:rPr>
                <w:rFonts w:cs="Arial"/>
              </w:rPr>
              <w:t>1.56-4.71</w:t>
            </w:r>
          </w:p>
        </w:tc>
        <w:tc>
          <w:tcPr>
            <w:tcW w:w="1279" w:type="dxa"/>
          </w:tcPr>
          <w:p w:rsidR="00672B8E" w:rsidRPr="009A27C8" w:rsidRDefault="00672B8E" w:rsidP="000843AE">
            <w:pPr>
              <w:pStyle w:val="Caption"/>
              <w:spacing w:before="40" w:after="40"/>
              <w:jc w:val="center"/>
              <w:rPr>
                <w:rFonts w:cs="Arial"/>
                <w:b w:val="0"/>
              </w:rPr>
            </w:pPr>
            <w:r>
              <w:rPr>
                <w:rFonts w:cs="Arial"/>
                <w:b w:val="0"/>
              </w:rPr>
              <w:t>0.83</w:t>
            </w:r>
          </w:p>
        </w:tc>
        <w:tc>
          <w:tcPr>
            <w:tcW w:w="1279" w:type="dxa"/>
          </w:tcPr>
          <w:p w:rsidR="00672B8E" w:rsidRPr="009A27C8" w:rsidRDefault="00672B8E" w:rsidP="000843AE">
            <w:pPr>
              <w:pStyle w:val="Caption"/>
              <w:spacing w:before="40" w:after="40"/>
              <w:jc w:val="center"/>
              <w:rPr>
                <w:rFonts w:cs="Arial"/>
                <w:b w:val="0"/>
              </w:rPr>
            </w:pPr>
            <w:r>
              <w:rPr>
                <w:rFonts w:cs="Arial"/>
                <w:b w:val="0"/>
              </w:rPr>
              <w:t>0.60-1.14</w:t>
            </w:r>
          </w:p>
        </w:tc>
        <w:tc>
          <w:tcPr>
            <w:tcW w:w="1279" w:type="dxa"/>
          </w:tcPr>
          <w:p w:rsidR="00672B8E" w:rsidRPr="009A27C8" w:rsidRDefault="00672B8E" w:rsidP="000843AE">
            <w:pPr>
              <w:pStyle w:val="Caption"/>
              <w:spacing w:before="40" w:after="40"/>
              <w:jc w:val="center"/>
              <w:rPr>
                <w:rFonts w:cs="Arial"/>
                <w:b w:val="0"/>
              </w:rPr>
            </w:pPr>
            <w:r>
              <w:rPr>
                <w:rFonts w:cs="Arial"/>
                <w:b w:val="0"/>
              </w:rPr>
              <w:t>0.57</w:t>
            </w:r>
          </w:p>
        </w:tc>
        <w:tc>
          <w:tcPr>
            <w:tcW w:w="1280" w:type="dxa"/>
          </w:tcPr>
          <w:p w:rsidR="00672B8E" w:rsidRPr="009A27C8" w:rsidRDefault="00672B8E" w:rsidP="000843AE">
            <w:pPr>
              <w:pStyle w:val="Caption"/>
              <w:spacing w:before="40" w:after="40"/>
              <w:jc w:val="center"/>
              <w:rPr>
                <w:rFonts w:cs="Arial"/>
                <w:b w:val="0"/>
              </w:rPr>
            </w:pPr>
            <w:r>
              <w:rPr>
                <w:rFonts w:cs="Arial"/>
                <w:b w:val="0"/>
              </w:rPr>
              <w:t>0.32-1.01</w:t>
            </w:r>
          </w:p>
        </w:tc>
      </w:tr>
      <w:tr w:rsidR="00672B8E" w:rsidRPr="00E47CAF" w:rsidTr="000843AE">
        <w:tc>
          <w:tcPr>
            <w:tcW w:w="2943" w:type="dxa"/>
            <w:tcBorders>
              <w:bottom w:val="single" w:sz="4" w:space="0" w:color="auto"/>
            </w:tcBorders>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5 (lowest)</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sidRPr="009A27C8">
              <w:rPr>
                <w:rFonts w:cs="Arial"/>
              </w:rPr>
              <w:t>4.28</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sidRPr="009A27C8">
              <w:rPr>
                <w:rFonts w:cs="Arial"/>
              </w:rPr>
              <w:t>2.70-6.78</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2.70</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1.45-5.02</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1.74</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sidRPr="00F976FC">
              <w:rPr>
                <w:rFonts w:cs="Arial"/>
              </w:rPr>
              <w:t>1.25-2.41</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1.18</w:t>
            </w:r>
          </w:p>
        </w:tc>
        <w:tc>
          <w:tcPr>
            <w:tcW w:w="1280"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0.69-2.02</w:t>
            </w:r>
          </w:p>
        </w:tc>
      </w:tr>
      <w:tr w:rsidR="00672B8E" w:rsidRPr="00E47CAF" w:rsidTr="000843AE">
        <w:tc>
          <w:tcPr>
            <w:tcW w:w="2943" w:type="dxa"/>
            <w:shd w:val="clear" w:color="auto" w:fill="808080" w:themeFill="background1" w:themeFillShade="80"/>
            <w:vAlign w:val="center"/>
          </w:tcPr>
          <w:p w:rsidR="00672B8E" w:rsidRPr="00E47CAF" w:rsidRDefault="00672B8E" w:rsidP="000843AE">
            <w:pPr>
              <w:spacing w:before="40" w:after="40"/>
              <w:rPr>
                <w:rFonts w:cs="Arial"/>
                <w:color w:val="FFFFFF" w:themeColor="background1"/>
                <w:sz w:val="20"/>
                <w:szCs w:val="20"/>
              </w:rPr>
            </w:pPr>
            <w:r w:rsidRPr="00E47CAF">
              <w:rPr>
                <w:rFonts w:cs="Arial"/>
                <w:b/>
                <w:bCs/>
                <w:color w:val="FFFFFF" w:themeColor="background1"/>
                <w:sz w:val="20"/>
                <w:szCs w:val="20"/>
                <w:lang w:eastAsia="en-AU"/>
              </w:rPr>
              <w:t xml:space="preserve">Workplace size </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80"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2943" w:type="dxa"/>
            <w:vAlign w:val="center"/>
          </w:tcPr>
          <w:p w:rsidR="00672B8E" w:rsidRPr="00E47CAF" w:rsidRDefault="00672B8E" w:rsidP="000843AE">
            <w:pPr>
              <w:spacing w:before="40" w:after="40"/>
              <w:rPr>
                <w:rFonts w:cs="Arial"/>
                <w:sz w:val="20"/>
                <w:szCs w:val="20"/>
              </w:rPr>
            </w:pPr>
            <w:r>
              <w:rPr>
                <w:rFonts w:cs="Arial"/>
                <w:sz w:val="20"/>
                <w:szCs w:val="20"/>
              </w:rPr>
              <w:t>200 or more employees</w:t>
            </w:r>
            <w:r w:rsidRPr="00E47CAF">
              <w:rPr>
                <w:rFonts w:cs="Arial"/>
                <w:sz w:val="20"/>
                <w:szCs w:val="20"/>
              </w:rPr>
              <w:t xml:space="preserve">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80" w:type="dxa"/>
          </w:tcPr>
          <w:p w:rsidR="00672B8E" w:rsidRPr="009A27C8" w:rsidRDefault="00672B8E" w:rsidP="000843AE">
            <w:pPr>
              <w:pStyle w:val="Caption"/>
              <w:spacing w:before="40" w:after="40"/>
              <w:jc w:val="center"/>
              <w:rPr>
                <w:rFonts w:cs="Arial"/>
                <w:b w:val="0"/>
              </w:rPr>
            </w:pPr>
          </w:p>
        </w:tc>
      </w:tr>
      <w:tr w:rsidR="00672B8E" w:rsidRPr="00E47CAF" w:rsidTr="000843AE">
        <w:tc>
          <w:tcPr>
            <w:tcW w:w="2943" w:type="dxa"/>
            <w:vAlign w:val="center"/>
          </w:tcPr>
          <w:p w:rsidR="00672B8E" w:rsidRPr="00E47CAF" w:rsidRDefault="00672B8E" w:rsidP="000843AE">
            <w:pPr>
              <w:spacing w:before="40" w:after="40"/>
              <w:rPr>
                <w:rFonts w:cs="Arial"/>
                <w:sz w:val="20"/>
                <w:szCs w:val="20"/>
              </w:rPr>
            </w:pPr>
            <w:r w:rsidRPr="00E47CAF">
              <w:rPr>
                <w:rFonts w:cs="Arial"/>
                <w:sz w:val="20"/>
                <w:szCs w:val="20"/>
              </w:rPr>
              <w:t>20-199</w:t>
            </w:r>
            <w:r>
              <w:rPr>
                <w:rFonts w:cs="Arial"/>
                <w:sz w:val="20"/>
                <w:szCs w:val="20"/>
              </w:rPr>
              <w:t xml:space="preserve"> employees</w:t>
            </w:r>
          </w:p>
        </w:tc>
        <w:tc>
          <w:tcPr>
            <w:tcW w:w="1279" w:type="dxa"/>
          </w:tcPr>
          <w:p w:rsidR="00672B8E" w:rsidRPr="009A27C8" w:rsidRDefault="00672B8E" w:rsidP="000843AE">
            <w:pPr>
              <w:pStyle w:val="Caption"/>
              <w:spacing w:before="40" w:after="40"/>
              <w:jc w:val="center"/>
              <w:rPr>
                <w:rFonts w:cs="Arial"/>
              </w:rPr>
            </w:pPr>
            <w:r w:rsidRPr="009A27C8">
              <w:rPr>
                <w:rFonts w:cs="Arial"/>
              </w:rPr>
              <w:t>0.59</w:t>
            </w:r>
          </w:p>
        </w:tc>
        <w:tc>
          <w:tcPr>
            <w:tcW w:w="1279" w:type="dxa"/>
          </w:tcPr>
          <w:p w:rsidR="00672B8E" w:rsidRPr="009A27C8" w:rsidRDefault="00672B8E" w:rsidP="000843AE">
            <w:pPr>
              <w:pStyle w:val="Caption"/>
              <w:spacing w:before="40" w:after="40"/>
              <w:jc w:val="center"/>
              <w:rPr>
                <w:rFonts w:cs="Arial"/>
              </w:rPr>
            </w:pPr>
            <w:r w:rsidRPr="009A27C8">
              <w:rPr>
                <w:rFonts w:cs="Arial"/>
              </w:rPr>
              <w:t>0.40-0.87</w:t>
            </w:r>
          </w:p>
        </w:tc>
        <w:tc>
          <w:tcPr>
            <w:tcW w:w="1279" w:type="dxa"/>
          </w:tcPr>
          <w:p w:rsidR="00672B8E" w:rsidRPr="009A27C8" w:rsidRDefault="00672B8E" w:rsidP="000843AE">
            <w:pPr>
              <w:pStyle w:val="Caption"/>
              <w:spacing w:before="40" w:after="40"/>
              <w:jc w:val="center"/>
              <w:rPr>
                <w:rFonts w:cs="Arial"/>
                <w:b w:val="0"/>
              </w:rPr>
            </w:pPr>
            <w:r>
              <w:rPr>
                <w:rFonts w:cs="Arial"/>
                <w:b w:val="0"/>
              </w:rPr>
              <w:t>1.01</w:t>
            </w:r>
          </w:p>
        </w:tc>
        <w:tc>
          <w:tcPr>
            <w:tcW w:w="1279" w:type="dxa"/>
          </w:tcPr>
          <w:p w:rsidR="00672B8E" w:rsidRPr="009A27C8" w:rsidRDefault="00672B8E" w:rsidP="000843AE">
            <w:pPr>
              <w:pStyle w:val="Caption"/>
              <w:spacing w:before="40" w:after="40"/>
              <w:jc w:val="center"/>
              <w:rPr>
                <w:rFonts w:cs="Arial"/>
                <w:b w:val="0"/>
              </w:rPr>
            </w:pPr>
            <w:r>
              <w:rPr>
                <w:rFonts w:cs="Arial"/>
                <w:b w:val="0"/>
              </w:rPr>
              <w:t>0.63-1.63</w:t>
            </w:r>
          </w:p>
        </w:tc>
        <w:tc>
          <w:tcPr>
            <w:tcW w:w="1279" w:type="dxa"/>
          </w:tcPr>
          <w:p w:rsidR="00672B8E" w:rsidRPr="009A27C8" w:rsidRDefault="00672B8E" w:rsidP="000843AE">
            <w:pPr>
              <w:pStyle w:val="Caption"/>
              <w:spacing w:before="40" w:after="40"/>
              <w:jc w:val="center"/>
              <w:rPr>
                <w:rFonts w:cs="Arial"/>
                <w:b w:val="0"/>
              </w:rPr>
            </w:pPr>
            <w:r>
              <w:rPr>
                <w:rFonts w:cs="Arial"/>
                <w:b w:val="0"/>
              </w:rPr>
              <w:t>0.91</w:t>
            </w:r>
          </w:p>
        </w:tc>
        <w:tc>
          <w:tcPr>
            <w:tcW w:w="1279" w:type="dxa"/>
          </w:tcPr>
          <w:p w:rsidR="00672B8E" w:rsidRPr="009A27C8" w:rsidRDefault="00672B8E" w:rsidP="000843AE">
            <w:pPr>
              <w:pStyle w:val="Caption"/>
              <w:spacing w:before="40" w:after="40"/>
              <w:jc w:val="center"/>
              <w:rPr>
                <w:rFonts w:cs="Arial"/>
                <w:b w:val="0"/>
              </w:rPr>
            </w:pPr>
            <w:r>
              <w:rPr>
                <w:rFonts w:cs="Arial"/>
                <w:b w:val="0"/>
              </w:rPr>
              <w:t>0.70-1.19</w:t>
            </w:r>
          </w:p>
        </w:tc>
        <w:tc>
          <w:tcPr>
            <w:tcW w:w="1279" w:type="dxa"/>
          </w:tcPr>
          <w:p w:rsidR="00672B8E" w:rsidRPr="009A27C8" w:rsidRDefault="00672B8E" w:rsidP="000843AE">
            <w:pPr>
              <w:pStyle w:val="Caption"/>
              <w:spacing w:before="40" w:after="40"/>
              <w:jc w:val="center"/>
              <w:rPr>
                <w:rFonts w:cs="Arial"/>
                <w:b w:val="0"/>
              </w:rPr>
            </w:pPr>
            <w:r>
              <w:rPr>
                <w:rFonts w:cs="Arial"/>
                <w:b w:val="0"/>
              </w:rPr>
              <w:t>1.42</w:t>
            </w:r>
          </w:p>
        </w:tc>
        <w:tc>
          <w:tcPr>
            <w:tcW w:w="1280" w:type="dxa"/>
          </w:tcPr>
          <w:p w:rsidR="00672B8E" w:rsidRPr="009A27C8" w:rsidRDefault="00672B8E" w:rsidP="000843AE">
            <w:pPr>
              <w:pStyle w:val="Caption"/>
              <w:spacing w:before="40" w:after="40"/>
              <w:jc w:val="center"/>
              <w:rPr>
                <w:rFonts w:cs="Arial"/>
                <w:b w:val="0"/>
              </w:rPr>
            </w:pPr>
            <w:r>
              <w:rPr>
                <w:rFonts w:cs="Arial"/>
                <w:b w:val="0"/>
              </w:rPr>
              <w:t>0.87-2.33</w:t>
            </w:r>
          </w:p>
        </w:tc>
      </w:tr>
      <w:tr w:rsidR="00672B8E" w:rsidRPr="00E47CAF" w:rsidTr="000843AE">
        <w:tc>
          <w:tcPr>
            <w:tcW w:w="2943" w:type="dxa"/>
            <w:vAlign w:val="center"/>
          </w:tcPr>
          <w:p w:rsidR="00672B8E" w:rsidRPr="00E47CAF" w:rsidRDefault="00672B8E" w:rsidP="000843AE">
            <w:pPr>
              <w:spacing w:before="40" w:after="40"/>
              <w:rPr>
                <w:rFonts w:cs="Arial"/>
                <w:sz w:val="20"/>
                <w:szCs w:val="20"/>
              </w:rPr>
            </w:pPr>
            <w:r w:rsidRPr="00E47CAF">
              <w:rPr>
                <w:rFonts w:cs="Arial"/>
                <w:sz w:val="20"/>
                <w:szCs w:val="20"/>
              </w:rPr>
              <w:t>5 to 19</w:t>
            </w:r>
            <w:r>
              <w:rPr>
                <w:rFonts w:cs="Arial"/>
                <w:sz w:val="20"/>
                <w:szCs w:val="20"/>
              </w:rPr>
              <w:t xml:space="preserve"> employees</w:t>
            </w:r>
          </w:p>
        </w:tc>
        <w:tc>
          <w:tcPr>
            <w:tcW w:w="1279" w:type="dxa"/>
          </w:tcPr>
          <w:p w:rsidR="00672B8E" w:rsidRPr="009A27C8" w:rsidRDefault="00672B8E" w:rsidP="000843AE">
            <w:pPr>
              <w:pStyle w:val="Caption"/>
              <w:spacing w:before="40" w:after="40"/>
              <w:jc w:val="center"/>
              <w:rPr>
                <w:rFonts w:cs="Arial"/>
                <w:b w:val="0"/>
              </w:rPr>
            </w:pPr>
            <w:r>
              <w:rPr>
                <w:rFonts w:cs="Arial"/>
                <w:b w:val="0"/>
              </w:rPr>
              <w:t>0.75</w:t>
            </w:r>
          </w:p>
        </w:tc>
        <w:tc>
          <w:tcPr>
            <w:tcW w:w="1279" w:type="dxa"/>
          </w:tcPr>
          <w:p w:rsidR="00672B8E" w:rsidRPr="009A27C8" w:rsidRDefault="00672B8E" w:rsidP="000843AE">
            <w:pPr>
              <w:pStyle w:val="Caption"/>
              <w:spacing w:before="40" w:after="40"/>
              <w:jc w:val="center"/>
              <w:rPr>
                <w:rFonts w:cs="Arial"/>
                <w:b w:val="0"/>
              </w:rPr>
            </w:pPr>
            <w:r>
              <w:rPr>
                <w:rFonts w:cs="Arial"/>
                <w:b w:val="0"/>
              </w:rPr>
              <w:t>0.49-1.13</w:t>
            </w:r>
          </w:p>
        </w:tc>
        <w:tc>
          <w:tcPr>
            <w:tcW w:w="1279" w:type="dxa"/>
          </w:tcPr>
          <w:p w:rsidR="00672B8E" w:rsidRPr="009A27C8" w:rsidRDefault="00672B8E" w:rsidP="000843AE">
            <w:pPr>
              <w:pStyle w:val="Caption"/>
              <w:spacing w:before="40" w:after="40"/>
              <w:jc w:val="center"/>
              <w:rPr>
                <w:rFonts w:cs="Arial"/>
                <w:b w:val="0"/>
              </w:rPr>
            </w:pPr>
            <w:r>
              <w:rPr>
                <w:rFonts w:cs="Arial"/>
                <w:b w:val="0"/>
              </w:rPr>
              <w:t>1.22</w:t>
            </w:r>
          </w:p>
        </w:tc>
        <w:tc>
          <w:tcPr>
            <w:tcW w:w="1279" w:type="dxa"/>
          </w:tcPr>
          <w:p w:rsidR="00672B8E" w:rsidRPr="009A27C8" w:rsidRDefault="00672B8E" w:rsidP="000843AE">
            <w:pPr>
              <w:pStyle w:val="Caption"/>
              <w:spacing w:before="40" w:after="40"/>
              <w:jc w:val="center"/>
              <w:rPr>
                <w:rFonts w:cs="Arial"/>
                <w:b w:val="0"/>
              </w:rPr>
            </w:pPr>
            <w:r>
              <w:rPr>
                <w:rFonts w:cs="Arial"/>
                <w:b w:val="0"/>
              </w:rPr>
              <w:t>0.74-2.00</w:t>
            </w:r>
          </w:p>
        </w:tc>
        <w:tc>
          <w:tcPr>
            <w:tcW w:w="1279" w:type="dxa"/>
          </w:tcPr>
          <w:p w:rsidR="00672B8E" w:rsidRPr="009A27C8" w:rsidRDefault="00672B8E" w:rsidP="000843AE">
            <w:pPr>
              <w:pStyle w:val="Caption"/>
              <w:spacing w:before="40" w:after="40"/>
              <w:jc w:val="center"/>
              <w:rPr>
                <w:rFonts w:cs="Arial"/>
                <w:b w:val="0"/>
              </w:rPr>
            </w:pPr>
            <w:r>
              <w:rPr>
                <w:rFonts w:cs="Arial"/>
                <w:b w:val="0"/>
              </w:rPr>
              <w:t>0.88</w:t>
            </w:r>
          </w:p>
        </w:tc>
        <w:tc>
          <w:tcPr>
            <w:tcW w:w="1279" w:type="dxa"/>
          </w:tcPr>
          <w:p w:rsidR="00672B8E" w:rsidRPr="009A27C8" w:rsidRDefault="00672B8E" w:rsidP="000843AE">
            <w:pPr>
              <w:pStyle w:val="Caption"/>
              <w:spacing w:before="40" w:after="40"/>
              <w:jc w:val="center"/>
              <w:rPr>
                <w:rFonts w:cs="Arial"/>
                <w:b w:val="0"/>
              </w:rPr>
            </w:pPr>
            <w:r>
              <w:rPr>
                <w:rFonts w:cs="Arial"/>
                <w:b w:val="0"/>
              </w:rPr>
              <w:t>0.66-1.19</w:t>
            </w:r>
          </w:p>
        </w:tc>
        <w:tc>
          <w:tcPr>
            <w:tcW w:w="1279" w:type="dxa"/>
          </w:tcPr>
          <w:p w:rsidR="00672B8E" w:rsidRPr="009A27C8" w:rsidRDefault="00672B8E" w:rsidP="000843AE">
            <w:pPr>
              <w:pStyle w:val="Caption"/>
              <w:spacing w:before="40" w:after="40"/>
              <w:jc w:val="center"/>
              <w:rPr>
                <w:rFonts w:cs="Arial"/>
                <w:b w:val="0"/>
              </w:rPr>
            </w:pPr>
            <w:r>
              <w:rPr>
                <w:rFonts w:cs="Arial"/>
                <w:b w:val="0"/>
              </w:rPr>
              <w:t>1.62</w:t>
            </w:r>
          </w:p>
        </w:tc>
        <w:tc>
          <w:tcPr>
            <w:tcW w:w="1280" w:type="dxa"/>
          </w:tcPr>
          <w:p w:rsidR="00672B8E" w:rsidRPr="009A27C8" w:rsidRDefault="00672B8E" w:rsidP="000843AE">
            <w:pPr>
              <w:pStyle w:val="Caption"/>
              <w:spacing w:before="40" w:after="40"/>
              <w:jc w:val="center"/>
              <w:rPr>
                <w:rFonts w:cs="Arial"/>
                <w:b w:val="0"/>
              </w:rPr>
            </w:pPr>
            <w:r>
              <w:rPr>
                <w:rFonts w:cs="Arial"/>
                <w:b w:val="0"/>
              </w:rPr>
              <w:t>0.97-2.72</w:t>
            </w:r>
          </w:p>
        </w:tc>
      </w:tr>
      <w:tr w:rsidR="00672B8E" w:rsidRPr="00E47CAF" w:rsidTr="000843AE">
        <w:tc>
          <w:tcPr>
            <w:tcW w:w="2943" w:type="dxa"/>
            <w:tcBorders>
              <w:bottom w:val="double" w:sz="12" w:space="0" w:color="auto"/>
            </w:tcBorders>
            <w:vAlign w:val="center"/>
          </w:tcPr>
          <w:p w:rsidR="00672B8E" w:rsidRPr="00E47CAF" w:rsidRDefault="00672B8E" w:rsidP="000843AE">
            <w:pPr>
              <w:spacing w:before="40" w:after="40"/>
              <w:rPr>
                <w:rFonts w:cs="Arial"/>
                <w:sz w:val="20"/>
                <w:szCs w:val="20"/>
              </w:rPr>
            </w:pPr>
            <w:r w:rsidRPr="00E47CAF">
              <w:rPr>
                <w:rFonts w:cs="Arial"/>
                <w:sz w:val="20"/>
                <w:szCs w:val="20"/>
              </w:rPr>
              <w:t>&lt;5</w:t>
            </w:r>
            <w:r>
              <w:rPr>
                <w:rFonts w:cs="Arial"/>
                <w:sz w:val="20"/>
                <w:szCs w:val="20"/>
              </w:rPr>
              <w:t xml:space="preserve"> employees</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0.70</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0.45-1.08</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1.10</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0.68-1.78</w:t>
            </w:r>
          </w:p>
        </w:tc>
        <w:tc>
          <w:tcPr>
            <w:tcW w:w="1279" w:type="dxa"/>
            <w:tcBorders>
              <w:bottom w:val="double" w:sz="12" w:space="0" w:color="auto"/>
            </w:tcBorders>
          </w:tcPr>
          <w:p w:rsidR="00672B8E" w:rsidRPr="00F976FC" w:rsidRDefault="00672B8E" w:rsidP="000843AE">
            <w:pPr>
              <w:pStyle w:val="Caption"/>
              <w:spacing w:before="40" w:after="40"/>
              <w:jc w:val="center"/>
              <w:rPr>
                <w:rFonts w:cs="Arial"/>
              </w:rPr>
            </w:pPr>
            <w:r w:rsidRPr="00F976FC">
              <w:rPr>
                <w:rFonts w:cs="Arial"/>
              </w:rPr>
              <w:t>0.67</w:t>
            </w:r>
          </w:p>
        </w:tc>
        <w:tc>
          <w:tcPr>
            <w:tcW w:w="1279" w:type="dxa"/>
            <w:tcBorders>
              <w:bottom w:val="double" w:sz="12" w:space="0" w:color="auto"/>
            </w:tcBorders>
          </w:tcPr>
          <w:p w:rsidR="00672B8E" w:rsidRPr="00F976FC" w:rsidRDefault="00672B8E" w:rsidP="000843AE">
            <w:pPr>
              <w:pStyle w:val="Caption"/>
              <w:spacing w:before="40" w:after="40"/>
              <w:jc w:val="center"/>
              <w:rPr>
                <w:rFonts w:cs="Arial"/>
              </w:rPr>
            </w:pPr>
            <w:r w:rsidRPr="00F976FC">
              <w:rPr>
                <w:rFonts w:cs="Arial"/>
              </w:rPr>
              <w:t>0.49-0.91</w:t>
            </w:r>
          </w:p>
        </w:tc>
        <w:tc>
          <w:tcPr>
            <w:tcW w:w="1279" w:type="dxa"/>
            <w:tcBorders>
              <w:bottom w:val="double" w:sz="12" w:space="0" w:color="auto"/>
            </w:tcBorders>
          </w:tcPr>
          <w:p w:rsidR="00672B8E" w:rsidRPr="00F976FC" w:rsidRDefault="00672B8E" w:rsidP="000843AE">
            <w:pPr>
              <w:pStyle w:val="Caption"/>
              <w:spacing w:before="40" w:after="40"/>
              <w:jc w:val="center"/>
              <w:rPr>
                <w:rFonts w:cs="Arial"/>
              </w:rPr>
            </w:pPr>
            <w:r w:rsidRPr="00F976FC">
              <w:rPr>
                <w:rFonts w:cs="Arial"/>
              </w:rPr>
              <w:t>1.86</w:t>
            </w:r>
          </w:p>
        </w:tc>
        <w:tc>
          <w:tcPr>
            <w:tcW w:w="1280" w:type="dxa"/>
            <w:tcBorders>
              <w:bottom w:val="double" w:sz="12" w:space="0" w:color="auto"/>
            </w:tcBorders>
          </w:tcPr>
          <w:p w:rsidR="00672B8E" w:rsidRPr="00F976FC" w:rsidRDefault="00672B8E" w:rsidP="000843AE">
            <w:pPr>
              <w:pStyle w:val="Caption"/>
              <w:spacing w:before="40" w:after="40"/>
              <w:jc w:val="center"/>
              <w:rPr>
                <w:rFonts w:cs="Arial"/>
              </w:rPr>
            </w:pPr>
            <w:r w:rsidRPr="00F976FC">
              <w:rPr>
                <w:rFonts w:cs="Arial"/>
              </w:rPr>
              <w:t>1.14-3.03</w:t>
            </w:r>
          </w:p>
        </w:tc>
      </w:tr>
      <w:tr w:rsidR="00672B8E" w:rsidRPr="00E47CAF" w:rsidTr="000843AE">
        <w:tc>
          <w:tcPr>
            <w:tcW w:w="2943" w:type="dxa"/>
            <w:tcBorders>
              <w:top w:val="double" w:sz="12" w:space="0" w:color="auto"/>
              <w:left w:val="single" w:sz="4" w:space="0" w:color="auto"/>
              <w:bottom w:val="single" w:sz="8" w:space="0" w:color="auto"/>
              <w:right w:val="single" w:sz="4" w:space="0" w:color="auto"/>
            </w:tcBorders>
          </w:tcPr>
          <w:p w:rsidR="00672B8E" w:rsidRPr="00E47CAF" w:rsidRDefault="00672B8E" w:rsidP="000843AE">
            <w:pPr>
              <w:spacing w:before="20" w:after="20"/>
              <w:rPr>
                <w:rFonts w:cs="Arial"/>
                <w:b/>
                <w:bCs/>
                <w:color w:val="000000"/>
                <w:sz w:val="20"/>
                <w:szCs w:val="20"/>
                <w:lang w:eastAsia="en-AU"/>
              </w:rPr>
            </w:pPr>
            <w:r w:rsidRPr="00E47CAF">
              <w:rPr>
                <w:rFonts w:cs="Arial"/>
                <w:b/>
                <w:bCs/>
                <w:color w:val="000000"/>
                <w:sz w:val="20"/>
                <w:szCs w:val="20"/>
                <w:lang w:eastAsia="en-AU"/>
              </w:rPr>
              <w:t>Observations</w:t>
            </w:r>
          </w:p>
        </w:tc>
        <w:tc>
          <w:tcPr>
            <w:tcW w:w="255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20" w:after="20"/>
              <w:jc w:val="center"/>
              <w:rPr>
                <w:rFonts w:cs="Arial"/>
                <w:b w:val="0"/>
              </w:rPr>
            </w:pPr>
            <w:r>
              <w:rPr>
                <w:rFonts w:cs="Arial"/>
                <w:b w:val="0"/>
              </w:rPr>
              <w:t>4331</w:t>
            </w:r>
          </w:p>
        </w:tc>
        <w:tc>
          <w:tcPr>
            <w:tcW w:w="255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20" w:after="20"/>
              <w:jc w:val="center"/>
              <w:rPr>
                <w:rFonts w:cs="Arial"/>
                <w:b w:val="0"/>
              </w:rPr>
            </w:pPr>
            <w:r>
              <w:rPr>
                <w:rFonts w:cs="Arial"/>
                <w:b w:val="0"/>
              </w:rPr>
              <w:t>4331</w:t>
            </w:r>
          </w:p>
        </w:tc>
        <w:tc>
          <w:tcPr>
            <w:tcW w:w="255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20" w:after="20"/>
              <w:jc w:val="center"/>
              <w:rPr>
                <w:rFonts w:cs="Arial"/>
                <w:b w:val="0"/>
              </w:rPr>
            </w:pPr>
            <w:r>
              <w:rPr>
                <w:rFonts w:cs="Arial"/>
                <w:b w:val="0"/>
              </w:rPr>
              <w:t>4331</w:t>
            </w:r>
          </w:p>
        </w:tc>
        <w:tc>
          <w:tcPr>
            <w:tcW w:w="2559"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20" w:after="20"/>
              <w:jc w:val="center"/>
              <w:rPr>
                <w:rFonts w:cs="Arial"/>
                <w:b w:val="0"/>
              </w:rPr>
            </w:pPr>
            <w:r>
              <w:rPr>
                <w:rFonts w:cs="Arial"/>
                <w:b w:val="0"/>
              </w:rPr>
              <w:t>4331</w:t>
            </w:r>
          </w:p>
        </w:tc>
      </w:tr>
      <w:tr w:rsidR="00672B8E" w:rsidRPr="00E47CAF" w:rsidTr="000843AE">
        <w:tc>
          <w:tcPr>
            <w:tcW w:w="2943" w:type="dxa"/>
            <w:tcBorders>
              <w:top w:val="single" w:sz="8" w:space="0" w:color="auto"/>
              <w:left w:val="single" w:sz="4" w:space="0" w:color="auto"/>
              <w:bottom w:val="single" w:sz="12" w:space="0" w:color="auto"/>
              <w:right w:val="single" w:sz="4" w:space="0" w:color="auto"/>
            </w:tcBorders>
          </w:tcPr>
          <w:p w:rsidR="00672B8E" w:rsidRPr="00E47CAF" w:rsidRDefault="00672B8E" w:rsidP="000843AE">
            <w:pPr>
              <w:spacing w:before="20" w:after="20"/>
              <w:rPr>
                <w:rFonts w:cs="Arial"/>
                <w:b/>
                <w:bCs/>
                <w:color w:val="000000"/>
                <w:sz w:val="20"/>
                <w:szCs w:val="20"/>
                <w:lang w:eastAsia="en-AU"/>
              </w:rPr>
            </w:pPr>
            <w:r w:rsidRPr="00E47CAF">
              <w:rPr>
                <w:rFonts w:cs="Arial"/>
                <w:b/>
                <w:bCs/>
                <w:color w:val="000000"/>
                <w:sz w:val="20"/>
                <w:szCs w:val="20"/>
                <w:lang w:eastAsia="en-AU"/>
              </w:rPr>
              <w:t>Hosmer-Lemeshow goodness-of-fit</w:t>
            </w:r>
          </w:p>
        </w:tc>
        <w:tc>
          <w:tcPr>
            <w:tcW w:w="255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20" w:after="20"/>
              <w:jc w:val="center"/>
              <w:rPr>
                <w:rFonts w:cs="Arial"/>
                <w:b w:val="0"/>
              </w:rPr>
            </w:pPr>
            <w:r>
              <w:rPr>
                <w:rFonts w:cs="Arial"/>
                <w:b w:val="0"/>
              </w:rPr>
              <w:t>0.4134</w:t>
            </w:r>
          </w:p>
        </w:tc>
        <w:tc>
          <w:tcPr>
            <w:tcW w:w="255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20" w:after="20"/>
              <w:jc w:val="center"/>
              <w:rPr>
                <w:rFonts w:cs="Arial"/>
                <w:b w:val="0"/>
              </w:rPr>
            </w:pPr>
            <w:r>
              <w:rPr>
                <w:rFonts w:cs="Arial"/>
                <w:b w:val="0"/>
              </w:rPr>
              <w:t>0.7449</w:t>
            </w:r>
          </w:p>
        </w:tc>
        <w:tc>
          <w:tcPr>
            <w:tcW w:w="255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20" w:after="20"/>
              <w:jc w:val="center"/>
              <w:rPr>
                <w:rFonts w:cs="Arial"/>
                <w:b w:val="0"/>
              </w:rPr>
            </w:pPr>
            <w:r>
              <w:rPr>
                <w:rFonts w:cs="Arial"/>
                <w:b w:val="0"/>
              </w:rPr>
              <w:t>0.8207</w:t>
            </w:r>
          </w:p>
        </w:tc>
        <w:tc>
          <w:tcPr>
            <w:tcW w:w="2559"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20" w:after="20"/>
              <w:jc w:val="center"/>
              <w:rPr>
                <w:rFonts w:cs="Arial"/>
                <w:b w:val="0"/>
              </w:rPr>
            </w:pPr>
            <w:r>
              <w:rPr>
                <w:rFonts w:cs="Arial"/>
                <w:b w:val="0"/>
              </w:rPr>
              <w:t>0.172</w:t>
            </w:r>
          </w:p>
        </w:tc>
      </w:tr>
    </w:tbl>
    <w:p w:rsidR="00672B8E" w:rsidRDefault="00672B8E" w:rsidP="00672B8E">
      <w:pPr>
        <w:pStyle w:val="Caption"/>
        <w:keepNext/>
      </w:pPr>
      <w:bookmarkStart w:id="75" w:name="_Ref311554061"/>
      <w:bookmarkStart w:id="76" w:name="_Toc314730499"/>
      <w:r>
        <w:lastRenderedPageBreak/>
        <w:t xml:space="preserve">Table </w:t>
      </w:r>
      <w:r w:rsidR="00AB2546">
        <w:fldChar w:fldCharType="begin"/>
      </w:r>
      <w:r w:rsidR="00F32219">
        <w:instrText xml:space="preserve"> SEQ Table \* ARABIC </w:instrText>
      </w:r>
      <w:r w:rsidR="00AB2546">
        <w:fldChar w:fldCharType="separate"/>
      </w:r>
      <w:r w:rsidR="00266EB2">
        <w:rPr>
          <w:noProof/>
        </w:rPr>
        <w:t>4</w:t>
      </w:r>
      <w:r w:rsidR="00AB2546">
        <w:fldChar w:fldCharType="end"/>
      </w:r>
      <w:bookmarkEnd w:id="75"/>
      <w:r>
        <w:t xml:space="preserve">. </w:t>
      </w:r>
      <w:r w:rsidRPr="00356510">
        <w:rPr>
          <w:rFonts w:cs="Arial"/>
        </w:rPr>
        <w:t>Results (odds ratios and 95% confidence intervals) of the multivar</w:t>
      </w:r>
      <w:r>
        <w:rPr>
          <w:rFonts w:cs="Arial"/>
        </w:rPr>
        <w:t>iate logistic regression models</w:t>
      </w:r>
      <w:r w:rsidRPr="00356510">
        <w:rPr>
          <w:rFonts w:cs="Arial"/>
        </w:rPr>
        <w:t>: Detergents, Disinfectants, Cement and lime</w:t>
      </w:r>
      <w:bookmarkEnd w:id="76"/>
    </w:p>
    <w:tbl>
      <w:tblPr>
        <w:tblStyle w:val="TableGrid"/>
        <w:tblW w:w="11590" w:type="dxa"/>
        <w:tblLayout w:type="fixed"/>
        <w:tblLook w:val="04A0"/>
      </w:tblPr>
      <w:tblGrid>
        <w:gridCol w:w="3936"/>
        <w:gridCol w:w="1279"/>
        <w:gridCol w:w="1279"/>
        <w:gridCol w:w="1279"/>
        <w:gridCol w:w="1279"/>
        <w:gridCol w:w="1279"/>
        <w:gridCol w:w="1259"/>
      </w:tblGrid>
      <w:tr w:rsidR="00672B8E" w:rsidRPr="00E47CAF" w:rsidTr="000843AE">
        <w:tc>
          <w:tcPr>
            <w:tcW w:w="3936" w:type="dxa"/>
            <w:vMerge w:val="restart"/>
            <w:tcBorders>
              <w:top w:val="single" w:sz="12" w:space="0" w:color="auto"/>
              <w:left w:val="single" w:sz="8" w:space="0" w:color="auto"/>
              <w:right w:val="single" w:sz="8" w:space="0" w:color="auto"/>
            </w:tcBorders>
            <w:vAlign w:val="bottom"/>
          </w:tcPr>
          <w:p w:rsidR="00672B8E" w:rsidRDefault="00672B8E" w:rsidP="000843AE">
            <w:pPr>
              <w:pStyle w:val="Caption"/>
              <w:spacing w:before="40" w:after="40"/>
              <w:rPr>
                <w:rFonts w:cs="Arial"/>
              </w:rPr>
            </w:pPr>
            <w:r w:rsidRPr="00E47CAF">
              <w:rPr>
                <w:rFonts w:cs="Arial"/>
              </w:rPr>
              <w:t>Employment or demographic factor</w:t>
            </w:r>
          </w:p>
          <w:p w:rsidR="00672B8E" w:rsidRDefault="00672B8E" w:rsidP="000843AE"/>
          <w:p w:rsidR="00672B8E" w:rsidRPr="00BE27A0" w:rsidRDefault="00672B8E" w:rsidP="000843AE">
            <w:r w:rsidRPr="00BE27A0">
              <w:rPr>
                <w:sz w:val="18"/>
                <w:szCs w:val="18"/>
              </w:rPr>
              <w:t>Statistically significant relationships are shown in bold</w:t>
            </w:r>
          </w:p>
        </w:tc>
        <w:tc>
          <w:tcPr>
            <w:tcW w:w="7654" w:type="dxa"/>
            <w:gridSpan w:val="6"/>
            <w:tcBorders>
              <w:top w:val="single" w:sz="12" w:space="0" w:color="auto"/>
              <w:left w:val="single" w:sz="8" w:space="0" w:color="auto"/>
              <w:bottom w:val="nil"/>
              <w:right w:val="single" w:sz="8" w:space="0" w:color="auto"/>
            </w:tcBorders>
          </w:tcPr>
          <w:p w:rsidR="00672B8E" w:rsidRPr="00E47CAF" w:rsidRDefault="00672B8E" w:rsidP="000843AE">
            <w:pPr>
              <w:pStyle w:val="Caption"/>
              <w:spacing w:before="40" w:after="40"/>
              <w:jc w:val="center"/>
              <w:rPr>
                <w:rFonts w:cs="Arial"/>
              </w:rPr>
            </w:pPr>
            <w:r>
              <w:rPr>
                <w:rFonts w:cs="Arial"/>
              </w:rPr>
              <w:t>The likelihood (OR) that a worker reported exposure to each chemical type relative to the reference group for each factor</w:t>
            </w:r>
          </w:p>
        </w:tc>
      </w:tr>
      <w:tr w:rsidR="00672B8E" w:rsidRPr="00E47CAF" w:rsidTr="000843AE">
        <w:tc>
          <w:tcPr>
            <w:tcW w:w="3936" w:type="dxa"/>
            <w:vMerge/>
            <w:tcBorders>
              <w:left w:val="single" w:sz="8" w:space="0" w:color="auto"/>
              <w:right w:val="single" w:sz="8" w:space="0" w:color="auto"/>
            </w:tcBorders>
          </w:tcPr>
          <w:p w:rsidR="00672B8E" w:rsidRPr="00E47CAF" w:rsidRDefault="00672B8E" w:rsidP="000843AE">
            <w:pPr>
              <w:pStyle w:val="Caption"/>
              <w:spacing w:before="40" w:after="40"/>
              <w:rPr>
                <w:rFonts w:cs="Arial"/>
              </w:rPr>
            </w:pPr>
          </w:p>
        </w:tc>
        <w:tc>
          <w:tcPr>
            <w:tcW w:w="2558" w:type="dxa"/>
            <w:gridSpan w:val="2"/>
            <w:tcBorders>
              <w:top w:val="nil"/>
              <w:left w:val="single" w:sz="8"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Pr>
                <w:rFonts w:cs="Arial"/>
                <w:color w:val="FFFFFF" w:themeColor="background1"/>
              </w:rPr>
              <w:t>Detergents</w:t>
            </w:r>
          </w:p>
        </w:tc>
        <w:tc>
          <w:tcPr>
            <w:tcW w:w="2558" w:type="dxa"/>
            <w:gridSpan w:val="2"/>
            <w:tcBorders>
              <w:top w:val="nil"/>
              <w:left w:val="single" w:sz="4"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Pr>
                <w:rFonts w:cs="Arial"/>
                <w:color w:val="FFFFFF" w:themeColor="background1"/>
              </w:rPr>
              <w:t>Disinfectants</w:t>
            </w:r>
          </w:p>
        </w:tc>
        <w:tc>
          <w:tcPr>
            <w:tcW w:w="2538" w:type="dxa"/>
            <w:gridSpan w:val="2"/>
            <w:tcBorders>
              <w:top w:val="nil"/>
              <w:left w:val="single" w:sz="4" w:space="0" w:color="auto"/>
              <w:bottom w:val="nil"/>
              <w:right w:val="single" w:sz="4" w:space="0" w:color="auto"/>
            </w:tcBorders>
            <w:shd w:val="clear" w:color="auto" w:fill="808080" w:themeFill="background1" w:themeFillShade="80"/>
            <w:vAlign w:val="bottom"/>
          </w:tcPr>
          <w:p w:rsidR="00672B8E" w:rsidRPr="00D213B2" w:rsidRDefault="00672B8E" w:rsidP="000843AE">
            <w:pPr>
              <w:pStyle w:val="Caption"/>
              <w:spacing w:before="40" w:after="40"/>
              <w:jc w:val="center"/>
              <w:rPr>
                <w:rFonts w:cs="Arial"/>
                <w:color w:val="FFFFFF" w:themeColor="background1"/>
              </w:rPr>
            </w:pPr>
            <w:r>
              <w:rPr>
                <w:rFonts w:cs="Arial"/>
                <w:color w:val="FFFFFF" w:themeColor="background1"/>
              </w:rPr>
              <w:t>Cement and lime</w:t>
            </w:r>
          </w:p>
        </w:tc>
      </w:tr>
      <w:tr w:rsidR="00672B8E" w:rsidRPr="00E47CAF" w:rsidTr="000843AE">
        <w:tc>
          <w:tcPr>
            <w:tcW w:w="3936" w:type="dxa"/>
            <w:vMerge/>
            <w:tcBorders>
              <w:left w:val="single" w:sz="8" w:space="0" w:color="auto"/>
              <w:bottom w:val="single" w:sz="12" w:space="0" w:color="auto"/>
              <w:right w:val="single" w:sz="8" w:space="0" w:color="auto"/>
            </w:tcBorders>
          </w:tcPr>
          <w:p w:rsidR="00672B8E" w:rsidRPr="00E47CAF" w:rsidRDefault="00672B8E" w:rsidP="000843AE">
            <w:pPr>
              <w:pStyle w:val="Caption"/>
              <w:spacing w:before="40" w:after="40"/>
              <w:rPr>
                <w:rFonts w:cs="Arial"/>
              </w:rPr>
            </w:pPr>
          </w:p>
        </w:tc>
        <w:tc>
          <w:tcPr>
            <w:tcW w:w="1279" w:type="dxa"/>
            <w:tcBorders>
              <w:top w:val="nil"/>
              <w:left w:val="single" w:sz="8"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7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c>
          <w:tcPr>
            <w:tcW w:w="1279" w:type="dxa"/>
            <w:tcBorders>
              <w:top w:val="nil"/>
              <w:left w:val="single" w:sz="4"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7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c>
          <w:tcPr>
            <w:tcW w:w="1279" w:type="dxa"/>
            <w:tcBorders>
              <w:top w:val="nil"/>
              <w:left w:val="single" w:sz="4" w:space="0" w:color="auto"/>
              <w:bottom w:val="single" w:sz="12" w:space="0" w:color="auto"/>
              <w:right w:val="nil"/>
            </w:tcBorders>
            <w:vAlign w:val="bottom"/>
          </w:tcPr>
          <w:p w:rsidR="00672B8E" w:rsidRPr="00E47CAF" w:rsidRDefault="00672B8E" w:rsidP="000843AE">
            <w:pPr>
              <w:pStyle w:val="Caption"/>
              <w:spacing w:before="40" w:after="40"/>
              <w:jc w:val="center"/>
              <w:rPr>
                <w:rFonts w:cs="Arial"/>
              </w:rPr>
            </w:pPr>
            <w:r>
              <w:rPr>
                <w:rFonts w:cs="Arial"/>
              </w:rPr>
              <w:t>OR</w:t>
            </w:r>
          </w:p>
        </w:tc>
        <w:tc>
          <w:tcPr>
            <w:tcW w:w="1259" w:type="dxa"/>
            <w:tcBorders>
              <w:top w:val="nil"/>
              <w:left w:val="nil"/>
              <w:bottom w:val="single" w:sz="12" w:space="0" w:color="auto"/>
              <w:right w:val="single" w:sz="4" w:space="0" w:color="auto"/>
            </w:tcBorders>
            <w:vAlign w:val="bottom"/>
          </w:tcPr>
          <w:p w:rsidR="00672B8E" w:rsidRPr="00E47CAF" w:rsidRDefault="00672B8E" w:rsidP="000843AE">
            <w:pPr>
              <w:pStyle w:val="Caption"/>
              <w:spacing w:before="40" w:after="40"/>
              <w:jc w:val="center"/>
              <w:rPr>
                <w:rFonts w:cs="Arial"/>
              </w:rPr>
            </w:pPr>
            <w:r>
              <w:rPr>
                <w:rFonts w:cs="Arial"/>
              </w:rPr>
              <w:t>95% CI</w:t>
            </w:r>
          </w:p>
        </w:tc>
      </w:tr>
      <w:tr w:rsidR="00672B8E" w:rsidRPr="00E47CAF" w:rsidTr="000843AE">
        <w:tc>
          <w:tcPr>
            <w:tcW w:w="3936" w:type="dxa"/>
            <w:tcBorders>
              <w:top w:val="single" w:sz="12" w:space="0" w:color="auto"/>
            </w:tcBorders>
            <w:shd w:val="clear" w:color="auto" w:fill="808080" w:themeFill="background1" w:themeFillShade="80"/>
          </w:tcPr>
          <w:p w:rsidR="00672B8E" w:rsidRPr="00E47CAF" w:rsidRDefault="00672B8E" w:rsidP="000843AE">
            <w:pPr>
              <w:spacing w:before="40" w:after="40"/>
              <w:rPr>
                <w:rFonts w:cs="Arial"/>
                <w:b/>
                <w:bCs/>
                <w:color w:val="FFFFFF" w:themeColor="background1"/>
                <w:sz w:val="20"/>
                <w:szCs w:val="20"/>
                <w:lang w:eastAsia="en-AU"/>
              </w:rPr>
            </w:pPr>
            <w:r w:rsidRPr="00E47CAF">
              <w:rPr>
                <w:rFonts w:cs="Arial"/>
                <w:b/>
                <w:bCs/>
                <w:color w:val="FFFFFF" w:themeColor="background1"/>
                <w:sz w:val="20"/>
                <w:szCs w:val="20"/>
                <w:lang w:eastAsia="en-AU"/>
              </w:rPr>
              <w:t>Gender</w:t>
            </w: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7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c>
          <w:tcPr>
            <w:tcW w:w="1259" w:type="dxa"/>
            <w:tcBorders>
              <w:top w:val="single" w:sz="12" w:space="0" w:color="auto"/>
            </w:tcBorders>
            <w:shd w:val="clear" w:color="auto" w:fill="808080" w:themeFill="background1" w:themeFillShade="80"/>
          </w:tcPr>
          <w:p w:rsidR="00672B8E" w:rsidRPr="00E47CAF" w:rsidRDefault="00672B8E" w:rsidP="000843AE">
            <w:pPr>
              <w:pStyle w:val="Caption"/>
              <w:spacing w:before="40" w:after="40"/>
              <w:rPr>
                <w:rFonts w:cs="Arial"/>
                <w:color w:val="FFFFFF" w:themeColor="background1"/>
              </w:rPr>
            </w:pPr>
          </w:p>
        </w:tc>
      </w:tr>
      <w:tr w:rsidR="00672B8E" w:rsidRPr="00E47CAF" w:rsidTr="000843AE">
        <w:tc>
          <w:tcPr>
            <w:tcW w:w="3936" w:type="dxa"/>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Male (ref)</w:t>
            </w: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59" w:type="dxa"/>
          </w:tcPr>
          <w:p w:rsidR="00672B8E" w:rsidRPr="009A27C8" w:rsidRDefault="00672B8E" w:rsidP="000843AE">
            <w:pPr>
              <w:pStyle w:val="Caption"/>
              <w:spacing w:before="40" w:after="40"/>
              <w:jc w:val="center"/>
              <w:rPr>
                <w:rFonts w:cs="Arial"/>
                <w:b w:val="0"/>
              </w:rPr>
            </w:pPr>
          </w:p>
        </w:tc>
      </w:tr>
      <w:tr w:rsidR="00672B8E" w:rsidRPr="00E47CAF" w:rsidTr="000843AE">
        <w:tc>
          <w:tcPr>
            <w:tcW w:w="3936" w:type="dxa"/>
            <w:tcBorders>
              <w:bottom w:val="single" w:sz="4" w:space="0" w:color="auto"/>
            </w:tcBorders>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 xml:space="preserve">Female </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Pr>
                <w:rFonts w:cs="Arial"/>
              </w:rPr>
              <w:t>2.07</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Pr>
                <w:rFonts w:cs="Arial"/>
              </w:rPr>
              <w:t>1.70-2.51</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Pr>
                <w:rFonts w:cs="Arial"/>
              </w:rPr>
              <w:t>4.43</w:t>
            </w:r>
          </w:p>
        </w:tc>
        <w:tc>
          <w:tcPr>
            <w:tcW w:w="1279" w:type="dxa"/>
            <w:tcBorders>
              <w:bottom w:val="single" w:sz="4" w:space="0" w:color="auto"/>
            </w:tcBorders>
          </w:tcPr>
          <w:p w:rsidR="00672B8E" w:rsidRPr="00F976FC" w:rsidRDefault="00672B8E" w:rsidP="000843AE">
            <w:pPr>
              <w:pStyle w:val="Caption"/>
              <w:spacing w:before="40" w:after="40"/>
              <w:jc w:val="center"/>
              <w:rPr>
                <w:rFonts w:cs="Arial"/>
              </w:rPr>
            </w:pPr>
            <w:r>
              <w:rPr>
                <w:rFonts w:cs="Arial"/>
              </w:rPr>
              <w:t>3.38-5.81</w:t>
            </w:r>
          </w:p>
        </w:tc>
        <w:tc>
          <w:tcPr>
            <w:tcW w:w="1279" w:type="dxa"/>
            <w:tcBorders>
              <w:bottom w:val="single" w:sz="4" w:space="0" w:color="auto"/>
            </w:tcBorders>
          </w:tcPr>
          <w:p w:rsidR="00672B8E" w:rsidRPr="00867D80" w:rsidRDefault="00672B8E" w:rsidP="000843AE">
            <w:pPr>
              <w:pStyle w:val="Caption"/>
              <w:spacing w:before="40" w:after="40"/>
              <w:jc w:val="center"/>
              <w:rPr>
                <w:rFonts w:cs="Arial"/>
              </w:rPr>
            </w:pPr>
            <w:r w:rsidRPr="00867D80">
              <w:rPr>
                <w:rFonts w:cs="Arial"/>
              </w:rPr>
              <w:t>0.04</w:t>
            </w:r>
          </w:p>
        </w:tc>
        <w:tc>
          <w:tcPr>
            <w:tcW w:w="1259" w:type="dxa"/>
            <w:tcBorders>
              <w:bottom w:val="single" w:sz="4" w:space="0" w:color="auto"/>
            </w:tcBorders>
          </w:tcPr>
          <w:p w:rsidR="00672B8E" w:rsidRPr="00867D80" w:rsidRDefault="00672B8E" w:rsidP="000843AE">
            <w:pPr>
              <w:pStyle w:val="Caption"/>
              <w:spacing w:before="40" w:after="40"/>
              <w:jc w:val="center"/>
              <w:rPr>
                <w:rFonts w:cs="Arial"/>
              </w:rPr>
            </w:pPr>
            <w:r w:rsidRPr="00867D80">
              <w:rPr>
                <w:rFonts w:cs="Arial"/>
              </w:rPr>
              <w:t>0.01-0.10</w:t>
            </w:r>
          </w:p>
        </w:tc>
      </w:tr>
      <w:tr w:rsidR="00672B8E" w:rsidRPr="00E47CAF" w:rsidTr="000843AE">
        <w:tc>
          <w:tcPr>
            <w:tcW w:w="3936" w:type="dxa"/>
            <w:shd w:val="clear" w:color="auto" w:fill="808080" w:themeFill="background1" w:themeFillShade="80"/>
            <w:vAlign w:val="center"/>
          </w:tcPr>
          <w:p w:rsidR="00672B8E" w:rsidRPr="00E47CAF" w:rsidRDefault="00672B8E" w:rsidP="000843AE">
            <w:pPr>
              <w:spacing w:before="40" w:after="40"/>
              <w:rPr>
                <w:rFonts w:cs="Arial"/>
                <w:b/>
                <w:bCs/>
                <w:color w:val="FFFFFF" w:themeColor="background1"/>
                <w:sz w:val="20"/>
                <w:szCs w:val="20"/>
                <w:lang w:eastAsia="en-AU"/>
              </w:rPr>
            </w:pPr>
            <w:r w:rsidRPr="00E47CAF">
              <w:rPr>
                <w:rFonts w:cs="Arial"/>
                <w:b/>
                <w:bCs/>
                <w:color w:val="FFFFFF" w:themeColor="background1"/>
                <w:sz w:val="20"/>
                <w:szCs w:val="20"/>
                <w:lang w:eastAsia="en-AU"/>
              </w:rPr>
              <w:t>Age group</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5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15-24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59" w:type="dxa"/>
          </w:tcPr>
          <w:p w:rsidR="00672B8E" w:rsidRPr="009A27C8" w:rsidRDefault="00672B8E" w:rsidP="000843AE">
            <w:pPr>
              <w:pStyle w:val="Caption"/>
              <w:spacing w:before="40" w:after="40"/>
              <w:jc w:val="center"/>
              <w:rPr>
                <w:rFonts w:cs="Arial"/>
                <w:b w:val="0"/>
              </w:rPr>
            </w:pP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25-34</w:t>
            </w:r>
          </w:p>
        </w:tc>
        <w:tc>
          <w:tcPr>
            <w:tcW w:w="1279" w:type="dxa"/>
          </w:tcPr>
          <w:p w:rsidR="00672B8E" w:rsidRPr="00867D80" w:rsidRDefault="00672B8E" w:rsidP="000843AE">
            <w:pPr>
              <w:pStyle w:val="Caption"/>
              <w:spacing w:before="40" w:after="40"/>
              <w:jc w:val="center"/>
              <w:rPr>
                <w:rFonts w:cs="Arial"/>
              </w:rPr>
            </w:pPr>
            <w:r w:rsidRPr="00867D80">
              <w:rPr>
                <w:rFonts w:cs="Arial"/>
              </w:rPr>
              <w:t>0.62</w:t>
            </w:r>
          </w:p>
        </w:tc>
        <w:tc>
          <w:tcPr>
            <w:tcW w:w="1279" w:type="dxa"/>
          </w:tcPr>
          <w:p w:rsidR="00672B8E" w:rsidRPr="00867D80" w:rsidRDefault="00672B8E" w:rsidP="000843AE">
            <w:pPr>
              <w:pStyle w:val="Caption"/>
              <w:spacing w:before="40" w:after="40"/>
              <w:jc w:val="center"/>
              <w:rPr>
                <w:rFonts w:cs="Arial"/>
              </w:rPr>
            </w:pPr>
            <w:r w:rsidRPr="00867D80">
              <w:rPr>
                <w:rFonts w:cs="Arial"/>
              </w:rPr>
              <w:t>0.42-0.93</w:t>
            </w:r>
          </w:p>
        </w:tc>
        <w:tc>
          <w:tcPr>
            <w:tcW w:w="1279" w:type="dxa"/>
          </w:tcPr>
          <w:p w:rsidR="00672B8E" w:rsidRPr="00867D80" w:rsidRDefault="00672B8E" w:rsidP="000843AE">
            <w:pPr>
              <w:pStyle w:val="Caption"/>
              <w:spacing w:before="40" w:after="40"/>
              <w:jc w:val="center"/>
              <w:rPr>
                <w:rFonts w:cs="Arial"/>
              </w:rPr>
            </w:pPr>
            <w:r w:rsidRPr="00867D80">
              <w:rPr>
                <w:rFonts w:cs="Arial"/>
              </w:rPr>
              <w:t>0.57</w:t>
            </w:r>
          </w:p>
        </w:tc>
        <w:tc>
          <w:tcPr>
            <w:tcW w:w="1279" w:type="dxa"/>
          </w:tcPr>
          <w:p w:rsidR="00672B8E" w:rsidRPr="00867D80" w:rsidRDefault="00672B8E" w:rsidP="000843AE">
            <w:pPr>
              <w:pStyle w:val="Caption"/>
              <w:spacing w:before="40" w:after="40"/>
              <w:jc w:val="center"/>
              <w:rPr>
                <w:rFonts w:cs="Arial"/>
              </w:rPr>
            </w:pPr>
            <w:r w:rsidRPr="00867D80">
              <w:rPr>
                <w:rFonts w:cs="Arial"/>
              </w:rPr>
              <w:t>0.34-0.97</w:t>
            </w:r>
          </w:p>
        </w:tc>
        <w:tc>
          <w:tcPr>
            <w:tcW w:w="1279" w:type="dxa"/>
          </w:tcPr>
          <w:p w:rsidR="00672B8E" w:rsidRPr="009A27C8" w:rsidRDefault="00672B8E" w:rsidP="000843AE">
            <w:pPr>
              <w:pStyle w:val="Caption"/>
              <w:spacing w:before="40" w:after="40"/>
              <w:jc w:val="center"/>
              <w:rPr>
                <w:rFonts w:cs="Arial"/>
                <w:b w:val="0"/>
              </w:rPr>
            </w:pPr>
            <w:r>
              <w:rPr>
                <w:rFonts w:cs="Arial"/>
                <w:b w:val="0"/>
              </w:rPr>
              <w:t>1.07</w:t>
            </w:r>
          </w:p>
        </w:tc>
        <w:tc>
          <w:tcPr>
            <w:tcW w:w="1259" w:type="dxa"/>
          </w:tcPr>
          <w:p w:rsidR="00672B8E" w:rsidRPr="009A27C8" w:rsidRDefault="00672B8E" w:rsidP="000843AE">
            <w:pPr>
              <w:pStyle w:val="Caption"/>
              <w:spacing w:before="40" w:after="40"/>
              <w:jc w:val="center"/>
              <w:rPr>
                <w:rFonts w:cs="Arial"/>
                <w:b w:val="0"/>
              </w:rPr>
            </w:pPr>
            <w:r>
              <w:rPr>
                <w:rFonts w:cs="Arial"/>
                <w:b w:val="0"/>
              </w:rPr>
              <w:t>0.50-2.08</w:t>
            </w: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35-44</w:t>
            </w:r>
          </w:p>
        </w:tc>
        <w:tc>
          <w:tcPr>
            <w:tcW w:w="1279" w:type="dxa"/>
          </w:tcPr>
          <w:p w:rsidR="00672B8E" w:rsidRPr="00867D80" w:rsidRDefault="00672B8E" w:rsidP="000843AE">
            <w:pPr>
              <w:pStyle w:val="Caption"/>
              <w:spacing w:before="40" w:after="40"/>
              <w:jc w:val="center"/>
              <w:rPr>
                <w:rFonts w:cs="Arial"/>
              </w:rPr>
            </w:pPr>
            <w:r w:rsidRPr="00867D80">
              <w:rPr>
                <w:rFonts w:cs="Arial"/>
              </w:rPr>
              <w:t>0.56</w:t>
            </w:r>
          </w:p>
        </w:tc>
        <w:tc>
          <w:tcPr>
            <w:tcW w:w="1279" w:type="dxa"/>
          </w:tcPr>
          <w:p w:rsidR="00672B8E" w:rsidRPr="00867D80" w:rsidRDefault="00672B8E" w:rsidP="000843AE">
            <w:pPr>
              <w:pStyle w:val="Caption"/>
              <w:spacing w:before="40" w:after="40"/>
              <w:jc w:val="center"/>
              <w:rPr>
                <w:rFonts w:cs="Arial"/>
              </w:rPr>
            </w:pPr>
            <w:r w:rsidRPr="00867D80">
              <w:rPr>
                <w:rFonts w:cs="Arial"/>
              </w:rPr>
              <w:t>0.39-0.81</w:t>
            </w:r>
          </w:p>
        </w:tc>
        <w:tc>
          <w:tcPr>
            <w:tcW w:w="1279" w:type="dxa"/>
          </w:tcPr>
          <w:p w:rsidR="00672B8E" w:rsidRPr="00867D80" w:rsidRDefault="00672B8E" w:rsidP="000843AE">
            <w:pPr>
              <w:pStyle w:val="Caption"/>
              <w:spacing w:before="40" w:after="40"/>
              <w:jc w:val="center"/>
              <w:rPr>
                <w:rFonts w:cs="Arial"/>
              </w:rPr>
            </w:pPr>
            <w:r w:rsidRPr="00867D80">
              <w:rPr>
                <w:rFonts w:cs="Arial"/>
              </w:rPr>
              <w:t>0.56</w:t>
            </w:r>
          </w:p>
        </w:tc>
        <w:tc>
          <w:tcPr>
            <w:tcW w:w="1279" w:type="dxa"/>
          </w:tcPr>
          <w:p w:rsidR="00672B8E" w:rsidRPr="00867D80" w:rsidRDefault="00672B8E" w:rsidP="000843AE">
            <w:pPr>
              <w:pStyle w:val="Caption"/>
              <w:spacing w:before="40" w:after="40"/>
              <w:jc w:val="center"/>
              <w:rPr>
                <w:rFonts w:cs="Arial"/>
              </w:rPr>
            </w:pPr>
            <w:r w:rsidRPr="00867D80">
              <w:rPr>
                <w:rFonts w:cs="Arial"/>
              </w:rPr>
              <w:t>0.41-0.92</w:t>
            </w:r>
          </w:p>
        </w:tc>
        <w:tc>
          <w:tcPr>
            <w:tcW w:w="1279" w:type="dxa"/>
          </w:tcPr>
          <w:p w:rsidR="00672B8E" w:rsidRPr="009A27C8" w:rsidRDefault="00672B8E" w:rsidP="000843AE">
            <w:pPr>
              <w:pStyle w:val="Caption"/>
              <w:spacing w:before="40" w:after="40"/>
              <w:jc w:val="center"/>
              <w:rPr>
                <w:rFonts w:cs="Arial"/>
                <w:b w:val="0"/>
              </w:rPr>
            </w:pPr>
            <w:r>
              <w:rPr>
                <w:rFonts w:cs="Arial"/>
                <w:b w:val="0"/>
              </w:rPr>
              <w:t>0.92</w:t>
            </w:r>
          </w:p>
        </w:tc>
        <w:tc>
          <w:tcPr>
            <w:tcW w:w="1259" w:type="dxa"/>
          </w:tcPr>
          <w:p w:rsidR="00672B8E" w:rsidRPr="009A27C8" w:rsidRDefault="00672B8E" w:rsidP="000843AE">
            <w:pPr>
              <w:pStyle w:val="Caption"/>
              <w:spacing w:before="40" w:after="40"/>
              <w:jc w:val="center"/>
              <w:rPr>
                <w:rFonts w:cs="Arial"/>
                <w:b w:val="0"/>
              </w:rPr>
            </w:pPr>
            <w:r>
              <w:rPr>
                <w:rFonts w:cs="Arial"/>
                <w:b w:val="0"/>
              </w:rPr>
              <w:t>0.44-1.71</w:t>
            </w: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45-54</w:t>
            </w:r>
          </w:p>
        </w:tc>
        <w:tc>
          <w:tcPr>
            <w:tcW w:w="1279" w:type="dxa"/>
          </w:tcPr>
          <w:p w:rsidR="00672B8E" w:rsidRPr="00867D80" w:rsidRDefault="00672B8E" w:rsidP="000843AE">
            <w:pPr>
              <w:pStyle w:val="Caption"/>
              <w:spacing w:before="40" w:after="40"/>
              <w:jc w:val="center"/>
              <w:rPr>
                <w:rFonts w:cs="Arial"/>
              </w:rPr>
            </w:pPr>
            <w:r w:rsidRPr="00867D80">
              <w:rPr>
                <w:rFonts w:cs="Arial"/>
              </w:rPr>
              <w:t>0.44</w:t>
            </w:r>
          </w:p>
        </w:tc>
        <w:tc>
          <w:tcPr>
            <w:tcW w:w="1279" w:type="dxa"/>
          </w:tcPr>
          <w:p w:rsidR="00672B8E" w:rsidRPr="00867D80" w:rsidRDefault="00672B8E" w:rsidP="000843AE">
            <w:pPr>
              <w:pStyle w:val="Caption"/>
              <w:spacing w:before="40" w:after="40"/>
              <w:jc w:val="center"/>
              <w:rPr>
                <w:rFonts w:cs="Arial"/>
              </w:rPr>
            </w:pPr>
            <w:r w:rsidRPr="00867D80">
              <w:rPr>
                <w:rFonts w:cs="Arial"/>
              </w:rPr>
              <w:t>0.31-0.64</w:t>
            </w:r>
          </w:p>
        </w:tc>
        <w:tc>
          <w:tcPr>
            <w:tcW w:w="1279" w:type="dxa"/>
          </w:tcPr>
          <w:p w:rsidR="00672B8E" w:rsidRPr="009A27C8" w:rsidRDefault="00672B8E" w:rsidP="000843AE">
            <w:pPr>
              <w:pStyle w:val="Caption"/>
              <w:spacing w:before="40" w:after="40"/>
              <w:jc w:val="center"/>
              <w:rPr>
                <w:rFonts w:cs="Arial"/>
                <w:b w:val="0"/>
              </w:rPr>
            </w:pPr>
            <w:r>
              <w:rPr>
                <w:rFonts w:cs="Arial"/>
                <w:b w:val="0"/>
              </w:rPr>
              <w:t>0.66</w:t>
            </w:r>
          </w:p>
        </w:tc>
        <w:tc>
          <w:tcPr>
            <w:tcW w:w="1279" w:type="dxa"/>
          </w:tcPr>
          <w:p w:rsidR="00672B8E" w:rsidRPr="009A27C8" w:rsidRDefault="00672B8E" w:rsidP="000843AE">
            <w:pPr>
              <w:pStyle w:val="Caption"/>
              <w:spacing w:before="40" w:after="40"/>
              <w:jc w:val="center"/>
              <w:rPr>
                <w:rFonts w:cs="Arial"/>
                <w:b w:val="0"/>
              </w:rPr>
            </w:pPr>
            <w:r>
              <w:rPr>
                <w:rFonts w:cs="Arial"/>
                <w:b w:val="0"/>
              </w:rPr>
              <w:t>0.48-1.07</w:t>
            </w:r>
          </w:p>
        </w:tc>
        <w:tc>
          <w:tcPr>
            <w:tcW w:w="1279" w:type="dxa"/>
          </w:tcPr>
          <w:p w:rsidR="00672B8E" w:rsidRPr="009A27C8" w:rsidRDefault="00672B8E" w:rsidP="000843AE">
            <w:pPr>
              <w:pStyle w:val="Caption"/>
              <w:spacing w:before="40" w:after="40"/>
              <w:jc w:val="center"/>
              <w:rPr>
                <w:rFonts w:cs="Arial"/>
                <w:b w:val="0"/>
              </w:rPr>
            </w:pPr>
            <w:r>
              <w:rPr>
                <w:rFonts w:cs="Arial"/>
                <w:b w:val="0"/>
              </w:rPr>
              <w:t>0.81</w:t>
            </w:r>
          </w:p>
        </w:tc>
        <w:tc>
          <w:tcPr>
            <w:tcW w:w="1259" w:type="dxa"/>
          </w:tcPr>
          <w:p w:rsidR="00672B8E" w:rsidRPr="009A27C8" w:rsidRDefault="00672B8E" w:rsidP="000843AE">
            <w:pPr>
              <w:pStyle w:val="Caption"/>
              <w:spacing w:before="40" w:after="40"/>
              <w:jc w:val="center"/>
              <w:rPr>
                <w:rFonts w:cs="Arial"/>
                <w:b w:val="0"/>
              </w:rPr>
            </w:pPr>
            <w:r>
              <w:rPr>
                <w:rFonts w:cs="Arial"/>
                <w:b w:val="0"/>
              </w:rPr>
              <w:t>0.27-1.49</w:t>
            </w:r>
          </w:p>
        </w:tc>
      </w:tr>
      <w:tr w:rsidR="00672B8E" w:rsidRPr="00E47CAF" w:rsidTr="000843AE">
        <w:tc>
          <w:tcPr>
            <w:tcW w:w="3936" w:type="dxa"/>
            <w:tcBorders>
              <w:bottom w:val="single" w:sz="4" w:space="0" w:color="auto"/>
            </w:tcBorders>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55+</w:t>
            </w:r>
          </w:p>
        </w:tc>
        <w:tc>
          <w:tcPr>
            <w:tcW w:w="1279" w:type="dxa"/>
            <w:tcBorders>
              <w:bottom w:val="single" w:sz="4" w:space="0" w:color="auto"/>
            </w:tcBorders>
          </w:tcPr>
          <w:p w:rsidR="00672B8E" w:rsidRPr="00867D80" w:rsidRDefault="00672B8E" w:rsidP="000843AE">
            <w:pPr>
              <w:pStyle w:val="Caption"/>
              <w:spacing w:before="40" w:after="40"/>
              <w:jc w:val="center"/>
              <w:rPr>
                <w:rFonts w:cs="Arial"/>
              </w:rPr>
            </w:pPr>
            <w:r w:rsidRPr="00867D80">
              <w:rPr>
                <w:rFonts w:cs="Arial"/>
              </w:rPr>
              <w:t>0.55</w:t>
            </w:r>
          </w:p>
        </w:tc>
        <w:tc>
          <w:tcPr>
            <w:tcW w:w="1279" w:type="dxa"/>
            <w:tcBorders>
              <w:bottom w:val="single" w:sz="4" w:space="0" w:color="auto"/>
            </w:tcBorders>
          </w:tcPr>
          <w:p w:rsidR="00672B8E" w:rsidRPr="00867D80" w:rsidRDefault="00672B8E" w:rsidP="000843AE">
            <w:pPr>
              <w:pStyle w:val="Caption"/>
              <w:spacing w:before="40" w:after="40"/>
              <w:jc w:val="center"/>
              <w:rPr>
                <w:rFonts w:cs="Arial"/>
              </w:rPr>
            </w:pPr>
            <w:r w:rsidRPr="00867D80">
              <w:rPr>
                <w:rFonts w:cs="Arial"/>
              </w:rPr>
              <w:t>0.38-0.80</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0.80</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0.62-1.31</w:t>
            </w:r>
          </w:p>
        </w:tc>
        <w:tc>
          <w:tcPr>
            <w:tcW w:w="127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0.54</w:t>
            </w:r>
          </w:p>
        </w:tc>
        <w:tc>
          <w:tcPr>
            <w:tcW w:w="1259" w:type="dxa"/>
            <w:tcBorders>
              <w:bottom w:val="single" w:sz="4" w:space="0" w:color="auto"/>
            </w:tcBorders>
          </w:tcPr>
          <w:p w:rsidR="00672B8E" w:rsidRPr="009A27C8" w:rsidRDefault="00672B8E" w:rsidP="000843AE">
            <w:pPr>
              <w:pStyle w:val="Caption"/>
              <w:spacing w:before="40" w:after="40"/>
              <w:jc w:val="center"/>
              <w:rPr>
                <w:rFonts w:cs="Arial"/>
                <w:b w:val="0"/>
              </w:rPr>
            </w:pPr>
            <w:r>
              <w:rPr>
                <w:rFonts w:cs="Arial"/>
                <w:b w:val="0"/>
              </w:rPr>
              <w:t>0.14-1.07</w:t>
            </w:r>
          </w:p>
        </w:tc>
      </w:tr>
      <w:tr w:rsidR="00672B8E" w:rsidRPr="00E47CAF" w:rsidTr="000843AE">
        <w:tc>
          <w:tcPr>
            <w:tcW w:w="3936" w:type="dxa"/>
            <w:shd w:val="clear" w:color="auto" w:fill="808080" w:themeFill="background1" w:themeFillShade="80"/>
            <w:vAlign w:val="center"/>
          </w:tcPr>
          <w:p w:rsidR="00672B8E" w:rsidRPr="00E47CAF" w:rsidRDefault="00672B8E" w:rsidP="000843AE">
            <w:pPr>
              <w:spacing w:before="40" w:after="40"/>
              <w:rPr>
                <w:rFonts w:cs="Arial"/>
                <w:color w:val="FFFFFF" w:themeColor="background1"/>
                <w:sz w:val="20"/>
                <w:szCs w:val="20"/>
              </w:rPr>
            </w:pPr>
            <w:r w:rsidRPr="00E47CAF">
              <w:rPr>
                <w:rFonts w:cs="Arial"/>
                <w:b/>
                <w:bCs/>
                <w:color w:val="FFFFFF" w:themeColor="background1"/>
                <w:sz w:val="20"/>
                <w:szCs w:val="20"/>
                <w:lang w:eastAsia="en-AU"/>
              </w:rPr>
              <w:t>Occupational skill level</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5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1 (highest skill)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59" w:type="dxa"/>
          </w:tcPr>
          <w:p w:rsidR="00672B8E" w:rsidRPr="009A27C8" w:rsidRDefault="00672B8E" w:rsidP="000843AE">
            <w:pPr>
              <w:pStyle w:val="Caption"/>
              <w:spacing w:before="40" w:after="40"/>
              <w:jc w:val="center"/>
              <w:rPr>
                <w:rFonts w:cs="Arial"/>
                <w:b w:val="0"/>
              </w:rPr>
            </w:pP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2</w:t>
            </w:r>
          </w:p>
        </w:tc>
        <w:tc>
          <w:tcPr>
            <w:tcW w:w="1279" w:type="dxa"/>
          </w:tcPr>
          <w:p w:rsidR="00672B8E" w:rsidRPr="009A27C8" w:rsidRDefault="00672B8E" w:rsidP="000843AE">
            <w:pPr>
              <w:pStyle w:val="Caption"/>
              <w:spacing w:before="40" w:after="40"/>
              <w:jc w:val="center"/>
              <w:rPr>
                <w:rFonts w:cs="Arial"/>
              </w:rPr>
            </w:pPr>
            <w:r>
              <w:rPr>
                <w:rFonts w:cs="Arial"/>
              </w:rPr>
              <w:t>1.86</w:t>
            </w:r>
          </w:p>
        </w:tc>
        <w:tc>
          <w:tcPr>
            <w:tcW w:w="1279" w:type="dxa"/>
          </w:tcPr>
          <w:p w:rsidR="00672B8E" w:rsidRPr="009A27C8" w:rsidRDefault="00672B8E" w:rsidP="000843AE">
            <w:pPr>
              <w:pStyle w:val="Caption"/>
              <w:spacing w:before="40" w:after="40"/>
              <w:jc w:val="center"/>
              <w:rPr>
                <w:rFonts w:cs="Arial"/>
              </w:rPr>
            </w:pPr>
            <w:r>
              <w:rPr>
                <w:rFonts w:cs="Arial"/>
              </w:rPr>
              <w:t>1.31-2.62</w:t>
            </w:r>
          </w:p>
        </w:tc>
        <w:tc>
          <w:tcPr>
            <w:tcW w:w="1279" w:type="dxa"/>
          </w:tcPr>
          <w:p w:rsidR="00672B8E" w:rsidRPr="00867D80" w:rsidRDefault="00672B8E" w:rsidP="000843AE">
            <w:pPr>
              <w:pStyle w:val="Caption"/>
              <w:spacing w:before="40" w:after="40"/>
              <w:jc w:val="center"/>
              <w:rPr>
                <w:rFonts w:cs="Arial"/>
                <w:b w:val="0"/>
              </w:rPr>
            </w:pPr>
            <w:r>
              <w:rPr>
                <w:rFonts w:cs="Arial"/>
                <w:b w:val="0"/>
              </w:rPr>
              <w:t>1.12</w:t>
            </w:r>
          </w:p>
        </w:tc>
        <w:tc>
          <w:tcPr>
            <w:tcW w:w="1279" w:type="dxa"/>
          </w:tcPr>
          <w:p w:rsidR="00672B8E" w:rsidRPr="00867D80" w:rsidRDefault="00672B8E" w:rsidP="000843AE">
            <w:pPr>
              <w:pStyle w:val="Caption"/>
              <w:spacing w:before="40" w:after="40"/>
              <w:jc w:val="center"/>
              <w:rPr>
                <w:rFonts w:cs="Arial"/>
                <w:b w:val="0"/>
              </w:rPr>
            </w:pPr>
            <w:r>
              <w:rPr>
                <w:rFonts w:cs="Arial"/>
                <w:b w:val="0"/>
              </w:rPr>
              <w:t>0.73-1.71</w:t>
            </w:r>
          </w:p>
        </w:tc>
        <w:tc>
          <w:tcPr>
            <w:tcW w:w="1279" w:type="dxa"/>
          </w:tcPr>
          <w:p w:rsidR="00672B8E" w:rsidRPr="00867D80" w:rsidRDefault="00672B8E" w:rsidP="000843AE">
            <w:pPr>
              <w:pStyle w:val="Caption"/>
              <w:spacing w:before="40" w:after="40"/>
              <w:jc w:val="center"/>
              <w:rPr>
                <w:rFonts w:cs="Arial"/>
                <w:b w:val="0"/>
              </w:rPr>
            </w:pPr>
            <w:r>
              <w:rPr>
                <w:rFonts w:cs="Arial"/>
                <w:b w:val="0"/>
              </w:rPr>
              <w:t>0.45</w:t>
            </w:r>
          </w:p>
        </w:tc>
        <w:tc>
          <w:tcPr>
            <w:tcW w:w="1259" w:type="dxa"/>
          </w:tcPr>
          <w:p w:rsidR="00672B8E" w:rsidRPr="00867D80" w:rsidRDefault="00672B8E" w:rsidP="000843AE">
            <w:pPr>
              <w:pStyle w:val="Caption"/>
              <w:spacing w:before="40" w:after="40"/>
              <w:jc w:val="center"/>
              <w:rPr>
                <w:rFonts w:cs="Arial"/>
                <w:b w:val="0"/>
              </w:rPr>
            </w:pPr>
            <w:r>
              <w:rPr>
                <w:rFonts w:cs="Arial"/>
                <w:b w:val="0"/>
              </w:rPr>
              <w:t>0.16-1.29</w:t>
            </w: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3</w:t>
            </w:r>
          </w:p>
        </w:tc>
        <w:tc>
          <w:tcPr>
            <w:tcW w:w="1279" w:type="dxa"/>
          </w:tcPr>
          <w:p w:rsidR="00672B8E" w:rsidRPr="00867D80" w:rsidRDefault="00672B8E" w:rsidP="000843AE">
            <w:pPr>
              <w:pStyle w:val="Caption"/>
              <w:spacing w:before="40" w:after="40"/>
              <w:jc w:val="center"/>
              <w:rPr>
                <w:rFonts w:cs="Arial"/>
                <w:b w:val="0"/>
              </w:rPr>
            </w:pPr>
            <w:r w:rsidRPr="00867D80">
              <w:rPr>
                <w:rFonts w:cs="Arial"/>
                <w:b w:val="0"/>
              </w:rPr>
              <w:t>1.25</w:t>
            </w:r>
          </w:p>
        </w:tc>
        <w:tc>
          <w:tcPr>
            <w:tcW w:w="1279" w:type="dxa"/>
          </w:tcPr>
          <w:p w:rsidR="00672B8E" w:rsidRPr="00867D80" w:rsidRDefault="00672B8E" w:rsidP="000843AE">
            <w:pPr>
              <w:pStyle w:val="Caption"/>
              <w:spacing w:before="40" w:after="40"/>
              <w:jc w:val="center"/>
              <w:rPr>
                <w:rFonts w:cs="Arial"/>
                <w:b w:val="0"/>
              </w:rPr>
            </w:pPr>
            <w:r w:rsidRPr="00867D80">
              <w:rPr>
                <w:rFonts w:cs="Arial"/>
                <w:b w:val="0"/>
              </w:rPr>
              <w:t>0.90-1.74</w:t>
            </w:r>
          </w:p>
        </w:tc>
        <w:tc>
          <w:tcPr>
            <w:tcW w:w="1279" w:type="dxa"/>
          </w:tcPr>
          <w:p w:rsidR="00672B8E" w:rsidRPr="00867D80" w:rsidRDefault="00672B8E" w:rsidP="000843AE">
            <w:pPr>
              <w:pStyle w:val="Caption"/>
              <w:spacing w:before="40" w:after="40"/>
              <w:jc w:val="center"/>
              <w:rPr>
                <w:rFonts w:cs="Arial"/>
                <w:b w:val="0"/>
              </w:rPr>
            </w:pPr>
            <w:r>
              <w:rPr>
                <w:rFonts w:cs="Arial"/>
                <w:b w:val="0"/>
              </w:rPr>
              <w:t>0.63</w:t>
            </w:r>
          </w:p>
        </w:tc>
        <w:tc>
          <w:tcPr>
            <w:tcW w:w="1279" w:type="dxa"/>
          </w:tcPr>
          <w:p w:rsidR="00672B8E" w:rsidRPr="00867D80" w:rsidRDefault="00672B8E" w:rsidP="000843AE">
            <w:pPr>
              <w:pStyle w:val="Caption"/>
              <w:spacing w:before="40" w:after="40"/>
              <w:jc w:val="center"/>
              <w:rPr>
                <w:rFonts w:cs="Arial"/>
                <w:b w:val="0"/>
              </w:rPr>
            </w:pPr>
            <w:r>
              <w:rPr>
                <w:rFonts w:cs="Arial"/>
                <w:b w:val="0"/>
              </w:rPr>
              <w:t>0.39-1.02</w:t>
            </w:r>
          </w:p>
        </w:tc>
        <w:tc>
          <w:tcPr>
            <w:tcW w:w="1279" w:type="dxa"/>
          </w:tcPr>
          <w:p w:rsidR="00672B8E" w:rsidRPr="00F96C35" w:rsidRDefault="00672B8E" w:rsidP="000843AE">
            <w:pPr>
              <w:pStyle w:val="Caption"/>
              <w:spacing w:before="40" w:after="40"/>
              <w:jc w:val="center"/>
              <w:rPr>
                <w:rFonts w:cs="Arial"/>
              </w:rPr>
            </w:pPr>
            <w:r w:rsidRPr="00F96C35">
              <w:rPr>
                <w:rFonts w:cs="Arial"/>
              </w:rPr>
              <w:t>1.94</w:t>
            </w:r>
          </w:p>
        </w:tc>
        <w:tc>
          <w:tcPr>
            <w:tcW w:w="1259" w:type="dxa"/>
          </w:tcPr>
          <w:p w:rsidR="00672B8E" w:rsidRPr="00F96C35" w:rsidRDefault="00672B8E" w:rsidP="000843AE">
            <w:pPr>
              <w:pStyle w:val="Caption"/>
              <w:spacing w:before="40" w:after="40"/>
              <w:jc w:val="center"/>
              <w:rPr>
                <w:rFonts w:cs="Arial"/>
              </w:rPr>
            </w:pPr>
            <w:r w:rsidRPr="00F96C35">
              <w:rPr>
                <w:rFonts w:cs="Arial"/>
              </w:rPr>
              <w:t>1.26-2.99</w:t>
            </w:r>
          </w:p>
        </w:tc>
      </w:tr>
      <w:tr w:rsidR="00672B8E" w:rsidRPr="00E47CAF" w:rsidTr="000843AE">
        <w:tc>
          <w:tcPr>
            <w:tcW w:w="3936" w:type="dxa"/>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4</w:t>
            </w:r>
          </w:p>
        </w:tc>
        <w:tc>
          <w:tcPr>
            <w:tcW w:w="1279" w:type="dxa"/>
          </w:tcPr>
          <w:p w:rsidR="00672B8E" w:rsidRPr="009A27C8" w:rsidRDefault="00672B8E" w:rsidP="000843AE">
            <w:pPr>
              <w:pStyle w:val="Caption"/>
              <w:spacing w:before="40" w:after="40"/>
              <w:jc w:val="center"/>
              <w:rPr>
                <w:rFonts w:cs="Arial"/>
              </w:rPr>
            </w:pPr>
            <w:r>
              <w:rPr>
                <w:rFonts w:cs="Arial"/>
              </w:rPr>
              <w:t>2.23</w:t>
            </w:r>
          </w:p>
        </w:tc>
        <w:tc>
          <w:tcPr>
            <w:tcW w:w="1279" w:type="dxa"/>
          </w:tcPr>
          <w:p w:rsidR="00672B8E" w:rsidRPr="009A27C8" w:rsidRDefault="00672B8E" w:rsidP="000843AE">
            <w:pPr>
              <w:pStyle w:val="Caption"/>
              <w:spacing w:before="40" w:after="40"/>
              <w:jc w:val="center"/>
              <w:rPr>
                <w:rFonts w:cs="Arial"/>
              </w:rPr>
            </w:pPr>
            <w:r>
              <w:rPr>
                <w:rFonts w:cs="Arial"/>
              </w:rPr>
              <w:t>1.73-2.87</w:t>
            </w:r>
          </w:p>
        </w:tc>
        <w:tc>
          <w:tcPr>
            <w:tcW w:w="1279" w:type="dxa"/>
          </w:tcPr>
          <w:p w:rsidR="00672B8E" w:rsidRPr="00F96C35" w:rsidRDefault="00672B8E" w:rsidP="000843AE">
            <w:pPr>
              <w:pStyle w:val="Caption"/>
              <w:spacing w:before="40" w:after="40"/>
              <w:jc w:val="center"/>
              <w:rPr>
                <w:rFonts w:cs="Arial"/>
              </w:rPr>
            </w:pPr>
            <w:r w:rsidRPr="00F96C35">
              <w:rPr>
                <w:rFonts w:cs="Arial"/>
              </w:rPr>
              <w:t>1.59</w:t>
            </w:r>
          </w:p>
        </w:tc>
        <w:tc>
          <w:tcPr>
            <w:tcW w:w="1279" w:type="dxa"/>
          </w:tcPr>
          <w:p w:rsidR="00672B8E" w:rsidRPr="00F96C35" w:rsidRDefault="00672B8E" w:rsidP="000843AE">
            <w:pPr>
              <w:pStyle w:val="Caption"/>
              <w:spacing w:before="40" w:after="40"/>
              <w:jc w:val="center"/>
              <w:rPr>
                <w:rFonts w:cs="Arial"/>
              </w:rPr>
            </w:pPr>
            <w:r w:rsidRPr="00F96C35">
              <w:rPr>
                <w:rFonts w:cs="Arial"/>
              </w:rPr>
              <w:t>1.19-2.12</w:t>
            </w:r>
          </w:p>
        </w:tc>
        <w:tc>
          <w:tcPr>
            <w:tcW w:w="1279" w:type="dxa"/>
          </w:tcPr>
          <w:p w:rsidR="00672B8E" w:rsidRPr="00867D80" w:rsidRDefault="00672B8E" w:rsidP="000843AE">
            <w:pPr>
              <w:pStyle w:val="Caption"/>
              <w:spacing w:before="40" w:after="40"/>
              <w:jc w:val="center"/>
              <w:rPr>
                <w:rFonts w:cs="Arial"/>
                <w:b w:val="0"/>
              </w:rPr>
            </w:pPr>
            <w:r>
              <w:rPr>
                <w:rFonts w:cs="Arial"/>
                <w:b w:val="0"/>
              </w:rPr>
              <w:t>1.00</w:t>
            </w:r>
          </w:p>
        </w:tc>
        <w:tc>
          <w:tcPr>
            <w:tcW w:w="1259" w:type="dxa"/>
          </w:tcPr>
          <w:p w:rsidR="00672B8E" w:rsidRPr="00867D80" w:rsidRDefault="00672B8E" w:rsidP="000843AE">
            <w:pPr>
              <w:pStyle w:val="Caption"/>
              <w:spacing w:before="40" w:after="40"/>
              <w:jc w:val="center"/>
              <w:rPr>
                <w:rFonts w:cs="Arial"/>
                <w:b w:val="0"/>
              </w:rPr>
            </w:pPr>
            <w:r>
              <w:rPr>
                <w:rFonts w:cs="Arial"/>
                <w:b w:val="0"/>
              </w:rPr>
              <w:t>0.58-1.75</w:t>
            </w:r>
          </w:p>
        </w:tc>
      </w:tr>
      <w:tr w:rsidR="00672B8E" w:rsidRPr="00E47CAF" w:rsidTr="000843AE">
        <w:tc>
          <w:tcPr>
            <w:tcW w:w="3936" w:type="dxa"/>
            <w:tcBorders>
              <w:bottom w:val="single" w:sz="4" w:space="0" w:color="auto"/>
            </w:tcBorders>
            <w:vAlign w:val="center"/>
          </w:tcPr>
          <w:p w:rsidR="00672B8E" w:rsidRPr="00E47CAF" w:rsidRDefault="00672B8E" w:rsidP="000843AE">
            <w:pPr>
              <w:spacing w:before="40" w:after="40"/>
              <w:rPr>
                <w:rFonts w:cs="Arial"/>
                <w:bCs/>
                <w:color w:val="000000"/>
                <w:sz w:val="20"/>
                <w:szCs w:val="20"/>
                <w:lang w:eastAsia="en-AU"/>
              </w:rPr>
            </w:pPr>
            <w:r w:rsidRPr="00E47CAF">
              <w:rPr>
                <w:rFonts w:cs="Arial"/>
                <w:bCs/>
                <w:color w:val="000000"/>
                <w:sz w:val="20"/>
                <w:szCs w:val="20"/>
                <w:lang w:eastAsia="en-AU"/>
              </w:rPr>
              <w:t>Level 5 (lowest)</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Pr>
                <w:rFonts w:cs="Arial"/>
              </w:rPr>
              <w:t>3.31</w:t>
            </w:r>
          </w:p>
        </w:tc>
        <w:tc>
          <w:tcPr>
            <w:tcW w:w="1279" w:type="dxa"/>
            <w:tcBorders>
              <w:bottom w:val="single" w:sz="4" w:space="0" w:color="auto"/>
            </w:tcBorders>
          </w:tcPr>
          <w:p w:rsidR="00672B8E" w:rsidRPr="009A27C8" w:rsidRDefault="00672B8E" w:rsidP="000843AE">
            <w:pPr>
              <w:pStyle w:val="Caption"/>
              <w:spacing w:before="40" w:after="40"/>
              <w:jc w:val="center"/>
              <w:rPr>
                <w:rFonts w:cs="Arial"/>
              </w:rPr>
            </w:pPr>
            <w:r>
              <w:rPr>
                <w:rFonts w:cs="Arial"/>
              </w:rPr>
              <w:t>2.50-4.37</w:t>
            </w:r>
          </w:p>
        </w:tc>
        <w:tc>
          <w:tcPr>
            <w:tcW w:w="1279" w:type="dxa"/>
            <w:tcBorders>
              <w:bottom w:val="single" w:sz="4" w:space="0" w:color="auto"/>
            </w:tcBorders>
          </w:tcPr>
          <w:p w:rsidR="00672B8E" w:rsidRPr="00F96C35" w:rsidRDefault="00672B8E" w:rsidP="000843AE">
            <w:pPr>
              <w:pStyle w:val="Caption"/>
              <w:spacing w:before="40" w:after="40"/>
              <w:jc w:val="center"/>
              <w:rPr>
                <w:rFonts w:cs="Arial"/>
              </w:rPr>
            </w:pPr>
            <w:r w:rsidRPr="00F96C35">
              <w:rPr>
                <w:rFonts w:cs="Arial"/>
              </w:rPr>
              <w:t>1.66</w:t>
            </w:r>
          </w:p>
        </w:tc>
        <w:tc>
          <w:tcPr>
            <w:tcW w:w="1279" w:type="dxa"/>
            <w:tcBorders>
              <w:bottom w:val="single" w:sz="4" w:space="0" w:color="auto"/>
            </w:tcBorders>
          </w:tcPr>
          <w:p w:rsidR="00672B8E" w:rsidRPr="00F96C35" w:rsidRDefault="00672B8E" w:rsidP="000843AE">
            <w:pPr>
              <w:pStyle w:val="Caption"/>
              <w:spacing w:before="40" w:after="40"/>
              <w:jc w:val="center"/>
              <w:rPr>
                <w:rFonts w:cs="Arial"/>
              </w:rPr>
            </w:pPr>
            <w:r w:rsidRPr="00F96C35">
              <w:rPr>
                <w:rFonts w:cs="Arial"/>
              </w:rPr>
              <w:t>1.18-2.34</w:t>
            </w:r>
          </w:p>
        </w:tc>
        <w:tc>
          <w:tcPr>
            <w:tcW w:w="1279" w:type="dxa"/>
            <w:tcBorders>
              <w:bottom w:val="single" w:sz="4" w:space="0" w:color="auto"/>
            </w:tcBorders>
          </w:tcPr>
          <w:p w:rsidR="00672B8E" w:rsidRPr="00F96C35" w:rsidRDefault="00672B8E" w:rsidP="000843AE">
            <w:pPr>
              <w:pStyle w:val="Caption"/>
              <w:spacing w:before="40" w:after="40"/>
              <w:jc w:val="center"/>
              <w:rPr>
                <w:rFonts w:cs="Arial"/>
              </w:rPr>
            </w:pPr>
            <w:r w:rsidRPr="00F96C35">
              <w:rPr>
                <w:rFonts w:cs="Arial"/>
              </w:rPr>
              <w:t>2.46</w:t>
            </w:r>
          </w:p>
        </w:tc>
        <w:tc>
          <w:tcPr>
            <w:tcW w:w="1259" w:type="dxa"/>
            <w:tcBorders>
              <w:bottom w:val="single" w:sz="4" w:space="0" w:color="auto"/>
            </w:tcBorders>
          </w:tcPr>
          <w:p w:rsidR="00672B8E" w:rsidRPr="00F96C35" w:rsidRDefault="00672B8E" w:rsidP="000843AE">
            <w:pPr>
              <w:pStyle w:val="Caption"/>
              <w:spacing w:before="40" w:after="40"/>
              <w:jc w:val="center"/>
              <w:rPr>
                <w:rFonts w:cs="Arial"/>
              </w:rPr>
            </w:pPr>
            <w:r w:rsidRPr="00F96C35">
              <w:rPr>
                <w:rFonts w:cs="Arial"/>
              </w:rPr>
              <w:t>1.50-4.03</w:t>
            </w:r>
          </w:p>
        </w:tc>
      </w:tr>
      <w:tr w:rsidR="00672B8E" w:rsidRPr="00E47CAF" w:rsidTr="000843AE">
        <w:tc>
          <w:tcPr>
            <w:tcW w:w="3936" w:type="dxa"/>
            <w:shd w:val="clear" w:color="auto" w:fill="808080" w:themeFill="background1" w:themeFillShade="80"/>
            <w:vAlign w:val="center"/>
          </w:tcPr>
          <w:p w:rsidR="00672B8E" w:rsidRPr="00E47CAF" w:rsidRDefault="00672B8E" w:rsidP="000843AE">
            <w:pPr>
              <w:spacing w:before="40" w:after="40"/>
              <w:rPr>
                <w:rFonts w:cs="Arial"/>
                <w:color w:val="FFFFFF" w:themeColor="background1"/>
                <w:sz w:val="20"/>
                <w:szCs w:val="20"/>
              </w:rPr>
            </w:pPr>
            <w:r w:rsidRPr="00E47CAF">
              <w:rPr>
                <w:rFonts w:cs="Arial"/>
                <w:b/>
                <w:bCs/>
                <w:color w:val="FFFFFF" w:themeColor="background1"/>
                <w:sz w:val="20"/>
                <w:szCs w:val="20"/>
                <w:lang w:eastAsia="en-AU"/>
              </w:rPr>
              <w:t xml:space="preserve">Workplace size </w:t>
            </w: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7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c>
          <w:tcPr>
            <w:tcW w:w="1259" w:type="dxa"/>
            <w:shd w:val="clear" w:color="auto" w:fill="808080" w:themeFill="background1" w:themeFillShade="80"/>
          </w:tcPr>
          <w:p w:rsidR="00672B8E" w:rsidRPr="009A27C8" w:rsidRDefault="00672B8E" w:rsidP="000843AE">
            <w:pPr>
              <w:pStyle w:val="Caption"/>
              <w:spacing w:before="40" w:after="40"/>
              <w:jc w:val="center"/>
              <w:rPr>
                <w:rFonts w:cs="Arial"/>
                <w:b w:val="0"/>
                <w:color w:val="FFFFFF" w:themeColor="background1"/>
              </w:rPr>
            </w:pPr>
          </w:p>
        </w:tc>
      </w:tr>
      <w:tr w:rsidR="00672B8E" w:rsidRPr="00E47CAF" w:rsidTr="000843AE">
        <w:tc>
          <w:tcPr>
            <w:tcW w:w="3936" w:type="dxa"/>
            <w:vAlign w:val="center"/>
          </w:tcPr>
          <w:p w:rsidR="00672B8E" w:rsidRPr="00E47CAF" w:rsidRDefault="00672B8E" w:rsidP="000843AE">
            <w:pPr>
              <w:spacing w:before="40" w:after="40"/>
              <w:rPr>
                <w:rFonts w:cs="Arial"/>
                <w:sz w:val="20"/>
                <w:szCs w:val="20"/>
              </w:rPr>
            </w:pPr>
            <w:r>
              <w:rPr>
                <w:rFonts w:cs="Arial"/>
                <w:sz w:val="20"/>
                <w:szCs w:val="20"/>
              </w:rPr>
              <w:t>200 or more employees</w:t>
            </w:r>
            <w:r w:rsidRPr="00E47CAF">
              <w:rPr>
                <w:rFonts w:cs="Arial"/>
                <w:sz w:val="20"/>
                <w:szCs w:val="20"/>
              </w:rPr>
              <w:t xml:space="preserve"> (ref)</w:t>
            </w:r>
          </w:p>
        </w:tc>
        <w:tc>
          <w:tcPr>
            <w:tcW w:w="1279" w:type="dxa"/>
          </w:tcPr>
          <w:p w:rsidR="00672B8E" w:rsidRPr="009A27C8" w:rsidRDefault="00672B8E" w:rsidP="000843AE">
            <w:pPr>
              <w:pStyle w:val="Caption"/>
              <w:spacing w:before="40" w:after="40"/>
              <w:jc w:val="center"/>
              <w:rPr>
                <w:rFonts w:cs="Arial"/>
                <w:b w:val="0"/>
              </w:rPr>
            </w:pPr>
            <w:r>
              <w:rPr>
                <w:rFonts w:cs="Arial"/>
                <w:b w:val="0"/>
              </w:rPr>
              <w:t>1.00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79" w:type="dxa"/>
          </w:tcPr>
          <w:p w:rsidR="00672B8E" w:rsidRPr="009A27C8" w:rsidRDefault="00672B8E" w:rsidP="000843AE">
            <w:pPr>
              <w:pStyle w:val="Caption"/>
              <w:spacing w:before="40" w:after="40"/>
              <w:jc w:val="center"/>
              <w:rPr>
                <w:rFonts w:cs="Arial"/>
                <w:b w:val="0"/>
              </w:rPr>
            </w:pPr>
          </w:p>
        </w:tc>
        <w:tc>
          <w:tcPr>
            <w:tcW w:w="1279" w:type="dxa"/>
          </w:tcPr>
          <w:p w:rsidR="00672B8E" w:rsidRPr="009A27C8" w:rsidRDefault="00672B8E" w:rsidP="000843AE">
            <w:pPr>
              <w:pStyle w:val="Caption"/>
              <w:spacing w:before="40" w:after="40"/>
              <w:jc w:val="center"/>
              <w:rPr>
                <w:rFonts w:cs="Arial"/>
                <w:b w:val="0"/>
              </w:rPr>
            </w:pPr>
            <w:r w:rsidRPr="009A27C8">
              <w:rPr>
                <w:rFonts w:cs="Arial"/>
                <w:b w:val="0"/>
              </w:rPr>
              <w:t>1</w:t>
            </w:r>
            <w:r>
              <w:rPr>
                <w:rFonts w:cs="Arial"/>
                <w:b w:val="0"/>
              </w:rPr>
              <w:t>.00</w:t>
            </w:r>
          </w:p>
        </w:tc>
        <w:tc>
          <w:tcPr>
            <w:tcW w:w="1259" w:type="dxa"/>
          </w:tcPr>
          <w:p w:rsidR="00672B8E" w:rsidRPr="009A27C8" w:rsidRDefault="00672B8E" w:rsidP="000843AE">
            <w:pPr>
              <w:pStyle w:val="Caption"/>
              <w:spacing w:before="40" w:after="40"/>
              <w:jc w:val="center"/>
              <w:rPr>
                <w:rFonts w:cs="Arial"/>
                <w:b w:val="0"/>
              </w:rPr>
            </w:pPr>
          </w:p>
        </w:tc>
      </w:tr>
      <w:tr w:rsidR="00672B8E" w:rsidRPr="00E47CAF" w:rsidTr="000843AE">
        <w:tc>
          <w:tcPr>
            <w:tcW w:w="3936" w:type="dxa"/>
            <w:vAlign w:val="center"/>
          </w:tcPr>
          <w:p w:rsidR="00672B8E" w:rsidRPr="00E47CAF" w:rsidRDefault="00672B8E" w:rsidP="000843AE">
            <w:pPr>
              <w:spacing w:before="40" w:after="40"/>
              <w:rPr>
                <w:rFonts w:cs="Arial"/>
                <w:sz w:val="20"/>
                <w:szCs w:val="20"/>
              </w:rPr>
            </w:pPr>
            <w:r w:rsidRPr="00E47CAF">
              <w:rPr>
                <w:rFonts w:cs="Arial"/>
                <w:sz w:val="20"/>
                <w:szCs w:val="20"/>
              </w:rPr>
              <w:t>20-199</w:t>
            </w:r>
            <w:r>
              <w:rPr>
                <w:rFonts w:cs="Arial"/>
                <w:sz w:val="20"/>
                <w:szCs w:val="20"/>
              </w:rPr>
              <w:t xml:space="preserve"> employees</w:t>
            </w:r>
          </w:p>
        </w:tc>
        <w:tc>
          <w:tcPr>
            <w:tcW w:w="1279" w:type="dxa"/>
          </w:tcPr>
          <w:p w:rsidR="00672B8E" w:rsidRPr="00867D80" w:rsidRDefault="00672B8E" w:rsidP="000843AE">
            <w:pPr>
              <w:pStyle w:val="Caption"/>
              <w:spacing w:before="40" w:after="40"/>
              <w:jc w:val="center"/>
              <w:rPr>
                <w:rFonts w:cs="Arial"/>
                <w:b w:val="0"/>
              </w:rPr>
            </w:pPr>
            <w:r w:rsidRPr="00867D80">
              <w:rPr>
                <w:rFonts w:cs="Arial"/>
                <w:b w:val="0"/>
              </w:rPr>
              <w:t>1.04</w:t>
            </w:r>
          </w:p>
        </w:tc>
        <w:tc>
          <w:tcPr>
            <w:tcW w:w="1279" w:type="dxa"/>
          </w:tcPr>
          <w:p w:rsidR="00672B8E" w:rsidRPr="00867D80" w:rsidRDefault="00672B8E" w:rsidP="000843AE">
            <w:pPr>
              <w:pStyle w:val="Caption"/>
              <w:spacing w:before="40" w:after="40"/>
              <w:jc w:val="center"/>
              <w:rPr>
                <w:rFonts w:cs="Arial"/>
                <w:b w:val="0"/>
              </w:rPr>
            </w:pPr>
            <w:r w:rsidRPr="00867D80">
              <w:rPr>
                <w:rFonts w:cs="Arial"/>
                <w:b w:val="0"/>
              </w:rPr>
              <w:t>0.81-1.35</w:t>
            </w:r>
          </w:p>
        </w:tc>
        <w:tc>
          <w:tcPr>
            <w:tcW w:w="1279" w:type="dxa"/>
          </w:tcPr>
          <w:p w:rsidR="00672B8E" w:rsidRPr="009A27C8" w:rsidRDefault="00672B8E" w:rsidP="000843AE">
            <w:pPr>
              <w:pStyle w:val="Caption"/>
              <w:spacing w:before="40" w:after="40"/>
              <w:jc w:val="center"/>
              <w:rPr>
                <w:rFonts w:cs="Arial"/>
                <w:b w:val="0"/>
              </w:rPr>
            </w:pPr>
            <w:r>
              <w:rPr>
                <w:rFonts w:cs="Arial"/>
                <w:b w:val="0"/>
              </w:rPr>
              <w:t>0.89</w:t>
            </w:r>
          </w:p>
        </w:tc>
        <w:tc>
          <w:tcPr>
            <w:tcW w:w="1279" w:type="dxa"/>
          </w:tcPr>
          <w:p w:rsidR="00672B8E" w:rsidRPr="009A27C8" w:rsidRDefault="00672B8E" w:rsidP="000843AE">
            <w:pPr>
              <w:pStyle w:val="Caption"/>
              <w:spacing w:before="40" w:after="40"/>
              <w:jc w:val="center"/>
              <w:rPr>
                <w:rFonts w:cs="Arial"/>
                <w:b w:val="0"/>
              </w:rPr>
            </w:pPr>
            <w:r>
              <w:rPr>
                <w:rFonts w:cs="Arial"/>
                <w:b w:val="0"/>
              </w:rPr>
              <w:t>0.65-1.21</w:t>
            </w:r>
          </w:p>
        </w:tc>
        <w:tc>
          <w:tcPr>
            <w:tcW w:w="1279" w:type="dxa"/>
          </w:tcPr>
          <w:p w:rsidR="00672B8E" w:rsidRPr="009A27C8" w:rsidRDefault="00672B8E" w:rsidP="000843AE">
            <w:pPr>
              <w:pStyle w:val="Caption"/>
              <w:spacing w:before="40" w:after="40"/>
              <w:jc w:val="center"/>
              <w:rPr>
                <w:rFonts w:cs="Arial"/>
                <w:b w:val="0"/>
              </w:rPr>
            </w:pPr>
            <w:r>
              <w:rPr>
                <w:rFonts w:cs="Arial"/>
                <w:b w:val="0"/>
              </w:rPr>
              <w:t>0.98</w:t>
            </w:r>
          </w:p>
        </w:tc>
        <w:tc>
          <w:tcPr>
            <w:tcW w:w="1259" w:type="dxa"/>
          </w:tcPr>
          <w:p w:rsidR="00672B8E" w:rsidRPr="009A27C8" w:rsidRDefault="00672B8E" w:rsidP="000843AE">
            <w:pPr>
              <w:pStyle w:val="Caption"/>
              <w:spacing w:before="40" w:after="40"/>
              <w:jc w:val="center"/>
              <w:rPr>
                <w:rFonts w:cs="Arial"/>
                <w:b w:val="0"/>
              </w:rPr>
            </w:pPr>
            <w:r>
              <w:rPr>
                <w:rFonts w:cs="Arial"/>
                <w:b w:val="0"/>
              </w:rPr>
              <w:t>0.48-1.99</w:t>
            </w:r>
          </w:p>
        </w:tc>
      </w:tr>
      <w:tr w:rsidR="00672B8E" w:rsidRPr="00E47CAF" w:rsidTr="000843AE">
        <w:tc>
          <w:tcPr>
            <w:tcW w:w="3936" w:type="dxa"/>
            <w:vAlign w:val="center"/>
          </w:tcPr>
          <w:p w:rsidR="00672B8E" w:rsidRPr="00E47CAF" w:rsidRDefault="00672B8E" w:rsidP="000843AE">
            <w:pPr>
              <w:spacing w:before="40" w:after="40"/>
              <w:rPr>
                <w:rFonts w:cs="Arial"/>
                <w:sz w:val="20"/>
                <w:szCs w:val="20"/>
              </w:rPr>
            </w:pPr>
            <w:r w:rsidRPr="00E47CAF">
              <w:rPr>
                <w:rFonts w:cs="Arial"/>
                <w:sz w:val="20"/>
                <w:szCs w:val="20"/>
              </w:rPr>
              <w:t>5 to 19</w:t>
            </w:r>
            <w:r>
              <w:rPr>
                <w:rFonts w:cs="Arial"/>
                <w:sz w:val="20"/>
                <w:szCs w:val="20"/>
              </w:rPr>
              <w:t xml:space="preserve"> employees</w:t>
            </w:r>
          </w:p>
        </w:tc>
        <w:tc>
          <w:tcPr>
            <w:tcW w:w="1279" w:type="dxa"/>
          </w:tcPr>
          <w:p w:rsidR="00672B8E" w:rsidRPr="009A27C8" w:rsidRDefault="00672B8E" w:rsidP="000843AE">
            <w:pPr>
              <w:pStyle w:val="Caption"/>
              <w:spacing w:before="40" w:after="40"/>
              <w:jc w:val="center"/>
              <w:rPr>
                <w:rFonts w:cs="Arial"/>
                <w:b w:val="0"/>
              </w:rPr>
            </w:pPr>
            <w:r>
              <w:rPr>
                <w:rFonts w:cs="Arial"/>
                <w:b w:val="0"/>
              </w:rPr>
              <w:t>1.30</w:t>
            </w:r>
          </w:p>
        </w:tc>
        <w:tc>
          <w:tcPr>
            <w:tcW w:w="1279" w:type="dxa"/>
          </w:tcPr>
          <w:p w:rsidR="00672B8E" w:rsidRPr="009A27C8" w:rsidRDefault="00672B8E" w:rsidP="000843AE">
            <w:pPr>
              <w:pStyle w:val="Caption"/>
              <w:spacing w:before="40" w:after="40"/>
              <w:jc w:val="center"/>
              <w:rPr>
                <w:rFonts w:cs="Arial"/>
                <w:b w:val="0"/>
              </w:rPr>
            </w:pPr>
            <w:r>
              <w:rPr>
                <w:rFonts w:cs="Arial"/>
                <w:b w:val="0"/>
              </w:rPr>
              <w:t>0.99-1.71</w:t>
            </w:r>
          </w:p>
        </w:tc>
        <w:tc>
          <w:tcPr>
            <w:tcW w:w="1279" w:type="dxa"/>
          </w:tcPr>
          <w:p w:rsidR="00672B8E" w:rsidRPr="009A27C8" w:rsidRDefault="00672B8E" w:rsidP="000843AE">
            <w:pPr>
              <w:pStyle w:val="Caption"/>
              <w:spacing w:before="40" w:after="40"/>
              <w:jc w:val="center"/>
              <w:rPr>
                <w:rFonts w:cs="Arial"/>
                <w:b w:val="0"/>
              </w:rPr>
            </w:pPr>
            <w:r>
              <w:rPr>
                <w:rFonts w:cs="Arial"/>
                <w:b w:val="0"/>
              </w:rPr>
              <w:t>1.09</w:t>
            </w:r>
          </w:p>
        </w:tc>
        <w:tc>
          <w:tcPr>
            <w:tcW w:w="1279" w:type="dxa"/>
          </w:tcPr>
          <w:p w:rsidR="00672B8E" w:rsidRPr="009A27C8" w:rsidRDefault="00672B8E" w:rsidP="000843AE">
            <w:pPr>
              <w:pStyle w:val="Caption"/>
              <w:spacing w:before="40" w:after="40"/>
              <w:jc w:val="center"/>
              <w:rPr>
                <w:rFonts w:cs="Arial"/>
                <w:b w:val="0"/>
              </w:rPr>
            </w:pPr>
            <w:r>
              <w:rPr>
                <w:rFonts w:cs="Arial"/>
                <w:b w:val="0"/>
              </w:rPr>
              <w:t>0.78-1.53</w:t>
            </w:r>
          </w:p>
        </w:tc>
        <w:tc>
          <w:tcPr>
            <w:tcW w:w="1279" w:type="dxa"/>
          </w:tcPr>
          <w:p w:rsidR="00672B8E" w:rsidRPr="00F96C35" w:rsidRDefault="00672B8E" w:rsidP="000843AE">
            <w:pPr>
              <w:pStyle w:val="Caption"/>
              <w:spacing w:before="40" w:after="40"/>
              <w:jc w:val="center"/>
              <w:rPr>
                <w:rFonts w:cs="Arial"/>
              </w:rPr>
            </w:pPr>
            <w:r w:rsidRPr="00F96C35">
              <w:rPr>
                <w:rFonts w:cs="Arial"/>
              </w:rPr>
              <w:t>3.94</w:t>
            </w:r>
          </w:p>
        </w:tc>
        <w:tc>
          <w:tcPr>
            <w:tcW w:w="1259" w:type="dxa"/>
          </w:tcPr>
          <w:p w:rsidR="00672B8E" w:rsidRPr="00F96C35" w:rsidRDefault="00672B8E" w:rsidP="000843AE">
            <w:pPr>
              <w:pStyle w:val="Caption"/>
              <w:spacing w:before="40" w:after="40"/>
              <w:jc w:val="center"/>
              <w:rPr>
                <w:rFonts w:cs="Arial"/>
              </w:rPr>
            </w:pPr>
            <w:r w:rsidRPr="00F96C35">
              <w:rPr>
                <w:rFonts w:cs="Arial"/>
              </w:rPr>
              <w:t>2.11-7.36</w:t>
            </w:r>
          </w:p>
        </w:tc>
      </w:tr>
      <w:tr w:rsidR="00672B8E" w:rsidRPr="00E47CAF" w:rsidTr="000843AE">
        <w:tc>
          <w:tcPr>
            <w:tcW w:w="3936" w:type="dxa"/>
            <w:tcBorders>
              <w:bottom w:val="double" w:sz="12" w:space="0" w:color="auto"/>
            </w:tcBorders>
            <w:vAlign w:val="center"/>
          </w:tcPr>
          <w:p w:rsidR="00672B8E" w:rsidRPr="00E47CAF" w:rsidRDefault="00672B8E" w:rsidP="000843AE">
            <w:pPr>
              <w:spacing w:before="40" w:after="40"/>
              <w:rPr>
                <w:rFonts w:cs="Arial"/>
                <w:sz w:val="20"/>
                <w:szCs w:val="20"/>
              </w:rPr>
            </w:pPr>
            <w:r w:rsidRPr="00E47CAF">
              <w:rPr>
                <w:rFonts w:cs="Arial"/>
                <w:sz w:val="20"/>
                <w:szCs w:val="20"/>
              </w:rPr>
              <w:t>&lt;5</w:t>
            </w:r>
            <w:r>
              <w:rPr>
                <w:rFonts w:cs="Arial"/>
                <w:sz w:val="20"/>
                <w:szCs w:val="20"/>
              </w:rPr>
              <w:t xml:space="preserve"> employees</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1.06</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0.79-1.42</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1.05</w:t>
            </w:r>
          </w:p>
        </w:tc>
        <w:tc>
          <w:tcPr>
            <w:tcW w:w="1279" w:type="dxa"/>
            <w:tcBorders>
              <w:bottom w:val="double" w:sz="12" w:space="0" w:color="auto"/>
            </w:tcBorders>
          </w:tcPr>
          <w:p w:rsidR="00672B8E" w:rsidRPr="009A27C8" w:rsidRDefault="00672B8E" w:rsidP="000843AE">
            <w:pPr>
              <w:pStyle w:val="Caption"/>
              <w:spacing w:before="40" w:after="40"/>
              <w:jc w:val="center"/>
              <w:rPr>
                <w:rFonts w:cs="Arial"/>
                <w:b w:val="0"/>
              </w:rPr>
            </w:pPr>
            <w:r>
              <w:rPr>
                <w:rFonts w:cs="Arial"/>
                <w:b w:val="0"/>
              </w:rPr>
              <w:t>0.74-1.50</w:t>
            </w:r>
          </w:p>
        </w:tc>
        <w:tc>
          <w:tcPr>
            <w:tcW w:w="1279" w:type="dxa"/>
            <w:tcBorders>
              <w:bottom w:val="double" w:sz="12" w:space="0" w:color="auto"/>
            </w:tcBorders>
          </w:tcPr>
          <w:p w:rsidR="00672B8E" w:rsidRPr="00F976FC" w:rsidRDefault="00672B8E" w:rsidP="000843AE">
            <w:pPr>
              <w:pStyle w:val="Caption"/>
              <w:spacing w:before="40" w:after="40"/>
              <w:jc w:val="center"/>
              <w:rPr>
                <w:rFonts w:cs="Arial"/>
              </w:rPr>
            </w:pPr>
            <w:r>
              <w:rPr>
                <w:rFonts w:cs="Arial"/>
              </w:rPr>
              <w:t>5.19</w:t>
            </w:r>
          </w:p>
        </w:tc>
        <w:tc>
          <w:tcPr>
            <w:tcW w:w="1259" w:type="dxa"/>
            <w:tcBorders>
              <w:bottom w:val="double" w:sz="12" w:space="0" w:color="auto"/>
            </w:tcBorders>
          </w:tcPr>
          <w:p w:rsidR="00672B8E" w:rsidRPr="00F976FC" w:rsidRDefault="00672B8E" w:rsidP="000843AE">
            <w:pPr>
              <w:pStyle w:val="Caption"/>
              <w:spacing w:before="40" w:after="40"/>
              <w:jc w:val="center"/>
              <w:rPr>
                <w:rFonts w:cs="Arial"/>
              </w:rPr>
            </w:pPr>
            <w:r>
              <w:rPr>
                <w:rFonts w:cs="Arial"/>
              </w:rPr>
              <w:t>2.85-9.48</w:t>
            </w:r>
          </w:p>
        </w:tc>
      </w:tr>
      <w:tr w:rsidR="00672B8E" w:rsidRPr="00E47CAF" w:rsidTr="000843AE">
        <w:tc>
          <w:tcPr>
            <w:tcW w:w="3936" w:type="dxa"/>
            <w:tcBorders>
              <w:top w:val="double" w:sz="12" w:space="0" w:color="auto"/>
              <w:left w:val="single" w:sz="4" w:space="0" w:color="auto"/>
              <w:bottom w:val="single" w:sz="8" w:space="0" w:color="auto"/>
              <w:right w:val="single" w:sz="4" w:space="0" w:color="auto"/>
            </w:tcBorders>
          </w:tcPr>
          <w:p w:rsidR="00672B8E" w:rsidRPr="00E47CAF" w:rsidRDefault="00672B8E" w:rsidP="000843AE">
            <w:pPr>
              <w:spacing w:before="40" w:after="40"/>
              <w:rPr>
                <w:rFonts w:cs="Arial"/>
                <w:b/>
                <w:bCs/>
                <w:color w:val="000000"/>
                <w:sz w:val="20"/>
                <w:szCs w:val="20"/>
                <w:lang w:eastAsia="en-AU"/>
              </w:rPr>
            </w:pPr>
            <w:r w:rsidRPr="00E47CAF">
              <w:rPr>
                <w:rFonts w:cs="Arial"/>
                <w:b/>
                <w:bCs/>
                <w:color w:val="000000"/>
                <w:sz w:val="20"/>
                <w:szCs w:val="20"/>
                <w:lang w:eastAsia="en-AU"/>
              </w:rPr>
              <w:t>Observations</w:t>
            </w:r>
          </w:p>
        </w:tc>
        <w:tc>
          <w:tcPr>
            <w:tcW w:w="255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40" w:after="40"/>
              <w:jc w:val="center"/>
              <w:rPr>
                <w:rFonts w:cs="Arial"/>
                <w:b w:val="0"/>
              </w:rPr>
            </w:pPr>
            <w:r>
              <w:rPr>
                <w:rFonts w:cs="Arial"/>
                <w:b w:val="0"/>
              </w:rPr>
              <w:t>4331</w:t>
            </w:r>
          </w:p>
        </w:tc>
        <w:tc>
          <w:tcPr>
            <w:tcW w:w="255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40" w:after="40"/>
              <w:jc w:val="center"/>
              <w:rPr>
                <w:rFonts w:cs="Arial"/>
                <w:b w:val="0"/>
              </w:rPr>
            </w:pPr>
            <w:r>
              <w:rPr>
                <w:rFonts w:cs="Arial"/>
                <w:b w:val="0"/>
              </w:rPr>
              <w:t>4331</w:t>
            </w:r>
          </w:p>
        </w:tc>
        <w:tc>
          <w:tcPr>
            <w:tcW w:w="2538" w:type="dxa"/>
            <w:gridSpan w:val="2"/>
            <w:tcBorders>
              <w:top w:val="double" w:sz="12" w:space="0" w:color="auto"/>
              <w:left w:val="single" w:sz="4" w:space="0" w:color="auto"/>
              <w:bottom w:val="single" w:sz="8" w:space="0" w:color="auto"/>
              <w:right w:val="single" w:sz="4" w:space="0" w:color="auto"/>
            </w:tcBorders>
          </w:tcPr>
          <w:p w:rsidR="00672B8E" w:rsidRPr="009A27C8" w:rsidRDefault="00672B8E" w:rsidP="000843AE">
            <w:pPr>
              <w:pStyle w:val="Caption"/>
              <w:spacing w:before="40" w:after="40"/>
              <w:jc w:val="center"/>
              <w:rPr>
                <w:rFonts w:cs="Arial"/>
                <w:b w:val="0"/>
              </w:rPr>
            </w:pPr>
            <w:r>
              <w:rPr>
                <w:rFonts w:cs="Arial"/>
                <w:b w:val="0"/>
              </w:rPr>
              <w:t>4331</w:t>
            </w:r>
          </w:p>
        </w:tc>
      </w:tr>
      <w:tr w:rsidR="00672B8E" w:rsidRPr="00E47CAF" w:rsidTr="000843AE">
        <w:tc>
          <w:tcPr>
            <w:tcW w:w="3936" w:type="dxa"/>
            <w:tcBorders>
              <w:top w:val="single" w:sz="8" w:space="0" w:color="auto"/>
              <w:left w:val="single" w:sz="4" w:space="0" w:color="auto"/>
              <w:bottom w:val="single" w:sz="12" w:space="0" w:color="auto"/>
              <w:right w:val="single" w:sz="4" w:space="0" w:color="auto"/>
            </w:tcBorders>
          </w:tcPr>
          <w:p w:rsidR="00672B8E" w:rsidRPr="00E47CAF" w:rsidRDefault="00672B8E" w:rsidP="000843AE">
            <w:pPr>
              <w:spacing w:before="40" w:after="40"/>
              <w:rPr>
                <w:rFonts w:cs="Arial"/>
                <w:b/>
                <w:bCs/>
                <w:color w:val="000000"/>
                <w:sz w:val="20"/>
                <w:szCs w:val="20"/>
                <w:lang w:eastAsia="en-AU"/>
              </w:rPr>
            </w:pPr>
            <w:r w:rsidRPr="00E47CAF">
              <w:rPr>
                <w:rFonts w:cs="Arial"/>
                <w:b/>
                <w:bCs/>
                <w:color w:val="000000"/>
                <w:sz w:val="20"/>
                <w:szCs w:val="20"/>
                <w:lang w:eastAsia="en-AU"/>
              </w:rPr>
              <w:t>Hosmer-Lemeshow goodness-of-fit</w:t>
            </w:r>
          </w:p>
        </w:tc>
        <w:tc>
          <w:tcPr>
            <w:tcW w:w="255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40" w:after="40"/>
              <w:jc w:val="center"/>
              <w:rPr>
                <w:rFonts w:cs="Arial"/>
                <w:b w:val="0"/>
              </w:rPr>
            </w:pPr>
            <w:r>
              <w:rPr>
                <w:rFonts w:cs="Arial"/>
                <w:b w:val="0"/>
              </w:rPr>
              <w:t>0.514</w:t>
            </w:r>
          </w:p>
        </w:tc>
        <w:tc>
          <w:tcPr>
            <w:tcW w:w="255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40" w:after="40"/>
              <w:jc w:val="center"/>
              <w:rPr>
                <w:rFonts w:cs="Arial"/>
                <w:b w:val="0"/>
              </w:rPr>
            </w:pPr>
            <w:r>
              <w:rPr>
                <w:rFonts w:cs="Arial"/>
                <w:b w:val="0"/>
              </w:rPr>
              <w:t>0.4426</w:t>
            </w:r>
          </w:p>
        </w:tc>
        <w:tc>
          <w:tcPr>
            <w:tcW w:w="2538" w:type="dxa"/>
            <w:gridSpan w:val="2"/>
            <w:tcBorders>
              <w:top w:val="single" w:sz="8" w:space="0" w:color="auto"/>
              <w:left w:val="single" w:sz="4" w:space="0" w:color="auto"/>
              <w:bottom w:val="single" w:sz="12" w:space="0" w:color="auto"/>
              <w:right w:val="single" w:sz="4" w:space="0" w:color="auto"/>
            </w:tcBorders>
            <w:vAlign w:val="center"/>
          </w:tcPr>
          <w:p w:rsidR="00672B8E" w:rsidRPr="009A27C8" w:rsidRDefault="00672B8E" w:rsidP="000843AE">
            <w:pPr>
              <w:pStyle w:val="Caption"/>
              <w:spacing w:before="40" w:after="40"/>
              <w:jc w:val="center"/>
              <w:rPr>
                <w:rFonts w:cs="Arial"/>
                <w:b w:val="0"/>
              </w:rPr>
            </w:pPr>
            <w:r>
              <w:rPr>
                <w:rFonts w:cs="Arial"/>
                <w:b w:val="0"/>
              </w:rPr>
              <w:t>0.5036</w:t>
            </w:r>
          </w:p>
        </w:tc>
      </w:tr>
      <w:bookmarkEnd w:id="74"/>
    </w:tbl>
    <w:p w:rsidR="00672B8E" w:rsidRPr="00356510" w:rsidRDefault="00672B8E" w:rsidP="00672B8E">
      <w:pPr>
        <w:pStyle w:val="Heading4"/>
        <w:sectPr w:rsidR="00672B8E" w:rsidRPr="00356510" w:rsidSect="007C515D">
          <w:footerReference w:type="default" r:id="rId22"/>
          <w:type w:val="nextColumn"/>
          <w:pgSz w:w="15840" w:h="12240" w:orient="landscape"/>
          <w:pgMar w:top="1440" w:right="1440" w:bottom="1440" w:left="1440" w:header="709" w:footer="709" w:gutter="0"/>
          <w:cols w:space="708"/>
          <w:docGrid w:linePitch="360"/>
        </w:sectPr>
      </w:pPr>
    </w:p>
    <w:p w:rsidR="001B4C39" w:rsidRPr="00356510" w:rsidRDefault="001B4C39" w:rsidP="001B4C39">
      <w:pPr>
        <w:pStyle w:val="Heading4"/>
        <w:rPr>
          <w:rFonts w:cs="Arial"/>
        </w:rPr>
      </w:pPr>
      <w:r w:rsidRPr="00356510">
        <w:rPr>
          <w:rFonts w:cs="Arial"/>
        </w:rPr>
        <w:lastRenderedPageBreak/>
        <w:t>Organic solvents</w:t>
      </w:r>
    </w:p>
    <w:p w:rsidR="001B4C39" w:rsidRPr="00356510" w:rsidRDefault="0098297B" w:rsidP="001B4C39">
      <w:r>
        <w:t>T</w:t>
      </w:r>
      <w:r w:rsidR="001B4C39" w:rsidRPr="00356510">
        <w:t>he</w:t>
      </w:r>
      <w:r w:rsidR="004421A5" w:rsidRPr="00356510">
        <w:t xml:space="preserve"> logistic regression model </w:t>
      </w:r>
      <w:r>
        <w:t>of self-reported exposure to</w:t>
      </w:r>
      <w:r w:rsidR="004421A5" w:rsidRPr="00356510">
        <w:t xml:space="preserve"> </w:t>
      </w:r>
      <w:r w:rsidR="003517A5" w:rsidRPr="00356510">
        <w:rPr>
          <w:i/>
        </w:rPr>
        <w:t>Organic solvents</w:t>
      </w:r>
      <w:r w:rsidR="001B4C39" w:rsidRPr="00356510">
        <w:t xml:space="preserve"> (</w:t>
      </w:r>
      <w:r w:rsidR="00AB2546">
        <w:fldChar w:fldCharType="begin"/>
      </w:r>
      <w:r w:rsidR="00DC0248">
        <w:instrText xml:space="preserve"> REF _Ref311554058 \h </w:instrText>
      </w:r>
      <w:r w:rsidR="00AB2546">
        <w:fldChar w:fldCharType="separate"/>
      </w:r>
      <w:r w:rsidR="00266EB2">
        <w:t xml:space="preserve">Table </w:t>
      </w:r>
      <w:r w:rsidR="00266EB2">
        <w:rPr>
          <w:noProof/>
        </w:rPr>
        <w:t>3</w:t>
      </w:r>
      <w:r w:rsidR="00AB2546">
        <w:fldChar w:fldCharType="end"/>
      </w:r>
      <w:r w:rsidR="001B4C39" w:rsidRPr="00356510">
        <w:t xml:space="preserve">) </w:t>
      </w:r>
      <w:r>
        <w:t xml:space="preserve">showed </w:t>
      </w:r>
      <w:r w:rsidR="001B4C39" w:rsidRPr="00356510">
        <w:t xml:space="preserve">differences in the likelihood of reporting exposure </w:t>
      </w:r>
      <w:r>
        <w:t>to these substances</w:t>
      </w:r>
      <w:r w:rsidR="001B4C39" w:rsidRPr="00356510">
        <w:t xml:space="preserve"> by occupational skill level</w:t>
      </w:r>
      <w:r w:rsidR="001148DE" w:rsidRPr="00356510">
        <w:t xml:space="preserve">. </w:t>
      </w:r>
      <w:r w:rsidR="001B4C39" w:rsidRPr="00356510">
        <w:t xml:space="preserve">Workers in </w:t>
      </w:r>
      <w:r w:rsidR="00BE1669">
        <w:t>s</w:t>
      </w:r>
      <w:r w:rsidR="001B4C39" w:rsidRPr="00356510">
        <w:t xml:space="preserve">kill </w:t>
      </w:r>
      <w:r w:rsidR="00BE1669">
        <w:t>l</w:t>
      </w:r>
      <w:r w:rsidR="001B4C39" w:rsidRPr="00356510">
        <w:t>evel three (</w:t>
      </w:r>
      <w:r w:rsidR="00BE1669">
        <w:t>t</w:t>
      </w:r>
      <w:r w:rsidR="004421A5" w:rsidRPr="00356510">
        <w:t>radesperson or related work</w:t>
      </w:r>
      <w:r w:rsidR="00BE1669">
        <w:t>ers</w:t>
      </w:r>
      <w:r w:rsidR="004421A5" w:rsidRPr="00356510">
        <w:t xml:space="preserve"> and advanced clerical or service work</w:t>
      </w:r>
      <w:r w:rsidR="001B4C39" w:rsidRPr="00356510">
        <w:t xml:space="preserve">) were </w:t>
      </w:r>
      <w:r w:rsidR="003D1FF3">
        <w:t>over</w:t>
      </w:r>
      <w:r w:rsidR="001B4C39" w:rsidRPr="00356510">
        <w:t xml:space="preserve"> three times </w:t>
      </w:r>
      <w:r w:rsidR="00287635" w:rsidRPr="00356510">
        <w:t xml:space="preserve">more </w:t>
      </w:r>
      <w:r w:rsidR="001B4C39" w:rsidRPr="00356510">
        <w:t xml:space="preserve">likely to report exposure to </w:t>
      </w:r>
      <w:r w:rsidR="003517A5" w:rsidRPr="00356510">
        <w:rPr>
          <w:i/>
        </w:rPr>
        <w:t>Organic solvents</w:t>
      </w:r>
      <w:r w:rsidR="001B4C39" w:rsidRPr="00356510">
        <w:t xml:space="preserve"> </w:t>
      </w:r>
      <w:r w:rsidR="001B4C39" w:rsidRPr="00356510">
        <w:rPr>
          <w:rFonts w:cs="Arial"/>
          <w:szCs w:val="22"/>
        </w:rPr>
        <w:t xml:space="preserve">(OR 3.66, 95% CI: 2.78-4.81) than workers in </w:t>
      </w:r>
      <w:r w:rsidR="00BE1669">
        <w:rPr>
          <w:rFonts w:cs="Arial"/>
          <w:szCs w:val="22"/>
        </w:rPr>
        <w:t>the highest skill level</w:t>
      </w:r>
      <w:r w:rsidR="001B4C39" w:rsidRPr="00356510">
        <w:t xml:space="preserve">. Workers in </w:t>
      </w:r>
      <w:r w:rsidR="00BE1669">
        <w:t>s</w:t>
      </w:r>
      <w:r w:rsidR="001B4C39" w:rsidRPr="00356510">
        <w:t>kill level five (</w:t>
      </w:r>
      <w:r w:rsidR="00BE1669">
        <w:t>e</w:t>
      </w:r>
      <w:r w:rsidR="001B4C39" w:rsidRPr="00356510">
        <w:t>lementary clerical, sales or service work</w:t>
      </w:r>
      <w:r w:rsidR="00BE1669">
        <w:t>ers</w:t>
      </w:r>
      <w:r w:rsidR="001B4C39" w:rsidRPr="00356510">
        <w:t xml:space="preserve"> and labourer or related work</w:t>
      </w:r>
      <w:r w:rsidR="00BE1669">
        <w:t>ers</w:t>
      </w:r>
      <w:r w:rsidR="001B4C39" w:rsidRPr="00356510">
        <w:t xml:space="preserve">) were also more likely to report exposure to </w:t>
      </w:r>
      <w:r w:rsidR="003517A5" w:rsidRPr="00356510">
        <w:rPr>
          <w:i/>
        </w:rPr>
        <w:t>Organic solvents</w:t>
      </w:r>
      <w:r w:rsidR="001B4C39" w:rsidRPr="00356510">
        <w:t xml:space="preserve"> than </w:t>
      </w:r>
      <w:r w:rsidR="00680E57" w:rsidRPr="00356510">
        <w:t xml:space="preserve">the highest skilled </w:t>
      </w:r>
      <w:r w:rsidR="001B4C39" w:rsidRPr="00356510">
        <w:t xml:space="preserve">workers </w:t>
      </w:r>
      <w:r w:rsidR="001B4C39" w:rsidRPr="00356510">
        <w:rPr>
          <w:rFonts w:cs="Arial"/>
          <w:szCs w:val="22"/>
        </w:rPr>
        <w:t xml:space="preserve">(OR 1.74, 95% CI: 1.25-2.41). When considering </w:t>
      </w:r>
      <w:r w:rsidR="00BE1669">
        <w:rPr>
          <w:rFonts w:cs="Arial"/>
          <w:szCs w:val="22"/>
        </w:rPr>
        <w:t>workplace size</w:t>
      </w:r>
      <w:r w:rsidR="001B4C39" w:rsidRPr="00356510">
        <w:rPr>
          <w:rFonts w:cs="Arial"/>
          <w:szCs w:val="22"/>
        </w:rPr>
        <w:t xml:space="preserve">, workers in workplaces with </w:t>
      </w:r>
      <w:r w:rsidR="00815AF9" w:rsidRPr="00356510">
        <w:rPr>
          <w:rFonts w:cs="Arial"/>
          <w:szCs w:val="22"/>
        </w:rPr>
        <w:t>fewer</w:t>
      </w:r>
      <w:r w:rsidR="001B4C39" w:rsidRPr="00356510">
        <w:rPr>
          <w:rFonts w:cs="Arial"/>
          <w:szCs w:val="22"/>
        </w:rPr>
        <w:t xml:space="preserve"> than five employees were less likely to report exposure to </w:t>
      </w:r>
      <w:r w:rsidR="003517A5" w:rsidRPr="00356510">
        <w:rPr>
          <w:rFonts w:cs="Arial"/>
          <w:i/>
          <w:szCs w:val="22"/>
        </w:rPr>
        <w:t>Organic solvents</w:t>
      </w:r>
      <w:r w:rsidR="001B4C39" w:rsidRPr="00356510">
        <w:rPr>
          <w:rFonts w:cs="Arial"/>
          <w:szCs w:val="22"/>
        </w:rPr>
        <w:t xml:space="preserve"> than workers in the largest workplaces with 200 or more employees (OR 0.67, 95% CI: 0.49-0.91).</w:t>
      </w:r>
    </w:p>
    <w:p w:rsidR="001B4C39" w:rsidRPr="00356510" w:rsidRDefault="001B4C39" w:rsidP="001B4C39">
      <w:pPr>
        <w:pStyle w:val="Heading4"/>
        <w:rPr>
          <w:rFonts w:cs="Arial"/>
        </w:rPr>
      </w:pPr>
      <w:r w:rsidRPr="00356510">
        <w:rPr>
          <w:rFonts w:cs="Arial"/>
        </w:rPr>
        <w:t>Paints, varnishes and inks</w:t>
      </w:r>
    </w:p>
    <w:p w:rsidR="00672B8E" w:rsidRDefault="00B862A4" w:rsidP="00672B8E">
      <w:pPr>
        <w:rPr>
          <w:rFonts w:cs="Arial"/>
          <w:szCs w:val="22"/>
        </w:rPr>
      </w:pPr>
      <w:r>
        <w:t>T</w:t>
      </w:r>
      <w:r w:rsidR="001B4C39" w:rsidRPr="00356510">
        <w:t xml:space="preserve">he logistic regression model </w:t>
      </w:r>
      <w:r>
        <w:t>of self-reported exposure to</w:t>
      </w:r>
      <w:r w:rsidR="001B4C39" w:rsidRPr="00356510">
        <w:t xml:space="preserve"> </w:t>
      </w:r>
      <w:r w:rsidR="003517A5" w:rsidRPr="00356510">
        <w:rPr>
          <w:i/>
        </w:rPr>
        <w:t>Paints, varnishes and inks</w:t>
      </w:r>
      <w:r w:rsidR="001B4C39" w:rsidRPr="00356510">
        <w:t xml:space="preserve"> (</w:t>
      </w:r>
      <w:r w:rsidR="00AB2546">
        <w:fldChar w:fldCharType="begin"/>
      </w:r>
      <w:r w:rsidR="00DC0248">
        <w:instrText xml:space="preserve"> REF _Ref311554058 \h </w:instrText>
      </w:r>
      <w:r w:rsidR="00AB2546">
        <w:fldChar w:fldCharType="separate"/>
      </w:r>
      <w:r w:rsidR="00266EB2">
        <w:t xml:space="preserve">Table </w:t>
      </w:r>
      <w:r w:rsidR="00266EB2">
        <w:rPr>
          <w:noProof/>
        </w:rPr>
        <w:t>3</w:t>
      </w:r>
      <w:r w:rsidR="00AB2546">
        <w:fldChar w:fldCharType="end"/>
      </w:r>
      <w:r w:rsidR="001B4C39" w:rsidRPr="00356510">
        <w:t xml:space="preserve">) </w:t>
      </w:r>
      <w:r>
        <w:t>revealed</w:t>
      </w:r>
      <w:r w:rsidR="001B4C39" w:rsidRPr="00356510">
        <w:t xml:space="preserve"> significant differences</w:t>
      </w:r>
      <w:r>
        <w:t xml:space="preserve"> in the likelihood of reporting exposure</w:t>
      </w:r>
      <w:r w:rsidR="001B4C39" w:rsidRPr="00356510">
        <w:t xml:space="preserve"> by gender, with females much less likely to report exposure to these chemicals than males (</w:t>
      </w:r>
      <w:r w:rsidR="001B4C39" w:rsidRPr="00356510">
        <w:rPr>
          <w:rFonts w:cs="Arial"/>
          <w:szCs w:val="22"/>
        </w:rPr>
        <w:t xml:space="preserve">OR 0.41, 95% CI: 0.27-0.61). In addition, workers in occupational skill level three were more likely to report exposure to </w:t>
      </w:r>
      <w:r w:rsidR="003517A5" w:rsidRPr="00356510">
        <w:rPr>
          <w:rFonts w:cs="Arial"/>
          <w:i/>
          <w:szCs w:val="22"/>
        </w:rPr>
        <w:t>Paints, varnishes and inks</w:t>
      </w:r>
      <w:r w:rsidR="001B4C39" w:rsidRPr="00356510">
        <w:rPr>
          <w:rFonts w:cs="Arial"/>
          <w:szCs w:val="22"/>
        </w:rPr>
        <w:t xml:space="preserve"> than workers in the highest skill level </w:t>
      </w:r>
      <w:r w:rsidR="001B4C39" w:rsidRPr="00356510">
        <w:t>(</w:t>
      </w:r>
      <w:r w:rsidR="001B4C39" w:rsidRPr="00356510">
        <w:rPr>
          <w:rFonts w:cs="Arial"/>
          <w:szCs w:val="22"/>
        </w:rPr>
        <w:t xml:space="preserve">OR 3.19, 95% CI: 2.17-4.70). There were also differences associated </w:t>
      </w:r>
      <w:r>
        <w:rPr>
          <w:rFonts w:cs="Arial"/>
          <w:szCs w:val="22"/>
        </w:rPr>
        <w:t>with</w:t>
      </w:r>
      <w:r w:rsidR="001B4C39" w:rsidRPr="00356510">
        <w:rPr>
          <w:rFonts w:cs="Arial"/>
          <w:szCs w:val="22"/>
        </w:rPr>
        <w:t xml:space="preserve"> workplace</w:t>
      </w:r>
      <w:r>
        <w:rPr>
          <w:rFonts w:cs="Arial"/>
          <w:szCs w:val="22"/>
        </w:rPr>
        <w:t xml:space="preserve"> size</w:t>
      </w:r>
      <w:r w:rsidR="001B4C39" w:rsidRPr="00356510">
        <w:rPr>
          <w:rFonts w:cs="Arial"/>
          <w:szCs w:val="22"/>
        </w:rPr>
        <w:t xml:space="preserve">. Workers in workplaces with less than five employees were more likely to report exposure to </w:t>
      </w:r>
      <w:r w:rsidR="003517A5" w:rsidRPr="00356510">
        <w:rPr>
          <w:rFonts w:cs="Arial"/>
          <w:i/>
          <w:szCs w:val="22"/>
        </w:rPr>
        <w:t>Paints, varnishes and inks</w:t>
      </w:r>
      <w:r w:rsidR="001B4C39" w:rsidRPr="00356510">
        <w:rPr>
          <w:rFonts w:cs="Arial"/>
          <w:szCs w:val="22"/>
        </w:rPr>
        <w:t xml:space="preserve"> </w:t>
      </w:r>
      <w:r w:rsidR="001B4C39" w:rsidRPr="00356510">
        <w:t>(</w:t>
      </w:r>
      <w:r w:rsidR="001B4C39" w:rsidRPr="00356510">
        <w:rPr>
          <w:rFonts w:cs="Arial"/>
          <w:szCs w:val="22"/>
        </w:rPr>
        <w:t>OR 1.86, 95% CI: 1.14-3.03) than workers in the largest workplaces (200 or more employees).</w:t>
      </w:r>
    </w:p>
    <w:p w:rsidR="001B4C39" w:rsidRPr="00356510" w:rsidRDefault="001B4C39" w:rsidP="00672B8E">
      <w:pPr>
        <w:pStyle w:val="Heading4"/>
      </w:pPr>
      <w:r w:rsidRPr="00356510">
        <w:t>Detergents</w:t>
      </w:r>
    </w:p>
    <w:p w:rsidR="001B4C39" w:rsidRPr="00356510" w:rsidRDefault="00E05C39" w:rsidP="001B4C39">
      <w:pPr>
        <w:rPr>
          <w:rFonts w:cs="Arial"/>
        </w:rPr>
      </w:pPr>
      <w:r>
        <w:rPr>
          <w:rFonts w:cs="Arial"/>
        </w:rPr>
        <w:t>T</w:t>
      </w:r>
      <w:r w:rsidR="001B4C39" w:rsidRPr="00356510">
        <w:rPr>
          <w:rFonts w:cs="Arial"/>
        </w:rPr>
        <w:t xml:space="preserve">he logistic regression model </w:t>
      </w:r>
      <w:r>
        <w:rPr>
          <w:rFonts w:cs="Arial"/>
        </w:rPr>
        <w:t>examining self-reported exposure to</w:t>
      </w:r>
      <w:r w:rsidR="001B4C39" w:rsidRPr="00356510">
        <w:rPr>
          <w:rFonts w:cs="Arial"/>
        </w:rPr>
        <w:t xml:space="preserve"> </w:t>
      </w:r>
      <w:r w:rsidR="00095CDE" w:rsidRPr="00356510">
        <w:rPr>
          <w:rFonts w:cs="Arial"/>
          <w:i/>
        </w:rPr>
        <w:t>Detergents</w:t>
      </w:r>
      <w:r w:rsidR="001B4C39" w:rsidRPr="00356510">
        <w:rPr>
          <w:rFonts w:cs="Arial"/>
          <w:szCs w:val="22"/>
        </w:rPr>
        <w:t xml:space="preserve"> (</w:t>
      </w:r>
      <w:r w:rsidR="00AB2546">
        <w:rPr>
          <w:rFonts w:cs="Arial"/>
          <w:szCs w:val="22"/>
        </w:rPr>
        <w:fldChar w:fldCharType="begin"/>
      </w:r>
      <w:r w:rsidR="00B862A4">
        <w:rPr>
          <w:rFonts w:cs="Arial"/>
          <w:szCs w:val="22"/>
        </w:rPr>
        <w:instrText xml:space="preserve"> REF _Ref311554061 \h </w:instrText>
      </w:r>
      <w:r w:rsidR="00AB2546">
        <w:rPr>
          <w:rFonts w:cs="Arial"/>
          <w:szCs w:val="22"/>
        </w:rPr>
      </w:r>
      <w:r w:rsidR="00AB2546">
        <w:rPr>
          <w:rFonts w:cs="Arial"/>
          <w:szCs w:val="22"/>
        </w:rPr>
        <w:fldChar w:fldCharType="separate"/>
      </w:r>
      <w:r w:rsidR="00266EB2">
        <w:t xml:space="preserve">Table </w:t>
      </w:r>
      <w:r w:rsidR="00266EB2">
        <w:rPr>
          <w:noProof/>
        </w:rPr>
        <w:t>4</w:t>
      </w:r>
      <w:r w:rsidR="00AB2546">
        <w:rPr>
          <w:rFonts w:cs="Arial"/>
          <w:szCs w:val="22"/>
        </w:rPr>
        <w:fldChar w:fldCharType="end"/>
      </w:r>
      <w:r w:rsidR="001B4C39" w:rsidRPr="00356510">
        <w:rPr>
          <w:rFonts w:cs="Arial"/>
          <w:szCs w:val="22"/>
        </w:rPr>
        <w:t>)</w:t>
      </w:r>
      <w:r w:rsidR="001B4C39" w:rsidRPr="00356510">
        <w:rPr>
          <w:rFonts w:cs="Arial"/>
        </w:rPr>
        <w:t xml:space="preserve"> </w:t>
      </w:r>
      <w:r>
        <w:rPr>
          <w:rFonts w:cs="Arial"/>
        </w:rPr>
        <w:t xml:space="preserve">showed that </w:t>
      </w:r>
      <w:r w:rsidR="001B4C39" w:rsidRPr="00356510">
        <w:rPr>
          <w:rFonts w:cs="Arial"/>
        </w:rPr>
        <w:t xml:space="preserve">females were twice as likely as males to report exposure </w:t>
      </w:r>
      <w:r w:rsidR="00EE781A">
        <w:rPr>
          <w:rFonts w:cs="Arial"/>
        </w:rPr>
        <w:t xml:space="preserve">to </w:t>
      </w:r>
      <w:r>
        <w:rPr>
          <w:rFonts w:cs="Arial"/>
        </w:rPr>
        <w:t xml:space="preserve">this chemical type </w:t>
      </w:r>
      <w:r w:rsidR="001B4C39" w:rsidRPr="00356510">
        <w:rPr>
          <w:rFonts w:cs="Arial"/>
          <w:szCs w:val="22"/>
        </w:rPr>
        <w:t>(OR 2.07, 95% CI: 1.70-2.51).</w:t>
      </w:r>
      <w:r w:rsidR="001B4C39" w:rsidRPr="00356510">
        <w:rPr>
          <w:rFonts w:cs="Arial"/>
        </w:rPr>
        <w:t xml:space="preserve"> </w:t>
      </w:r>
      <w:r w:rsidR="00D05F55">
        <w:rPr>
          <w:rFonts w:cs="Arial"/>
        </w:rPr>
        <w:t xml:space="preserve">Like many of the other types of chemicals, occupational skill level was also associated with differences in the likelihood of reporting exposure to </w:t>
      </w:r>
      <w:r w:rsidR="00D05F55" w:rsidRPr="00D05F55">
        <w:rPr>
          <w:rFonts w:cs="Arial"/>
          <w:i/>
        </w:rPr>
        <w:t>Detergents</w:t>
      </w:r>
      <w:r w:rsidR="00D05F55">
        <w:rPr>
          <w:rFonts w:cs="Arial"/>
        </w:rPr>
        <w:t>. Workers in</w:t>
      </w:r>
      <w:r w:rsidR="001B4C39" w:rsidRPr="00356510">
        <w:rPr>
          <w:rFonts w:cs="Arial"/>
        </w:rPr>
        <w:t xml:space="preserve"> occupational </w:t>
      </w:r>
      <w:r w:rsidR="00D05F55">
        <w:rPr>
          <w:rFonts w:cs="Arial"/>
        </w:rPr>
        <w:t>skill level two</w:t>
      </w:r>
      <w:r w:rsidR="001B4C39" w:rsidRPr="00356510">
        <w:rPr>
          <w:rFonts w:cs="Arial"/>
        </w:rPr>
        <w:t xml:space="preserve"> </w:t>
      </w:r>
      <w:r w:rsidR="001B4C39" w:rsidRPr="00356510">
        <w:rPr>
          <w:rFonts w:cs="Arial"/>
          <w:szCs w:val="22"/>
        </w:rPr>
        <w:t>(OR 1.86, 95% CI: 1.31-2.62)</w:t>
      </w:r>
      <w:r w:rsidR="001B4C39" w:rsidRPr="00356510">
        <w:rPr>
          <w:rFonts w:cs="Arial"/>
        </w:rPr>
        <w:t xml:space="preserve">, </w:t>
      </w:r>
      <w:r w:rsidR="00D05F55">
        <w:rPr>
          <w:rFonts w:cs="Arial"/>
        </w:rPr>
        <w:t>skill level four</w:t>
      </w:r>
      <w:r w:rsidR="001B4C39" w:rsidRPr="00356510">
        <w:rPr>
          <w:rFonts w:cs="Arial"/>
        </w:rPr>
        <w:t xml:space="preserve"> </w:t>
      </w:r>
      <w:r w:rsidR="001B4C39" w:rsidRPr="00356510">
        <w:rPr>
          <w:rFonts w:cs="Arial"/>
          <w:szCs w:val="22"/>
        </w:rPr>
        <w:t xml:space="preserve">(OR 2.23, 95% CI: 1.73-2.87) and </w:t>
      </w:r>
      <w:r w:rsidR="00D05F55">
        <w:rPr>
          <w:rFonts w:cs="Arial"/>
          <w:szCs w:val="22"/>
        </w:rPr>
        <w:t>skill level five</w:t>
      </w:r>
      <w:r w:rsidR="001B4C39" w:rsidRPr="00356510">
        <w:rPr>
          <w:rFonts w:cs="Arial"/>
        </w:rPr>
        <w:t xml:space="preserve"> </w:t>
      </w:r>
      <w:r w:rsidR="001B4C39" w:rsidRPr="00356510">
        <w:rPr>
          <w:rFonts w:cs="Arial"/>
          <w:szCs w:val="22"/>
        </w:rPr>
        <w:t>(OR 3.31, 95% CI: 2.50-4.37)</w:t>
      </w:r>
      <w:r w:rsidR="00D05F55">
        <w:rPr>
          <w:rFonts w:cs="Arial"/>
          <w:szCs w:val="22"/>
        </w:rPr>
        <w:t xml:space="preserve"> were more likely to report exposure to </w:t>
      </w:r>
      <w:r w:rsidR="00D05F55" w:rsidRPr="00EE781A">
        <w:rPr>
          <w:rFonts w:cs="Arial"/>
          <w:i/>
          <w:szCs w:val="22"/>
        </w:rPr>
        <w:t>Detergents</w:t>
      </w:r>
      <w:r w:rsidR="00D05F55">
        <w:rPr>
          <w:rFonts w:cs="Arial"/>
          <w:szCs w:val="22"/>
        </w:rPr>
        <w:t xml:space="preserve"> than </w:t>
      </w:r>
      <w:r w:rsidR="003F2917" w:rsidRPr="00356510">
        <w:rPr>
          <w:rFonts w:cs="Arial"/>
          <w:szCs w:val="22"/>
        </w:rPr>
        <w:t>the highest skilled workers</w:t>
      </w:r>
      <w:r w:rsidR="001B4C39" w:rsidRPr="00356510">
        <w:rPr>
          <w:rFonts w:cs="Arial"/>
          <w:szCs w:val="22"/>
        </w:rPr>
        <w:t xml:space="preserve">. </w:t>
      </w:r>
      <w:r w:rsidR="00D05F55">
        <w:rPr>
          <w:rFonts w:cs="Arial"/>
          <w:szCs w:val="22"/>
        </w:rPr>
        <w:t xml:space="preserve">Age also affected the likelihood of reporting exposure to </w:t>
      </w:r>
      <w:r w:rsidR="00D05F55" w:rsidRPr="00D05F55">
        <w:rPr>
          <w:rFonts w:cs="Arial"/>
          <w:i/>
          <w:szCs w:val="22"/>
        </w:rPr>
        <w:t>Detergents</w:t>
      </w:r>
      <w:r w:rsidR="00D05F55">
        <w:rPr>
          <w:rFonts w:cs="Arial"/>
          <w:szCs w:val="22"/>
        </w:rPr>
        <w:t>, with the youngest workers (15-24 years olds) being the most likely to report exposure to this chemical group.</w:t>
      </w:r>
    </w:p>
    <w:p w:rsidR="001B4C39" w:rsidRPr="00356510" w:rsidRDefault="001B4C39" w:rsidP="001B4C39">
      <w:pPr>
        <w:pStyle w:val="Heading4"/>
        <w:rPr>
          <w:rFonts w:cs="Arial"/>
        </w:rPr>
      </w:pPr>
      <w:r w:rsidRPr="00356510">
        <w:rPr>
          <w:rFonts w:cs="Arial"/>
        </w:rPr>
        <w:t>Disinfectants</w:t>
      </w:r>
    </w:p>
    <w:p w:rsidR="001B4C39" w:rsidRPr="00356510" w:rsidRDefault="001B4C39" w:rsidP="001B4C39">
      <w:pPr>
        <w:rPr>
          <w:rFonts w:cs="Arial"/>
        </w:rPr>
      </w:pPr>
      <w:r w:rsidRPr="00356510">
        <w:rPr>
          <w:rFonts w:cs="Arial"/>
        </w:rPr>
        <w:t xml:space="preserve">Female workers were almost five times more likely to report exposure to </w:t>
      </w:r>
      <w:r w:rsidR="00356D9D" w:rsidRPr="00356510">
        <w:rPr>
          <w:rFonts w:cs="Arial"/>
          <w:i/>
        </w:rPr>
        <w:t>Disinfectants</w:t>
      </w:r>
      <w:r w:rsidRPr="00356510">
        <w:rPr>
          <w:rFonts w:cs="Arial"/>
        </w:rPr>
        <w:t xml:space="preserve"> than male workers </w:t>
      </w:r>
      <w:r w:rsidRPr="00356510">
        <w:rPr>
          <w:rFonts w:cs="Arial"/>
          <w:szCs w:val="22"/>
        </w:rPr>
        <w:t>(OR 4.43, 95% CI: 3.38-5.81) (</w:t>
      </w:r>
      <w:r w:rsidR="00AB2546">
        <w:fldChar w:fldCharType="begin"/>
      </w:r>
      <w:r w:rsidR="00B862A4">
        <w:rPr>
          <w:rFonts w:cs="Arial"/>
          <w:szCs w:val="22"/>
        </w:rPr>
        <w:instrText xml:space="preserve"> REF _Ref311554061 \h </w:instrText>
      </w:r>
      <w:r w:rsidR="00AB2546">
        <w:fldChar w:fldCharType="separate"/>
      </w:r>
      <w:r w:rsidR="00266EB2">
        <w:t xml:space="preserve">Table </w:t>
      </w:r>
      <w:r w:rsidR="00266EB2">
        <w:rPr>
          <w:noProof/>
        </w:rPr>
        <w:t>4</w:t>
      </w:r>
      <w:r w:rsidR="00AB2546">
        <w:fldChar w:fldCharType="end"/>
      </w:r>
      <w:r w:rsidRPr="00356510">
        <w:rPr>
          <w:rFonts w:cs="Arial"/>
          <w:szCs w:val="22"/>
        </w:rPr>
        <w:t xml:space="preserve">). There were also differences in the likelihood of reporting exposure to </w:t>
      </w:r>
      <w:r w:rsidR="00356D9D" w:rsidRPr="00356510">
        <w:rPr>
          <w:rFonts w:cs="Arial"/>
          <w:i/>
          <w:szCs w:val="22"/>
        </w:rPr>
        <w:t>Disinfectants</w:t>
      </w:r>
      <w:r w:rsidRPr="00356510">
        <w:rPr>
          <w:rFonts w:cs="Arial"/>
          <w:szCs w:val="22"/>
        </w:rPr>
        <w:t xml:space="preserve"> associated with occupational skill level. Workers in the two lowest occupational skill levels</w:t>
      </w:r>
      <w:r w:rsidR="007400D4">
        <w:rPr>
          <w:rFonts w:cs="Arial"/>
          <w:szCs w:val="22"/>
        </w:rPr>
        <w:t xml:space="preserve"> (level four: </w:t>
      </w:r>
      <w:r w:rsidR="007400D4" w:rsidRPr="00356510">
        <w:rPr>
          <w:rFonts w:cs="Arial"/>
          <w:szCs w:val="22"/>
        </w:rPr>
        <w:t>OR 1.59, 95% CI: 1.19-2.12</w:t>
      </w:r>
      <w:r w:rsidR="007400D4">
        <w:rPr>
          <w:rFonts w:cs="Arial"/>
          <w:szCs w:val="22"/>
        </w:rPr>
        <w:t xml:space="preserve"> and level five:</w:t>
      </w:r>
      <w:r w:rsidR="007400D4" w:rsidRPr="007400D4">
        <w:rPr>
          <w:rFonts w:cs="Arial"/>
          <w:szCs w:val="22"/>
        </w:rPr>
        <w:t xml:space="preserve"> </w:t>
      </w:r>
      <w:r w:rsidR="007400D4" w:rsidRPr="00356510">
        <w:rPr>
          <w:rFonts w:cs="Arial"/>
          <w:szCs w:val="22"/>
        </w:rPr>
        <w:t>OR 1.66, 95% CI: 1.18-2.34)</w:t>
      </w:r>
      <w:r w:rsidR="007400D4">
        <w:rPr>
          <w:rFonts w:cs="Arial"/>
          <w:szCs w:val="22"/>
        </w:rPr>
        <w:t xml:space="preserve"> </w:t>
      </w:r>
      <w:r w:rsidRPr="00356510">
        <w:rPr>
          <w:rFonts w:cs="Arial"/>
          <w:szCs w:val="22"/>
        </w:rPr>
        <w:t>were mor</w:t>
      </w:r>
      <w:r w:rsidR="004421A5" w:rsidRPr="00356510">
        <w:rPr>
          <w:rFonts w:cs="Arial"/>
          <w:szCs w:val="22"/>
        </w:rPr>
        <w:t xml:space="preserve">e likely to report exposure to </w:t>
      </w:r>
      <w:r w:rsidR="00356D9D" w:rsidRPr="00356510">
        <w:rPr>
          <w:rFonts w:cs="Arial"/>
          <w:i/>
          <w:szCs w:val="22"/>
        </w:rPr>
        <w:t>Disinfectants</w:t>
      </w:r>
      <w:r w:rsidRPr="00356510">
        <w:rPr>
          <w:rFonts w:cs="Arial"/>
          <w:szCs w:val="22"/>
        </w:rPr>
        <w:t xml:space="preserve"> than the highest skilled workers</w:t>
      </w:r>
      <w:r w:rsidR="007400D4">
        <w:rPr>
          <w:rFonts w:cs="Arial"/>
          <w:szCs w:val="22"/>
        </w:rPr>
        <w:t>.</w:t>
      </w:r>
      <w:r w:rsidRPr="00356510">
        <w:rPr>
          <w:rFonts w:cs="Arial"/>
          <w:szCs w:val="22"/>
        </w:rPr>
        <w:t xml:space="preserve"> Compared to the youngest age group, workers in the 25-34 year old age group (OR 0.57, 95% CI: 0.34-0.97) and workers in the 35-44 year old age group (OR 0.56, 95% CI: 0.41-0.92) were significantly less likely to report exposure to </w:t>
      </w:r>
      <w:r w:rsidR="00356D9D" w:rsidRPr="00356510">
        <w:rPr>
          <w:rFonts w:cs="Arial"/>
          <w:i/>
          <w:szCs w:val="22"/>
        </w:rPr>
        <w:t>Disinfectants</w:t>
      </w:r>
      <w:r w:rsidRPr="00356510">
        <w:rPr>
          <w:rFonts w:cs="Arial"/>
          <w:szCs w:val="22"/>
        </w:rPr>
        <w:t>.</w:t>
      </w:r>
    </w:p>
    <w:p w:rsidR="001B4C39" w:rsidRPr="00356510" w:rsidRDefault="001B4C39" w:rsidP="001B4C39">
      <w:pPr>
        <w:pStyle w:val="Heading4"/>
        <w:rPr>
          <w:rFonts w:cs="Arial"/>
        </w:rPr>
      </w:pPr>
      <w:r w:rsidRPr="00356510">
        <w:rPr>
          <w:rFonts w:cs="Arial"/>
        </w:rPr>
        <w:t>Cement and lime</w:t>
      </w:r>
    </w:p>
    <w:p w:rsidR="001B4C39" w:rsidRPr="00356510" w:rsidRDefault="001B4C39" w:rsidP="001B4C39">
      <w:pPr>
        <w:rPr>
          <w:rFonts w:cs="Arial"/>
          <w:szCs w:val="22"/>
        </w:rPr>
      </w:pPr>
      <w:r w:rsidRPr="00356510">
        <w:rPr>
          <w:rFonts w:cs="Arial"/>
        </w:rPr>
        <w:t xml:space="preserve">The logistic regression model examining self-reported exposure to </w:t>
      </w:r>
      <w:r w:rsidR="00610AAC" w:rsidRPr="00356510">
        <w:rPr>
          <w:rFonts w:cs="Arial"/>
          <w:i/>
        </w:rPr>
        <w:t>Cement and lime</w:t>
      </w:r>
      <w:r w:rsidRPr="00356510">
        <w:rPr>
          <w:rFonts w:cs="Arial"/>
        </w:rPr>
        <w:t xml:space="preserve"> </w:t>
      </w:r>
      <w:r w:rsidRPr="00356510">
        <w:rPr>
          <w:rFonts w:cs="Arial"/>
          <w:szCs w:val="22"/>
        </w:rPr>
        <w:t>(</w:t>
      </w:r>
      <w:r w:rsidR="00AB2546">
        <w:rPr>
          <w:rFonts w:cs="Arial"/>
          <w:szCs w:val="22"/>
        </w:rPr>
        <w:fldChar w:fldCharType="begin"/>
      </w:r>
      <w:r w:rsidR="00B862A4">
        <w:rPr>
          <w:rFonts w:cs="Arial"/>
          <w:szCs w:val="22"/>
        </w:rPr>
        <w:instrText xml:space="preserve"> REF _Ref311554061 \h </w:instrText>
      </w:r>
      <w:r w:rsidR="00AB2546">
        <w:rPr>
          <w:rFonts w:cs="Arial"/>
          <w:szCs w:val="22"/>
        </w:rPr>
      </w:r>
      <w:r w:rsidR="00AB2546">
        <w:rPr>
          <w:rFonts w:cs="Arial"/>
          <w:szCs w:val="22"/>
        </w:rPr>
        <w:fldChar w:fldCharType="separate"/>
      </w:r>
      <w:r w:rsidR="00266EB2">
        <w:t xml:space="preserve">Table </w:t>
      </w:r>
      <w:r w:rsidR="00266EB2">
        <w:rPr>
          <w:noProof/>
        </w:rPr>
        <w:t>4</w:t>
      </w:r>
      <w:r w:rsidR="00AB2546">
        <w:rPr>
          <w:rFonts w:cs="Arial"/>
          <w:szCs w:val="22"/>
        </w:rPr>
        <w:fldChar w:fldCharType="end"/>
      </w:r>
      <w:r w:rsidRPr="00356510">
        <w:rPr>
          <w:rFonts w:cs="Arial"/>
          <w:szCs w:val="22"/>
        </w:rPr>
        <w:t>)</w:t>
      </w:r>
      <w:r w:rsidRPr="00356510">
        <w:rPr>
          <w:rFonts w:cs="Arial"/>
        </w:rPr>
        <w:t xml:space="preserve"> revealed significant differences associated with worker gender. Females were much less likely to report exposure to </w:t>
      </w:r>
      <w:r w:rsidR="00610AAC" w:rsidRPr="00356510">
        <w:rPr>
          <w:rFonts w:cs="Arial"/>
          <w:i/>
        </w:rPr>
        <w:t>Cement and lime</w:t>
      </w:r>
      <w:r w:rsidRPr="00356510">
        <w:rPr>
          <w:rFonts w:cs="Arial"/>
        </w:rPr>
        <w:t xml:space="preserve"> than males (</w:t>
      </w:r>
      <w:r w:rsidRPr="00356510">
        <w:rPr>
          <w:rFonts w:cs="Arial"/>
          <w:szCs w:val="22"/>
        </w:rPr>
        <w:t xml:space="preserve">OR 0.04, 95% CI: 0.01-0.10). There were also differences in the likelihood of reporting exposure to this group of chemicals associated with occupational skill level. Workers in Level three </w:t>
      </w:r>
      <w:r w:rsidRPr="00356510">
        <w:rPr>
          <w:rFonts w:cs="Arial"/>
        </w:rPr>
        <w:t>(Tradesperson or related work and advanced clerical or service work) (</w:t>
      </w:r>
      <w:r w:rsidRPr="00356510">
        <w:rPr>
          <w:rFonts w:cs="Arial"/>
          <w:szCs w:val="22"/>
        </w:rPr>
        <w:t xml:space="preserve">OR 1.94, 95% CI: 1.26-2.99) and Level five </w:t>
      </w:r>
      <w:r w:rsidRPr="00356510">
        <w:rPr>
          <w:rFonts w:cs="Arial"/>
        </w:rPr>
        <w:t>(Elementary clerical, sales or service work and labourer or related work) (</w:t>
      </w:r>
      <w:r w:rsidRPr="00356510">
        <w:rPr>
          <w:rFonts w:cs="Arial"/>
          <w:szCs w:val="22"/>
        </w:rPr>
        <w:t xml:space="preserve">OR 2.46, 95% CI: 1.50-4.03) were more likely to report exposure to </w:t>
      </w:r>
      <w:r w:rsidR="00610AAC" w:rsidRPr="00356510">
        <w:rPr>
          <w:rFonts w:cs="Arial"/>
          <w:i/>
          <w:szCs w:val="22"/>
        </w:rPr>
        <w:t>Cement and lime</w:t>
      </w:r>
      <w:r w:rsidRPr="00356510">
        <w:rPr>
          <w:rFonts w:cs="Arial"/>
          <w:szCs w:val="22"/>
        </w:rPr>
        <w:t xml:space="preserve"> than the highest skilled workers. There were also significant differences </w:t>
      </w:r>
      <w:r w:rsidR="009C4568">
        <w:rPr>
          <w:rFonts w:cs="Arial"/>
          <w:szCs w:val="22"/>
        </w:rPr>
        <w:t>by workplace size</w:t>
      </w:r>
      <w:r w:rsidRPr="00356510">
        <w:rPr>
          <w:rFonts w:cs="Arial"/>
          <w:szCs w:val="22"/>
        </w:rPr>
        <w:t xml:space="preserve">. Workers in workplaces </w:t>
      </w:r>
      <w:r w:rsidRPr="00356510">
        <w:rPr>
          <w:rFonts w:cs="Arial"/>
          <w:szCs w:val="22"/>
        </w:rPr>
        <w:lastRenderedPageBreak/>
        <w:t xml:space="preserve">with five to 19 employees were almost four times more likely to </w:t>
      </w:r>
      <w:r w:rsidR="004421A5" w:rsidRPr="00356510">
        <w:rPr>
          <w:rFonts w:cs="Arial"/>
          <w:szCs w:val="22"/>
        </w:rPr>
        <w:t>report exposure</w:t>
      </w:r>
      <w:r w:rsidRPr="00356510">
        <w:rPr>
          <w:rFonts w:cs="Arial"/>
          <w:szCs w:val="22"/>
        </w:rPr>
        <w:t xml:space="preserve"> </w:t>
      </w:r>
      <w:r w:rsidRPr="00356510">
        <w:rPr>
          <w:rFonts w:cs="Arial"/>
        </w:rPr>
        <w:t>(</w:t>
      </w:r>
      <w:r w:rsidRPr="00356510">
        <w:rPr>
          <w:rFonts w:cs="Arial"/>
          <w:szCs w:val="22"/>
        </w:rPr>
        <w:t xml:space="preserve">OR 3.94, 95% CI: 2.11-7.36) than workers in the largest workplaces. The likelihood of reporting exposure to </w:t>
      </w:r>
      <w:r w:rsidR="00610AAC" w:rsidRPr="00356510">
        <w:rPr>
          <w:rFonts w:cs="Arial"/>
          <w:i/>
          <w:szCs w:val="22"/>
        </w:rPr>
        <w:t>Cement and lime</w:t>
      </w:r>
      <w:r w:rsidRPr="00356510">
        <w:rPr>
          <w:rFonts w:cs="Arial"/>
          <w:szCs w:val="22"/>
        </w:rPr>
        <w:t xml:space="preserve"> was even further increased for workers in workplaces with less than five employees, with these workers more than five times more likely to report exposure than workers from the largest workplaces </w:t>
      </w:r>
      <w:r w:rsidRPr="00356510">
        <w:rPr>
          <w:rFonts w:cs="Arial"/>
        </w:rPr>
        <w:t>(</w:t>
      </w:r>
      <w:r w:rsidRPr="00356510">
        <w:rPr>
          <w:rFonts w:cs="Arial"/>
          <w:szCs w:val="22"/>
        </w:rPr>
        <w:t>OR 5.19, 95% CI: 2.85-9.48).</w:t>
      </w:r>
    </w:p>
    <w:p w:rsidR="001B4C39" w:rsidRPr="00356510" w:rsidRDefault="001B4C39" w:rsidP="00672B8E">
      <w:pPr>
        <w:pStyle w:val="Heading2"/>
      </w:pPr>
      <w:bookmarkStart w:id="77" w:name="_Toc309808255"/>
      <w:bookmarkStart w:id="78" w:name="_Toc312075711"/>
      <w:r w:rsidRPr="00356510">
        <w:t>Chemical exposure control measures provided in Australian workplaces</w:t>
      </w:r>
      <w:bookmarkEnd w:id="77"/>
      <w:bookmarkEnd w:id="78"/>
    </w:p>
    <w:p w:rsidR="001B4C39" w:rsidRPr="00356510" w:rsidRDefault="008B5C92" w:rsidP="001B4C39">
      <w:pPr>
        <w:rPr>
          <w:rFonts w:cs="Arial"/>
          <w:szCs w:val="22"/>
        </w:rPr>
      </w:pPr>
      <w:r>
        <w:rPr>
          <w:rFonts w:cs="Arial"/>
          <w:szCs w:val="22"/>
        </w:rPr>
        <w:t>Participants in the NHEWS survey</w:t>
      </w:r>
      <w:r w:rsidR="001B4C39" w:rsidRPr="00356510">
        <w:rPr>
          <w:rFonts w:cs="Arial"/>
          <w:szCs w:val="22"/>
        </w:rPr>
        <w:t xml:space="preserve"> who reported any </w:t>
      </w:r>
      <w:r>
        <w:rPr>
          <w:rFonts w:cs="Arial"/>
          <w:szCs w:val="22"/>
        </w:rPr>
        <w:t xml:space="preserve">type or level of </w:t>
      </w:r>
      <w:r w:rsidR="001B4C39" w:rsidRPr="00356510">
        <w:rPr>
          <w:rFonts w:cs="Arial"/>
          <w:szCs w:val="22"/>
        </w:rPr>
        <w:t>exposure to chemicals were asked about the control measures that were provided in their workplaces</w:t>
      </w:r>
      <w:r w:rsidR="00323947">
        <w:rPr>
          <w:rFonts w:cs="Arial"/>
          <w:szCs w:val="22"/>
        </w:rPr>
        <w:t xml:space="preserve"> for dermal chemical exposure</w:t>
      </w:r>
      <w:r w:rsidR="001B4C39" w:rsidRPr="00356510">
        <w:rPr>
          <w:rFonts w:cs="Arial"/>
          <w:szCs w:val="22"/>
        </w:rPr>
        <w:t xml:space="preserve">. </w:t>
      </w:r>
      <w:r w:rsidR="004421A5" w:rsidRPr="00356510">
        <w:rPr>
          <w:rFonts w:cs="Arial"/>
          <w:szCs w:val="22"/>
        </w:rPr>
        <w:t>W</w:t>
      </w:r>
      <w:r w:rsidR="001B4C39" w:rsidRPr="00356510">
        <w:rPr>
          <w:rFonts w:cs="Arial"/>
          <w:szCs w:val="22"/>
        </w:rPr>
        <w:t>orkers who did not report exposure to chemicals were not aske</w:t>
      </w:r>
      <w:r>
        <w:rPr>
          <w:rFonts w:cs="Arial"/>
          <w:szCs w:val="22"/>
        </w:rPr>
        <w:t>d the control measure questions. Therefore,</w:t>
      </w:r>
      <w:r w:rsidR="00504A11" w:rsidRPr="00356510">
        <w:rPr>
          <w:rFonts w:cs="Arial"/>
          <w:szCs w:val="22"/>
        </w:rPr>
        <w:t xml:space="preserve"> </w:t>
      </w:r>
      <w:r w:rsidR="001B4C39" w:rsidRPr="00356510">
        <w:rPr>
          <w:rFonts w:cs="Arial"/>
          <w:szCs w:val="22"/>
        </w:rPr>
        <w:t xml:space="preserve">the sample for analysis </w:t>
      </w:r>
      <w:r w:rsidR="00504A11" w:rsidRPr="00356510">
        <w:rPr>
          <w:rFonts w:cs="Arial"/>
          <w:szCs w:val="22"/>
        </w:rPr>
        <w:t xml:space="preserve">of the provision of control measures </w:t>
      </w:r>
      <w:r w:rsidR="001B4C39" w:rsidRPr="00356510">
        <w:rPr>
          <w:rFonts w:cs="Arial"/>
          <w:szCs w:val="22"/>
        </w:rPr>
        <w:t>is restricted to n=1676, 37% of the total sample. When considering these results it must be remember</w:t>
      </w:r>
      <w:r w:rsidR="004421A5" w:rsidRPr="00356510">
        <w:rPr>
          <w:rFonts w:cs="Arial"/>
          <w:szCs w:val="22"/>
        </w:rPr>
        <w:t>ed that there may be some under</w:t>
      </w:r>
      <w:r w:rsidR="001B4C39" w:rsidRPr="00356510">
        <w:rPr>
          <w:rFonts w:cs="Arial"/>
          <w:szCs w:val="22"/>
        </w:rPr>
        <w:t xml:space="preserve">estimation within the presented data of the full scope of chemical control measures utilised in Australian workplaces. For example, there may have been some workers participating in the survey who were employed in workplaces where engineering processes had isolated work systems, thereby greatly reducing potential </w:t>
      </w:r>
      <w:r w:rsidR="00323947">
        <w:rPr>
          <w:rFonts w:cs="Arial"/>
          <w:szCs w:val="22"/>
        </w:rPr>
        <w:t xml:space="preserve">dermal </w:t>
      </w:r>
      <w:r w:rsidR="001B4C39" w:rsidRPr="00356510">
        <w:rPr>
          <w:rFonts w:cs="Arial"/>
          <w:szCs w:val="22"/>
        </w:rPr>
        <w:t xml:space="preserve">chemical exposure. </w:t>
      </w:r>
      <w:r w:rsidR="00323947">
        <w:rPr>
          <w:rFonts w:cs="Arial"/>
          <w:szCs w:val="22"/>
        </w:rPr>
        <w:t>Obtaining i</w:t>
      </w:r>
      <w:r w:rsidR="001B4C39" w:rsidRPr="00356510">
        <w:rPr>
          <w:rFonts w:cs="Arial"/>
          <w:szCs w:val="22"/>
        </w:rPr>
        <w:t xml:space="preserve">nformation about these most effective source-focused controls was outside the scope of the NHEWS survey. </w:t>
      </w:r>
    </w:p>
    <w:p w:rsidR="001B4C39" w:rsidRPr="00356510" w:rsidRDefault="001B4C39" w:rsidP="001B4C39">
      <w:pPr>
        <w:rPr>
          <w:rFonts w:cs="Arial"/>
          <w:i/>
          <w:szCs w:val="22"/>
        </w:rPr>
      </w:pPr>
      <w:r w:rsidRPr="00356510">
        <w:rPr>
          <w:rFonts w:cs="Arial"/>
          <w:szCs w:val="22"/>
        </w:rPr>
        <w:t xml:space="preserve">Survey participants who reported exposure to chemicals were asked </w:t>
      </w:r>
      <w:r w:rsidRPr="00356510">
        <w:rPr>
          <w:rFonts w:cs="Arial"/>
          <w:i/>
          <w:szCs w:val="22"/>
        </w:rPr>
        <w:t>“Do you/does your employer do any of the following to prevent health problems caused by exposure to chemical products or substances?”</w:t>
      </w:r>
    </w:p>
    <w:p w:rsidR="001B4C39" w:rsidRPr="00356510" w:rsidRDefault="001B4C39" w:rsidP="001B4C39">
      <w:pPr>
        <w:numPr>
          <w:ilvl w:val="0"/>
          <w:numId w:val="5"/>
        </w:numPr>
        <w:rPr>
          <w:rFonts w:cs="Arial"/>
          <w:szCs w:val="22"/>
        </w:rPr>
      </w:pPr>
      <w:r w:rsidRPr="00356510">
        <w:rPr>
          <w:rFonts w:cs="Arial"/>
          <w:szCs w:val="22"/>
        </w:rPr>
        <w:t>provide gloves</w:t>
      </w:r>
    </w:p>
    <w:p w:rsidR="001B4C39" w:rsidRPr="00356510" w:rsidRDefault="001B4C39" w:rsidP="001B4C39">
      <w:pPr>
        <w:numPr>
          <w:ilvl w:val="0"/>
          <w:numId w:val="5"/>
        </w:numPr>
        <w:rPr>
          <w:rFonts w:cs="Arial"/>
          <w:szCs w:val="22"/>
        </w:rPr>
      </w:pPr>
      <w:r w:rsidRPr="00356510">
        <w:rPr>
          <w:rFonts w:cs="Arial"/>
          <w:szCs w:val="22"/>
        </w:rPr>
        <w:t>provide protective clothing</w:t>
      </w:r>
    </w:p>
    <w:p w:rsidR="001B4C39" w:rsidRPr="00356510" w:rsidRDefault="001B4C39" w:rsidP="001B4C39">
      <w:pPr>
        <w:numPr>
          <w:ilvl w:val="0"/>
          <w:numId w:val="5"/>
        </w:numPr>
        <w:rPr>
          <w:rFonts w:cs="Arial"/>
          <w:szCs w:val="22"/>
        </w:rPr>
      </w:pPr>
      <w:r w:rsidRPr="00356510">
        <w:rPr>
          <w:rFonts w:cs="Arial"/>
          <w:szCs w:val="22"/>
        </w:rPr>
        <w:t>provide labelling and warning signs</w:t>
      </w:r>
    </w:p>
    <w:p w:rsidR="001B4C39" w:rsidRPr="00356510" w:rsidRDefault="001B4C39" w:rsidP="001B4C39">
      <w:pPr>
        <w:numPr>
          <w:ilvl w:val="0"/>
          <w:numId w:val="5"/>
        </w:numPr>
        <w:rPr>
          <w:rFonts w:cs="Arial"/>
          <w:szCs w:val="22"/>
        </w:rPr>
      </w:pPr>
      <w:r w:rsidRPr="00356510">
        <w:rPr>
          <w:rFonts w:cs="Arial"/>
          <w:szCs w:val="22"/>
        </w:rPr>
        <w:t>provide washing facilities</w:t>
      </w:r>
    </w:p>
    <w:p w:rsidR="001B4C39" w:rsidRPr="00356510" w:rsidRDefault="001B4C39" w:rsidP="001B4C39">
      <w:pPr>
        <w:numPr>
          <w:ilvl w:val="0"/>
          <w:numId w:val="5"/>
        </w:numPr>
        <w:rPr>
          <w:rFonts w:cs="Arial"/>
          <w:szCs w:val="22"/>
        </w:rPr>
      </w:pPr>
      <w:r w:rsidRPr="00356510">
        <w:rPr>
          <w:rFonts w:cs="Arial"/>
          <w:szCs w:val="22"/>
        </w:rPr>
        <w:t>provide training</w:t>
      </w:r>
      <w:r w:rsidR="00EE781A">
        <w:rPr>
          <w:rFonts w:cs="Arial"/>
          <w:szCs w:val="22"/>
        </w:rPr>
        <w:t>, or</w:t>
      </w:r>
    </w:p>
    <w:p w:rsidR="001B4C39" w:rsidRPr="00356510" w:rsidRDefault="001B4C39" w:rsidP="001B4C39">
      <w:pPr>
        <w:numPr>
          <w:ilvl w:val="0"/>
          <w:numId w:val="5"/>
        </w:numPr>
        <w:rPr>
          <w:rFonts w:cs="Arial"/>
          <w:szCs w:val="22"/>
        </w:rPr>
      </w:pPr>
      <w:r w:rsidRPr="00356510">
        <w:rPr>
          <w:rFonts w:cs="Arial"/>
          <w:szCs w:val="22"/>
        </w:rPr>
        <w:t>nothing.</w:t>
      </w:r>
    </w:p>
    <w:p w:rsidR="001B4C39" w:rsidRPr="00356510" w:rsidRDefault="001B4C39" w:rsidP="001B4C39">
      <w:pPr>
        <w:rPr>
          <w:rFonts w:cs="Arial"/>
          <w:szCs w:val="22"/>
        </w:rPr>
      </w:pPr>
      <w:r w:rsidRPr="00356510">
        <w:rPr>
          <w:rFonts w:cs="Arial"/>
          <w:szCs w:val="22"/>
        </w:rPr>
        <w:t>Workers who reported the provision of gloves were also asked about the type of gloves they normally used.</w:t>
      </w:r>
    </w:p>
    <w:p w:rsidR="001B4C39" w:rsidRPr="00356510" w:rsidRDefault="001B4C39" w:rsidP="001B4C39">
      <w:pPr>
        <w:rPr>
          <w:rFonts w:cs="Arial"/>
          <w:szCs w:val="22"/>
        </w:rPr>
      </w:pPr>
      <w:r w:rsidRPr="00356510">
        <w:rPr>
          <w:rFonts w:cs="Arial"/>
          <w:szCs w:val="22"/>
        </w:rPr>
        <w:t>The percentages of workers</w:t>
      </w:r>
      <w:r w:rsidR="00401887">
        <w:rPr>
          <w:rFonts w:cs="Arial"/>
          <w:szCs w:val="22"/>
        </w:rPr>
        <w:t xml:space="preserve">, within each industry and overall, </w:t>
      </w:r>
      <w:r w:rsidR="00323947">
        <w:rPr>
          <w:rFonts w:cs="Arial"/>
          <w:szCs w:val="22"/>
        </w:rPr>
        <w:t xml:space="preserve">who were </w:t>
      </w:r>
      <w:r w:rsidRPr="00356510">
        <w:rPr>
          <w:rFonts w:cs="Arial"/>
          <w:szCs w:val="22"/>
        </w:rPr>
        <w:t xml:space="preserve">provided with the various control measures are presented in </w:t>
      </w:r>
      <w:r w:rsidR="00AB2546">
        <w:fldChar w:fldCharType="begin"/>
      </w:r>
      <w:r w:rsidR="000407E2">
        <w:instrText xml:space="preserve"> REF _Ref311722779 \h </w:instrText>
      </w:r>
      <w:r w:rsidR="00AB2546">
        <w:fldChar w:fldCharType="separate"/>
      </w:r>
      <w:r w:rsidR="00266EB2">
        <w:t xml:space="preserve">Table </w:t>
      </w:r>
      <w:r w:rsidR="00266EB2">
        <w:rPr>
          <w:noProof/>
        </w:rPr>
        <w:t>5</w:t>
      </w:r>
      <w:r w:rsidR="00AB2546">
        <w:fldChar w:fldCharType="end"/>
      </w:r>
      <w:r w:rsidR="00401887">
        <w:t xml:space="preserve"> </w:t>
      </w:r>
      <w:r w:rsidRPr="00356510">
        <w:rPr>
          <w:rFonts w:cs="Arial"/>
          <w:szCs w:val="22"/>
        </w:rPr>
        <w:t>and are discussed by control type below.</w:t>
      </w:r>
      <w:r w:rsidR="00D177FB">
        <w:rPr>
          <w:rFonts w:cs="Arial"/>
          <w:szCs w:val="22"/>
        </w:rPr>
        <w:t xml:space="preserve"> The percentages of workers who reported they were provided with the controls by other key demographic and employment characteristics are presented in </w:t>
      </w:r>
      <w:r w:rsidR="00AB2546">
        <w:rPr>
          <w:rFonts w:cs="Arial"/>
          <w:szCs w:val="22"/>
        </w:rPr>
        <w:fldChar w:fldCharType="begin"/>
      </w:r>
      <w:r w:rsidR="00D177FB">
        <w:rPr>
          <w:rFonts w:cs="Arial"/>
          <w:szCs w:val="22"/>
        </w:rPr>
        <w:instrText xml:space="preserve"> REF _Ref297199975 \h </w:instrText>
      </w:r>
      <w:r w:rsidR="00AB2546">
        <w:rPr>
          <w:rFonts w:cs="Arial"/>
          <w:szCs w:val="22"/>
        </w:rPr>
      </w:r>
      <w:r w:rsidR="00AB2546">
        <w:rPr>
          <w:rFonts w:cs="Arial"/>
          <w:szCs w:val="22"/>
        </w:rPr>
        <w:fldChar w:fldCharType="separate"/>
      </w:r>
      <w:r w:rsidR="00266EB2" w:rsidRPr="00356510">
        <w:t xml:space="preserve">Table </w:t>
      </w:r>
      <w:r w:rsidR="00266EB2">
        <w:rPr>
          <w:noProof/>
        </w:rPr>
        <w:t>10</w:t>
      </w:r>
      <w:r w:rsidR="00AB2546">
        <w:rPr>
          <w:rFonts w:cs="Arial"/>
          <w:szCs w:val="22"/>
        </w:rPr>
        <w:fldChar w:fldCharType="end"/>
      </w:r>
      <w:r w:rsidR="00D177FB">
        <w:rPr>
          <w:rFonts w:cs="Arial"/>
          <w:szCs w:val="22"/>
        </w:rPr>
        <w:t xml:space="preserve"> (Appendix B).</w:t>
      </w:r>
    </w:p>
    <w:p w:rsidR="006809DA" w:rsidRPr="00356510" w:rsidRDefault="00504A11" w:rsidP="006925CC">
      <w:pPr>
        <w:spacing w:after="0"/>
        <w:rPr>
          <w:rFonts w:cs="Arial"/>
          <w:szCs w:val="22"/>
        </w:rPr>
      </w:pPr>
      <w:r w:rsidRPr="00356510">
        <w:rPr>
          <w:rFonts w:cs="Arial"/>
          <w:szCs w:val="22"/>
        </w:rPr>
        <w:t xml:space="preserve">As for the self-reported chemical exposures, </w:t>
      </w:r>
      <w:r w:rsidR="00323947">
        <w:rPr>
          <w:rFonts w:cs="Arial"/>
          <w:szCs w:val="22"/>
        </w:rPr>
        <w:t xml:space="preserve">the </w:t>
      </w:r>
      <w:r w:rsidRPr="00356510">
        <w:rPr>
          <w:rFonts w:cs="Arial"/>
          <w:szCs w:val="22"/>
        </w:rPr>
        <w:t>d</w:t>
      </w:r>
      <w:r w:rsidR="001B4C39" w:rsidRPr="00356510">
        <w:rPr>
          <w:rFonts w:cs="Arial"/>
          <w:szCs w:val="22"/>
        </w:rPr>
        <w:t xml:space="preserve">ata </w:t>
      </w:r>
      <w:r w:rsidR="000843AE">
        <w:rPr>
          <w:rFonts w:cs="Arial"/>
          <w:szCs w:val="22"/>
        </w:rPr>
        <w:t xml:space="preserve">on controls </w:t>
      </w:r>
      <w:r w:rsidR="001B4C39" w:rsidRPr="00356510">
        <w:rPr>
          <w:rFonts w:cs="Arial"/>
          <w:szCs w:val="22"/>
        </w:rPr>
        <w:t>w</w:t>
      </w:r>
      <w:r w:rsidR="00323947">
        <w:rPr>
          <w:rFonts w:cs="Arial"/>
          <w:szCs w:val="22"/>
        </w:rPr>
        <w:t>ere</w:t>
      </w:r>
      <w:r w:rsidR="001B4C39" w:rsidRPr="00356510">
        <w:rPr>
          <w:rFonts w:cs="Arial"/>
          <w:szCs w:val="22"/>
        </w:rPr>
        <w:t xml:space="preserve"> analysed using univariate logistic regression</w:t>
      </w:r>
      <w:r w:rsidRPr="00356510">
        <w:rPr>
          <w:rFonts w:cs="Arial"/>
          <w:szCs w:val="22"/>
        </w:rPr>
        <w:t xml:space="preserve"> (data not reported)</w:t>
      </w:r>
      <w:r w:rsidR="001B4C39" w:rsidRPr="00356510">
        <w:rPr>
          <w:rFonts w:cs="Arial"/>
          <w:szCs w:val="22"/>
        </w:rPr>
        <w:t>. S</w:t>
      </w:r>
      <w:r w:rsidR="00323947">
        <w:rPr>
          <w:rFonts w:cs="Arial"/>
          <w:szCs w:val="22"/>
        </w:rPr>
        <w:t>tatistically important</w:t>
      </w:r>
      <w:r w:rsidR="001B4C39" w:rsidRPr="00356510">
        <w:rPr>
          <w:rFonts w:cs="Arial"/>
          <w:szCs w:val="22"/>
        </w:rPr>
        <w:t xml:space="preserve"> </w:t>
      </w:r>
      <w:r w:rsidR="00323947">
        <w:rPr>
          <w:rFonts w:cs="Arial"/>
          <w:szCs w:val="22"/>
        </w:rPr>
        <w:t>factors</w:t>
      </w:r>
      <w:r w:rsidR="001B4C39" w:rsidRPr="00356510">
        <w:rPr>
          <w:rFonts w:cs="Arial"/>
          <w:szCs w:val="22"/>
        </w:rPr>
        <w:t xml:space="preserve"> </w:t>
      </w:r>
      <w:r w:rsidR="00323947">
        <w:rPr>
          <w:rFonts w:cs="Arial"/>
          <w:szCs w:val="22"/>
        </w:rPr>
        <w:t>identified by the</w:t>
      </w:r>
      <w:r w:rsidR="001B4C39" w:rsidRPr="00356510">
        <w:rPr>
          <w:rFonts w:cs="Arial"/>
          <w:szCs w:val="22"/>
        </w:rPr>
        <w:t xml:space="preserve"> univariate mode</w:t>
      </w:r>
      <w:r w:rsidR="00323947">
        <w:rPr>
          <w:rFonts w:cs="Arial"/>
          <w:szCs w:val="22"/>
        </w:rPr>
        <w:t>ls were included in the multivariate</w:t>
      </w:r>
      <w:r w:rsidR="001B4C39" w:rsidRPr="00356510">
        <w:rPr>
          <w:rFonts w:cs="Arial"/>
          <w:szCs w:val="22"/>
        </w:rPr>
        <w:t xml:space="preserve"> logistic regression models. These models described the odds </w:t>
      </w:r>
      <w:r w:rsidR="00323947">
        <w:rPr>
          <w:rFonts w:cs="Arial"/>
          <w:szCs w:val="22"/>
        </w:rPr>
        <w:t>that control measures were provided</w:t>
      </w:r>
      <w:r w:rsidR="001B4C39" w:rsidRPr="00356510">
        <w:rPr>
          <w:rFonts w:cs="Arial"/>
          <w:szCs w:val="22"/>
        </w:rPr>
        <w:t xml:space="preserve"> with respect to employment and demographic factors. </w:t>
      </w:r>
      <w:r w:rsidR="00323947">
        <w:rPr>
          <w:rFonts w:cs="Arial"/>
          <w:szCs w:val="22"/>
        </w:rPr>
        <w:t>Although the m</w:t>
      </w:r>
      <w:r w:rsidR="001B4C39" w:rsidRPr="00356510">
        <w:rPr>
          <w:rFonts w:cs="Arial"/>
          <w:szCs w:val="22"/>
        </w:rPr>
        <w:t xml:space="preserve">odels for each of the control measures were run separately, </w:t>
      </w:r>
      <w:r w:rsidR="00323947">
        <w:rPr>
          <w:rFonts w:cs="Arial"/>
          <w:szCs w:val="22"/>
        </w:rPr>
        <w:t>they</w:t>
      </w:r>
      <w:r w:rsidR="001B4C39" w:rsidRPr="00356510">
        <w:rPr>
          <w:rFonts w:cs="Arial"/>
          <w:szCs w:val="22"/>
        </w:rPr>
        <w:t xml:space="preserve"> are presented in </w:t>
      </w:r>
      <w:r w:rsidR="00D60EB3">
        <w:rPr>
          <w:rFonts w:cs="Arial"/>
          <w:szCs w:val="22"/>
        </w:rPr>
        <w:t>one</w:t>
      </w:r>
      <w:r w:rsidR="001B4C39" w:rsidRPr="00356510">
        <w:rPr>
          <w:rFonts w:cs="Arial"/>
          <w:szCs w:val="22"/>
        </w:rPr>
        <w:t xml:space="preserve"> common table</w:t>
      </w:r>
      <w:r w:rsidR="00D60EB3">
        <w:rPr>
          <w:rFonts w:cs="Arial"/>
          <w:szCs w:val="22"/>
        </w:rPr>
        <w:t xml:space="preserve"> (</w:t>
      </w:r>
      <w:r w:rsidR="00AB2546">
        <w:rPr>
          <w:rFonts w:cs="Arial"/>
          <w:szCs w:val="22"/>
        </w:rPr>
        <w:fldChar w:fldCharType="begin"/>
      </w:r>
      <w:r w:rsidR="006925CC">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00D60EB3">
        <w:rPr>
          <w:rFonts w:cs="Arial"/>
          <w:szCs w:val="22"/>
        </w:rPr>
        <w:t>)</w:t>
      </w:r>
      <w:r w:rsidR="001B4C39" w:rsidRPr="00356510">
        <w:rPr>
          <w:rFonts w:cs="Arial"/>
          <w:szCs w:val="22"/>
        </w:rPr>
        <w:t xml:space="preserve">, with the same </w:t>
      </w:r>
      <w:r w:rsidR="00323947">
        <w:rPr>
          <w:rFonts w:cs="Arial"/>
          <w:szCs w:val="22"/>
        </w:rPr>
        <w:t>factors</w:t>
      </w:r>
      <w:r w:rsidR="001B4C39" w:rsidRPr="00356510">
        <w:rPr>
          <w:rFonts w:cs="Arial"/>
          <w:szCs w:val="22"/>
        </w:rPr>
        <w:t xml:space="preserve"> for ease of compar</w:t>
      </w:r>
      <w:r w:rsidR="00323947">
        <w:rPr>
          <w:rFonts w:cs="Arial"/>
          <w:szCs w:val="22"/>
        </w:rPr>
        <w:t>ison. If a factor</w:t>
      </w:r>
      <w:r w:rsidR="001B4C39" w:rsidRPr="00356510">
        <w:rPr>
          <w:rFonts w:cs="Arial"/>
          <w:szCs w:val="22"/>
        </w:rPr>
        <w:t xml:space="preserve"> was </w:t>
      </w:r>
      <w:r w:rsidR="00323947">
        <w:rPr>
          <w:rFonts w:cs="Arial"/>
          <w:szCs w:val="22"/>
        </w:rPr>
        <w:t>statistically significant</w:t>
      </w:r>
      <w:r w:rsidR="001B4C39" w:rsidRPr="00356510">
        <w:rPr>
          <w:rFonts w:cs="Arial"/>
          <w:szCs w:val="22"/>
        </w:rPr>
        <w:t xml:space="preserve"> in a model for one control measure it was retained for all models.</w:t>
      </w:r>
      <w:r w:rsidR="006A1B10" w:rsidRPr="00356510">
        <w:rPr>
          <w:rFonts w:cs="Arial"/>
          <w:szCs w:val="22"/>
        </w:rPr>
        <w:t xml:space="preserve"> </w:t>
      </w:r>
      <w:r w:rsidR="001B4C39" w:rsidRPr="00356510">
        <w:rPr>
          <w:rFonts w:cs="Arial"/>
          <w:szCs w:val="22"/>
        </w:rPr>
        <w:t>S</w:t>
      </w:r>
      <w:r w:rsidR="00323947">
        <w:rPr>
          <w:rFonts w:cs="Arial"/>
          <w:szCs w:val="22"/>
        </w:rPr>
        <w:t>tatistically s</w:t>
      </w:r>
      <w:r w:rsidR="001B4C39" w:rsidRPr="00356510">
        <w:rPr>
          <w:rFonts w:cs="Arial"/>
          <w:szCs w:val="22"/>
        </w:rPr>
        <w:t>ignificant associations</w:t>
      </w:r>
      <w:r w:rsidR="00323947">
        <w:rPr>
          <w:rFonts w:cs="Arial"/>
          <w:szCs w:val="22"/>
        </w:rPr>
        <w:t xml:space="preserve"> </w:t>
      </w:r>
      <w:r w:rsidR="001B4C39" w:rsidRPr="00356510">
        <w:rPr>
          <w:rFonts w:cs="Arial"/>
          <w:szCs w:val="22"/>
        </w:rPr>
        <w:t xml:space="preserve">have been highlighted </w:t>
      </w:r>
      <w:r w:rsidR="00323947">
        <w:rPr>
          <w:rFonts w:cs="Arial"/>
          <w:szCs w:val="22"/>
        </w:rPr>
        <w:t xml:space="preserve">in bold font </w:t>
      </w:r>
      <w:r w:rsidR="001B4C39" w:rsidRPr="00356510">
        <w:rPr>
          <w:rFonts w:cs="Arial"/>
          <w:szCs w:val="22"/>
        </w:rPr>
        <w:t xml:space="preserve">in the tables. Model diagnostics (Hosmer-Lemeshow goodness of fit tests) are presented at the bottom of each model. </w:t>
      </w:r>
      <w:r w:rsidR="00EC1A4C">
        <w:rPr>
          <w:rFonts w:cs="Arial"/>
          <w:szCs w:val="22"/>
        </w:rPr>
        <w:t>All models included 1250 observations and a</w:t>
      </w:r>
      <w:r w:rsidR="001B4C39" w:rsidRPr="00356510">
        <w:rPr>
          <w:rFonts w:cs="Arial"/>
          <w:szCs w:val="22"/>
        </w:rPr>
        <w:t>ll models showed acceptable fit.</w:t>
      </w:r>
    </w:p>
    <w:p w:rsidR="00375D44" w:rsidRDefault="00163515" w:rsidP="00C466DC">
      <w:pPr>
        <w:pStyle w:val="Heading3"/>
      </w:pPr>
      <w:bookmarkStart w:id="79" w:name="_Toc280100825"/>
      <w:r w:rsidRPr="00356510">
        <w:br w:type="page"/>
      </w:r>
      <w:bookmarkEnd w:id="79"/>
    </w:p>
    <w:p w:rsidR="00401887" w:rsidRDefault="00401887" w:rsidP="00401887">
      <w:pPr>
        <w:pStyle w:val="Caption"/>
        <w:keepNext/>
      </w:pPr>
      <w:bookmarkStart w:id="80" w:name="_Ref311722779"/>
      <w:bookmarkStart w:id="81" w:name="_Toc314730500"/>
      <w:r>
        <w:lastRenderedPageBreak/>
        <w:t xml:space="preserve">Table </w:t>
      </w:r>
      <w:r w:rsidR="00AB2546">
        <w:fldChar w:fldCharType="begin"/>
      </w:r>
      <w:r>
        <w:instrText xml:space="preserve"> SEQ Table \* ARABIC </w:instrText>
      </w:r>
      <w:r w:rsidR="00AB2546">
        <w:fldChar w:fldCharType="separate"/>
      </w:r>
      <w:r w:rsidR="00266EB2">
        <w:rPr>
          <w:noProof/>
        </w:rPr>
        <w:t>5</w:t>
      </w:r>
      <w:r w:rsidR="00AB2546">
        <w:fldChar w:fldCharType="end"/>
      </w:r>
      <w:bookmarkEnd w:id="80"/>
      <w:r>
        <w:t xml:space="preserve">. The provision of controls for dermal chemical exposure: </w:t>
      </w:r>
      <w:r w:rsidR="00D224B4">
        <w:t>the percentage</w:t>
      </w:r>
      <w:r>
        <w:t xml:space="preserve"> of workers who reported </w:t>
      </w:r>
      <w:r w:rsidR="00D224B4">
        <w:t xml:space="preserve">each type of </w:t>
      </w:r>
      <w:r>
        <w:t>control w</w:t>
      </w:r>
      <w:r w:rsidR="00D224B4">
        <w:t>as</w:t>
      </w:r>
      <w:r>
        <w:t xml:space="preserve"> provided within industry</w:t>
      </w:r>
      <w:bookmarkEnd w:id="81"/>
    </w:p>
    <w:tbl>
      <w:tblPr>
        <w:tblStyle w:val="TableGrid"/>
        <w:tblW w:w="5000" w:type="pct"/>
        <w:tblLook w:val="04A0"/>
      </w:tblPr>
      <w:tblGrid>
        <w:gridCol w:w="2807"/>
        <w:gridCol w:w="940"/>
        <w:gridCol w:w="1184"/>
        <w:gridCol w:w="1094"/>
        <w:gridCol w:w="1050"/>
        <w:gridCol w:w="1106"/>
        <w:gridCol w:w="1061"/>
      </w:tblGrid>
      <w:tr w:rsidR="00553BED" w:rsidRPr="00375D44" w:rsidTr="009852D2">
        <w:tc>
          <w:tcPr>
            <w:tcW w:w="1519" w:type="pct"/>
            <w:vMerge w:val="restart"/>
            <w:tcBorders>
              <w:top w:val="single" w:sz="12" w:space="0" w:color="auto"/>
              <w:right w:val="single" w:sz="4" w:space="0" w:color="auto"/>
            </w:tcBorders>
            <w:vAlign w:val="bottom"/>
          </w:tcPr>
          <w:p w:rsidR="00553BED" w:rsidRPr="009852D2" w:rsidRDefault="00553BED" w:rsidP="00553BED">
            <w:pPr>
              <w:spacing w:before="40" w:after="40"/>
              <w:rPr>
                <w:b/>
                <w:sz w:val="20"/>
                <w:szCs w:val="20"/>
              </w:rPr>
            </w:pPr>
            <w:r w:rsidRPr="009852D2">
              <w:rPr>
                <w:b/>
                <w:sz w:val="20"/>
                <w:szCs w:val="20"/>
              </w:rPr>
              <w:t>Industry</w:t>
            </w:r>
          </w:p>
        </w:tc>
        <w:tc>
          <w:tcPr>
            <w:tcW w:w="3481" w:type="pct"/>
            <w:gridSpan w:val="6"/>
            <w:tcBorders>
              <w:top w:val="single" w:sz="12" w:space="0" w:color="auto"/>
              <w:left w:val="single" w:sz="4" w:space="0" w:color="auto"/>
              <w:bottom w:val="single" w:sz="4" w:space="0" w:color="auto"/>
              <w:right w:val="single" w:sz="4" w:space="0" w:color="auto"/>
            </w:tcBorders>
            <w:shd w:val="clear" w:color="auto" w:fill="808080" w:themeFill="background1" w:themeFillShade="80"/>
            <w:vAlign w:val="center"/>
          </w:tcPr>
          <w:p w:rsidR="00553BED" w:rsidRPr="009852D2" w:rsidRDefault="00553BED" w:rsidP="00553BED">
            <w:pPr>
              <w:spacing w:before="40" w:after="40"/>
              <w:jc w:val="center"/>
              <w:rPr>
                <w:b/>
                <w:color w:val="FFFFFF" w:themeColor="background1"/>
                <w:sz w:val="20"/>
                <w:szCs w:val="20"/>
              </w:rPr>
            </w:pPr>
            <w:r w:rsidRPr="009852D2">
              <w:rPr>
                <w:b/>
                <w:color w:val="FFFFFF" w:themeColor="background1"/>
                <w:sz w:val="20"/>
                <w:szCs w:val="20"/>
              </w:rPr>
              <w:t>The percentage of workers within industries who reported each of the controls were provided, or that none of the surveyed controls were provided</w:t>
            </w:r>
          </w:p>
        </w:tc>
      </w:tr>
      <w:tr w:rsidR="00553BED" w:rsidRPr="00375D44" w:rsidTr="00401887">
        <w:tc>
          <w:tcPr>
            <w:tcW w:w="1519" w:type="pct"/>
            <w:vMerge/>
            <w:tcBorders>
              <w:bottom w:val="single" w:sz="12" w:space="0" w:color="auto"/>
            </w:tcBorders>
          </w:tcPr>
          <w:p w:rsidR="00553BED" w:rsidRPr="009852D2" w:rsidRDefault="00553BED" w:rsidP="00375D44">
            <w:pPr>
              <w:spacing w:before="40" w:after="40"/>
              <w:rPr>
                <w:b/>
                <w:sz w:val="20"/>
                <w:szCs w:val="20"/>
              </w:rPr>
            </w:pPr>
          </w:p>
        </w:tc>
        <w:tc>
          <w:tcPr>
            <w:tcW w:w="509"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Gloves</w:t>
            </w:r>
          </w:p>
        </w:tc>
        <w:tc>
          <w:tcPr>
            <w:tcW w:w="641"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Protective clothing</w:t>
            </w:r>
          </w:p>
        </w:tc>
        <w:tc>
          <w:tcPr>
            <w:tcW w:w="592"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Labelling and warning signs</w:t>
            </w:r>
          </w:p>
        </w:tc>
        <w:tc>
          <w:tcPr>
            <w:tcW w:w="568"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Washing facilities</w:t>
            </w:r>
          </w:p>
        </w:tc>
        <w:tc>
          <w:tcPr>
            <w:tcW w:w="598"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Chemical safety training</w:t>
            </w:r>
          </w:p>
        </w:tc>
        <w:tc>
          <w:tcPr>
            <w:tcW w:w="574" w:type="pct"/>
            <w:tcBorders>
              <w:top w:val="single" w:sz="4" w:space="0" w:color="auto"/>
              <w:bottom w:val="single" w:sz="12" w:space="0" w:color="auto"/>
            </w:tcBorders>
            <w:vAlign w:val="bottom"/>
          </w:tcPr>
          <w:p w:rsidR="00553BED" w:rsidRPr="009852D2" w:rsidRDefault="00553BED" w:rsidP="00553BED">
            <w:pPr>
              <w:spacing w:before="40" w:after="40"/>
              <w:jc w:val="center"/>
              <w:rPr>
                <w:b/>
                <w:sz w:val="20"/>
                <w:szCs w:val="20"/>
              </w:rPr>
            </w:pPr>
            <w:r w:rsidRPr="009852D2">
              <w:rPr>
                <w:b/>
                <w:sz w:val="20"/>
                <w:szCs w:val="20"/>
              </w:rPr>
              <w:t>Nothing provided</w:t>
            </w:r>
          </w:p>
        </w:tc>
      </w:tr>
      <w:tr w:rsidR="00747E66" w:rsidRPr="00375D44" w:rsidTr="00401887">
        <w:tc>
          <w:tcPr>
            <w:tcW w:w="1519" w:type="pct"/>
            <w:tcBorders>
              <w:top w:val="single" w:sz="12" w:space="0" w:color="auto"/>
            </w:tcBorders>
          </w:tcPr>
          <w:p w:rsidR="00375D44" w:rsidRPr="00375D44" w:rsidRDefault="00375D44" w:rsidP="00375D44">
            <w:pPr>
              <w:spacing w:before="40" w:after="40"/>
              <w:rPr>
                <w:sz w:val="20"/>
                <w:szCs w:val="20"/>
              </w:rPr>
            </w:pPr>
            <w:r>
              <w:rPr>
                <w:sz w:val="20"/>
                <w:szCs w:val="20"/>
              </w:rPr>
              <w:t>Manufacturing</w:t>
            </w:r>
          </w:p>
        </w:tc>
        <w:tc>
          <w:tcPr>
            <w:tcW w:w="509"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87.3</w:t>
            </w:r>
          </w:p>
        </w:tc>
        <w:tc>
          <w:tcPr>
            <w:tcW w:w="641"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65.7</w:t>
            </w:r>
          </w:p>
        </w:tc>
        <w:tc>
          <w:tcPr>
            <w:tcW w:w="592"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77.6</w:t>
            </w:r>
          </w:p>
        </w:tc>
        <w:tc>
          <w:tcPr>
            <w:tcW w:w="568"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87.7</w:t>
            </w:r>
          </w:p>
        </w:tc>
        <w:tc>
          <w:tcPr>
            <w:tcW w:w="598"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59.3</w:t>
            </w:r>
          </w:p>
        </w:tc>
        <w:tc>
          <w:tcPr>
            <w:tcW w:w="574" w:type="pct"/>
            <w:tcBorders>
              <w:top w:val="single" w:sz="12" w:space="0" w:color="auto"/>
            </w:tcBorders>
            <w:vAlign w:val="center"/>
          </w:tcPr>
          <w:p w:rsidR="00375D44" w:rsidRPr="00375D44" w:rsidRDefault="00A5438C" w:rsidP="009852D2">
            <w:pPr>
              <w:spacing w:before="40" w:after="40"/>
              <w:jc w:val="center"/>
              <w:rPr>
                <w:sz w:val="20"/>
                <w:szCs w:val="20"/>
              </w:rPr>
            </w:pPr>
            <w:r>
              <w:rPr>
                <w:sz w:val="20"/>
                <w:szCs w:val="20"/>
              </w:rPr>
              <w:t>4.9</w:t>
            </w:r>
          </w:p>
        </w:tc>
      </w:tr>
      <w:tr w:rsidR="00747E66" w:rsidRPr="00375D44" w:rsidTr="00401887">
        <w:tc>
          <w:tcPr>
            <w:tcW w:w="1519" w:type="pct"/>
          </w:tcPr>
          <w:p w:rsidR="00375D44" w:rsidRPr="00375D44" w:rsidRDefault="00375D44" w:rsidP="00375D44">
            <w:pPr>
              <w:spacing w:before="40" w:after="40"/>
              <w:rPr>
                <w:sz w:val="20"/>
                <w:szCs w:val="20"/>
              </w:rPr>
            </w:pPr>
            <w:r>
              <w:rPr>
                <w:sz w:val="20"/>
                <w:szCs w:val="20"/>
              </w:rPr>
              <w:t>Transport &amp; storage</w:t>
            </w:r>
          </w:p>
        </w:tc>
        <w:tc>
          <w:tcPr>
            <w:tcW w:w="509" w:type="pct"/>
            <w:vAlign w:val="center"/>
          </w:tcPr>
          <w:p w:rsidR="00375D44" w:rsidRPr="00375D44" w:rsidRDefault="00A5438C" w:rsidP="009852D2">
            <w:pPr>
              <w:spacing w:before="40" w:after="40"/>
              <w:jc w:val="center"/>
              <w:rPr>
                <w:sz w:val="20"/>
                <w:szCs w:val="20"/>
              </w:rPr>
            </w:pPr>
            <w:r>
              <w:rPr>
                <w:sz w:val="20"/>
                <w:szCs w:val="20"/>
              </w:rPr>
              <w:t>78.2</w:t>
            </w:r>
          </w:p>
        </w:tc>
        <w:tc>
          <w:tcPr>
            <w:tcW w:w="641" w:type="pct"/>
            <w:vAlign w:val="center"/>
          </w:tcPr>
          <w:p w:rsidR="00375D44" w:rsidRPr="00375D44" w:rsidRDefault="00A5438C" w:rsidP="009852D2">
            <w:pPr>
              <w:spacing w:before="40" w:after="40"/>
              <w:jc w:val="center"/>
              <w:rPr>
                <w:sz w:val="20"/>
                <w:szCs w:val="20"/>
              </w:rPr>
            </w:pPr>
            <w:r>
              <w:rPr>
                <w:sz w:val="20"/>
                <w:szCs w:val="20"/>
              </w:rPr>
              <w:t>65.3</w:t>
            </w:r>
          </w:p>
        </w:tc>
        <w:tc>
          <w:tcPr>
            <w:tcW w:w="592" w:type="pct"/>
            <w:vAlign w:val="center"/>
          </w:tcPr>
          <w:p w:rsidR="00375D44" w:rsidRPr="00375D44" w:rsidRDefault="00A5438C" w:rsidP="009852D2">
            <w:pPr>
              <w:spacing w:before="40" w:after="40"/>
              <w:jc w:val="center"/>
              <w:rPr>
                <w:sz w:val="20"/>
                <w:szCs w:val="20"/>
              </w:rPr>
            </w:pPr>
            <w:r>
              <w:rPr>
                <w:sz w:val="20"/>
                <w:szCs w:val="20"/>
              </w:rPr>
              <w:t>73.4</w:t>
            </w:r>
          </w:p>
        </w:tc>
        <w:tc>
          <w:tcPr>
            <w:tcW w:w="568" w:type="pct"/>
            <w:vAlign w:val="center"/>
          </w:tcPr>
          <w:p w:rsidR="00375D44" w:rsidRPr="00375D44" w:rsidRDefault="00A5438C" w:rsidP="009852D2">
            <w:pPr>
              <w:spacing w:before="40" w:after="40"/>
              <w:jc w:val="center"/>
              <w:rPr>
                <w:sz w:val="20"/>
                <w:szCs w:val="20"/>
              </w:rPr>
            </w:pPr>
            <w:r>
              <w:rPr>
                <w:sz w:val="20"/>
                <w:szCs w:val="20"/>
              </w:rPr>
              <w:t>85.5</w:t>
            </w:r>
          </w:p>
        </w:tc>
        <w:tc>
          <w:tcPr>
            <w:tcW w:w="598" w:type="pct"/>
            <w:vAlign w:val="center"/>
          </w:tcPr>
          <w:p w:rsidR="00375D44" w:rsidRPr="00375D44" w:rsidRDefault="00A5438C" w:rsidP="009852D2">
            <w:pPr>
              <w:spacing w:before="40" w:after="40"/>
              <w:jc w:val="center"/>
              <w:rPr>
                <w:sz w:val="20"/>
                <w:szCs w:val="20"/>
              </w:rPr>
            </w:pPr>
            <w:r>
              <w:rPr>
                <w:sz w:val="20"/>
                <w:szCs w:val="20"/>
              </w:rPr>
              <w:t>61.3</w:t>
            </w:r>
          </w:p>
        </w:tc>
        <w:tc>
          <w:tcPr>
            <w:tcW w:w="574" w:type="pct"/>
            <w:vAlign w:val="center"/>
          </w:tcPr>
          <w:p w:rsidR="00375D44" w:rsidRPr="00375D44" w:rsidRDefault="00A5438C" w:rsidP="009852D2">
            <w:pPr>
              <w:spacing w:before="40" w:after="40"/>
              <w:jc w:val="center"/>
              <w:rPr>
                <w:sz w:val="20"/>
                <w:szCs w:val="20"/>
              </w:rPr>
            </w:pPr>
            <w:r>
              <w:rPr>
                <w:sz w:val="20"/>
                <w:szCs w:val="20"/>
              </w:rPr>
              <w:t>5.7</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Construction</w:t>
            </w:r>
          </w:p>
        </w:tc>
        <w:tc>
          <w:tcPr>
            <w:tcW w:w="509" w:type="pct"/>
            <w:vAlign w:val="center"/>
          </w:tcPr>
          <w:p w:rsidR="00375D44" w:rsidRPr="00375D44" w:rsidRDefault="00A5438C" w:rsidP="009852D2">
            <w:pPr>
              <w:spacing w:before="40" w:after="40"/>
              <w:jc w:val="center"/>
              <w:rPr>
                <w:sz w:val="20"/>
                <w:szCs w:val="20"/>
              </w:rPr>
            </w:pPr>
            <w:r>
              <w:rPr>
                <w:sz w:val="20"/>
                <w:szCs w:val="20"/>
              </w:rPr>
              <w:t>73.2</w:t>
            </w:r>
          </w:p>
        </w:tc>
        <w:tc>
          <w:tcPr>
            <w:tcW w:w="641" w:type="pct"/>
            <w:vAlign w:val="center"/>
          </w:tcPr>
          <w:p w:rsidR="00375D44" w:rsidRPr="00375D44" w:rsidRDefault="00A5438C" w:rsidP="009852D2">
            <w:pPr>
              <w:spacing w:before="40" w:after="40"/>
              <w:jc w:val="center"/>
              <w:rPr>
                <w:sz w:val="20"/>
                <w:szCs w:val="20"/>
              </w:rPr>
            </w:pPr>
            <w:r>
              <w:rPr>
                <w:sz w:val="20"/>
                <w:szCs w:val="20"/>
              </w:rPr>
              <w:t>55.3</w:t>
            </w:r>
          </w:p>
        </w:tc>
        <w:tc>
          <w:tcPr>
            <w:tcW w:w="592" w:type="pct"/>
            <w:vAlign w:val="center"/>
          </w:tcPr>
          <w:p w:rsidR="00375D44" w:rsidRPr="00375D44" w:rsidRDefault="00A5438C" w:rsidP="009852D2">
            <w:pPr>
              <w:spacing w:before="40" w:after="40"/>
              <w:jc w:val="center"/>
              <w:rPr>
                <w:sz w:val="20"/>
                <w:szCs w:val="20"/>
              </w:rPr>
            </w:pPr>
            <w:r>
              <w:rPr>
                <w:sz w:val="20"/>
                <w:szCs w:val="20"/>
              </w:rPr>
              <w:t>51.5</w:t>
            </w:r>
          </w:p>
        </w:tc>
        <w:tc>
          <w:tcPr>
            <w:tcW w:w="568" w:type="pct"/>
            <w:vAlign w:val="center"/>
          </w:tcPr>
          <w:p w:rsidR="00375D44" w:rsidRPr="00375D44" w:rsidRDefault="00A5438C" w:rsidP="009852D2">
            <w:pPr>
              <w:spacing w:before="40" w:after="40"/>
              <w:jc w:val="center"/>
              <w:rPr>
                <w:sz w:val="20"/>
                <w:szCs w:val="20"/>
              </w:rPr>
            </w:pPr>
            <w:r>
              <w:rPr>
                <w:sz w:val="20"/>
                <w:szCs w:val="20"/>
              </w:rPr>
              <w:t>68.5</w:t>
            </w:r>
          </w:p>
        </w:tc>
        <w:tc>
          <w:tcPr>
            <w:tcW w:w="598" w:type="pct"/>
            <w:vAlign w:val="center"/>
          </w:tcPr>
          <w:p w:rsidR="00375D44" w:rsidRPr="00375D44" w:rsidRDefault="00A5438C" w:rsidP="009852D2">
            <w:pPr>
              <w:spacing w:before="40" w:after="40"/>
              <w:jc w:val="center"/>
              <w:rPr>
                <w:sz w:val="20"/>
                <w:szCs w:val="20"/>
              </w:rPr>
            </w:pPr>
            <w:r>
              <w:rPr>
                <w:sz w:val="20"/>
                <w:szCs w:val="20"/>
              </w:rPr>
              <w:t>49.8</w:t>
            </w:r>
          </w:p>
        </w:tc>
        <w:tc>
          <w:tcPr>
            <w:tcW w:w="574" w:type="pct"/>
            <w:vAlign w:val="center"/>
          </w:tcPr>
          <w:p w:rsidR="00375D44" w:rsidRPr="00375D44" w:rsidRDefault="00A5438C" w:rsidP="009852D2">
            <w:pPr>
              <w:spacing w:before="40" w:after="40"/>
              <w:jc w:val="center"/>
              <w:rPr>
                <w:sz w:val="20"/>
                <w:szCs w:val="20"/>
              </w:rPr>
            </w:pPr>
            <w:r>
              <w:rPr>
                <w:sz w:val="20"/>
                <w:szCs w:val="20"/>
              </w:rPr>
              <w:t>11.5</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Agriculture, forestry &amp; fishing</w:t>
            </w:r>
          </w:p>
        </w:tc>
        <w:tc>
          <w:tcPr>
            <w:tcW w:w="509" w:type="pct"/>
            <w:vAlign w:val="center"/>
          </w:tcPr>
          <w:p w:rsidR="00375D44" w:rsidRPr="00375D44" w:rsidRDefault="00A5438C" w:rsidP="009852D2">
            <w:pPr>
              <w:spacing w:before="40" w:after="40"/>
              <w:jc w:val="center"/>
              <w:rPr>
                <w:sz w:val="20"/>
                <w:szCs w:val="20"/>
              </w:rPr>
            </w:pPr>
            <w:r>
              <w:rPr>
                <w:sz w:val="20"/>
                <w:szCs w:val="20"/>
              </w:rPr>
              <w:t>85.6</w:t>
            </w:r>
          </w:p>
        </w:tc>
        <w:tc>
          <w:tcPr>
            <w:tcW w:w="641" w:type="pct"/>
            <w:vAlign w:val="center"/>
          </w:tcPr>
          <w:p w:rsidR="00375D44" w:rsidRPr="00375D44" w:rsidRDefault="00A5438C" w:rsidP="009852D2">
            <w:pPr>
              <w:spacing w:before="40" w:after="40"/>
              <w:jc w:val="center"/>
              <w:rPr>
                <w:sz w:val="20"/>
                <w:szCs w:val="20"/>
              </w:rPr>
            </w:pPr>
            <w:r>
              <w:rPr>
                <w:sz w:val="20"/>
                <w:szCs w:val="20"/>
              </w:rPr>
              <w:t>70.6</w:t>
            </w:r>
          </w:p>
        </w:tc>
        <w:tc>
          <w:tcPr>
            <w:tcW w:w="592" w:type="pct"/>
            <w:vAlign w:val="center"/>
          </w:tcPr>
          <w:p w:rsidR="00375D44" w:rsidRPr="00375D44" w:rsidRDefault="00A5438C" w:rsidP="009852D2">
            <w:pPr>
              <w:spacing w:before="40" w:after="40"/>
              <w:jc w:val="center"/>
              <w:rPr>
                <w:sz w:val="20"/>
                <w:szCs w:val="20"/>
              </w:rPr>
            </w:pPr>
            <w:r>
              <w:rPr>
                <w:sz w:val="20"/>
                <w:szCs w:val="20"/>
              </w:rPr>
              <w:t>66.9</w:t>
            </w:r>
          </w:p>
        </w:tc>
        <w:tc>
          <w:tcPr>
            <w:tcW w:w="568" w:type="pct"/>
            <w:vAlign w:val="center"/>
          </w:tcPr>
          <w:p w:rsidR="00375D44" w:rsidRPr="00375D44" w:rsidRDefault="00A5438C" w:rsidP="009852D2">
            <w:pPr>
              <w:spacing w:before="40" w:after="40"/>
              <w:jc w:val="center"/>
              <w:rPr>
                <w:sz w:val="20"/>
                <w:szCs w:val="20"/>
              </w:rPr>
            </w:pPr>
            <w:r>
              <w:rPr>
                <w:sz w:val="20"/>
                <w:szCs w:val="20"/>
              </w:rPr>
              <w:t>83.1</w:t>
            </w:r>
          </w:p>
        </w:tc>
        <w:tc>
          <w:tcPr>
            <w:tcW w:w="598" w:type="pct"/>
            <w:vAlign w:val="center"/>
          </w:tcPr>
          <w:p w:rsidR="00375D44" w:rsidRPr="00375D44" w:rsidRDefault="00A5438C" w:rsidP="009852D2">
            <w:pPr>
              <w:spacing w:before="40" w:after="40"/>
              <w:jc w:val="center"/>
              <w:rPr>
                <w:sz w:val="20"/>
                <w:szCs w:val="20"/>
              </w:rPr>
            </w:pPr>
            <w:r>
              <w:rPr>
                <w:sz w:val="20"/>
                <w:szCs w:val="20"/>
              </w:rPr>
              <w:t>61.9</w:t>
            </w:r>
          </w:p>
        </w:tc>
        <w:tc>
          <w:tcPr>
            <w:tcW w:w="574" w:type="pct"/>
            <w:vAlign w:val="center"/>
          </w:tcPr>
          <w:p w:rsidR="00375D44" w:rsidRPr="00375D44" w:rsidRDefault="00A5438C" w:rsidP="009852D2">
            <w:pPr>
              <w:spacing w:before="40" w:after="40"/>
              <w:jc w:val="center"/>
              <w:rPr>
                <w:sz w:val="20"/>
                <w:szCs w:val="20"/>
              </w:rPr>
            </w:pPr>
            <w:r>
              <w:rPr>
                <w:sz w:val="20"/>
                <w:szCs w:val="20"/>
              </w:rPr>
              <w:t>6.9</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Health &amp; community services</w:t>
            </w:r>
          </w:p>
        </w:tc>
        <w:tc>
          <w:tcPr>
            <w:tcW w:w="509" w:type="pct"/>
            <w:vAlign w:val="center"/>
          </w:tcPr>
          <w:p w:rsidR="00375D44" w:rsidRPr="00375D44" w:rsidRDefault="00A5438C" w:rsidP="009852D2">
            <w:pPr>
              <w:spacing w:before="40" w:after="40"/>
              <w:jc w:val="center"/>
              <w:rPr>
                <w:sz w:val="20"/>
                <w:szCs w:val="20"/>
              </w:rPr>
            </w:pPr>
            <w:r>
              <w:rPr>
                <w:sz w:val="20"/>
                <w:szCs w:val="20"/>
              </w:rPr>
              <w:t>92.0</w:t>
            </w:r>
          </w:p>
        </w:tc>
        <w:tc>
          <w:tcPr>
            <w:tcW w:w="641" w:type="pct"/>
            <w:vAlign w:val="center"/>
          </w:tcPr>
          <w:p w:rsidR="00375D44" w:rsidRPr="00375D44" w:rsidRDefault="00A5438C" w:rsidP="009852D2">
            <w:pPr>
              <w:spacing w:before="40" w:after="40"/>
              <w:jc w:val="center"/>
              <w:rPr>
                <w:sz w:val="20"/>
                <w:szCs w:val="20"/>
              </w:rPr>
            </w:pPr>
            <w:r>
              <w:rPr>
                <w:sz w:val="20"/>
                <w:szCs w:val="20"/>
              </w:rPr>
              <w:t>67.0</w:t>
            </w:r>
          </w:p>
        </w:tc>
        <w:tc>
          <w:tcPr>
            <w:tcW w:w="592" w:type="pct"/>
            <w:vAlign w:val="center"/>
          </w:tcPr>
          <w:p w:rsidR="00375D44" w:rsidRPr="00375D44" w:rsidRDefault="00A5438C" w:rsidP="009852D2">
            <w:pPr>
              <w:spacing w:before="40" w:after="40"/>
              <w:jc w:val="center"/>
              <w:rPr>
                <w:sz w:val="20"/>
                <w:szCs w:val="20"/>
              </w:rPr>
            </w:pPr>
            <w:r>
              <w:rPr>
                <w:sz w:val="20"/>
                <w:szCs w:val="20"/>
              </w:rPr>
              <w:t>80.53</w:t>
            </w:r>
          </w:p>
        </w:tc>
        <w:tc>
          <w:tcPr>
            <w:tcW w:w="568" w:type="pct"/>
            <w:vAlign w:val="center"/>
          </w:tcPr>
          <w:p w:rsidR="00375D44" w:rsidRPr="00375D44" w:rsidRDefault="00A5438C" w:rsidP="009852D2">
            <w:pPr>
              <w:spacing w:before="40" w:after="40"/>
              <w:jc w:val="center"/>
              <w:rPr>
                <w:sz w:val="20"/>
                <w:szCs w:val="20"/>
              </w:rPr>
            </w:pPr>
            <w:r>
              <w:rPr>
                <w:sz w:val="20"/>
                <w:szCs w:val="20"/>
              </w:rPr>
              <w:t>92.7</w:t>
            </w:r>
          </w:p>
        </w:tc>
        <w:tc>
          <w:tcPr>
            <w:tcW w:w="598" w:type="pct"/>
            <w:vAlign w:val="center"/>
          </w:tcPr>
          <w:p w:rsidR="00375D44" w:rsidRPr="00375D44" w:rsidRDefault="00A5438C" w:rsidP="009852D2">
            <w:pPr>
              <w:spacing w:before="40" w:after="40"/>
              <w:jc w:val="center"/>
              <w:rPr>
                <w:sz w:val="20"/>
                <w:szCs w:val="20"/>
              </w:rPr>
            </w:pPr>
            <w:r>
              <w:rPr>
                <w:sz w:val="20"/>
                <w:szCs w:val="20"/>
              </w:rPr>
              <w:t>75.4</w:t>
            </w:r>
          </w:p>
        </w:tc>
        <w:tc>
          <w:tcPr>
            <w:tcW w:w="574" w:type="pct"/>
            <w:vAlign w:val="center"/>
          </w:tcPr>
          <w:p w:rsidR="00375D44" w:rsidRPr="00375D44" w:rsidRDefault="00A5438C" w:rsidP="009852D2">
            <w:pPr>
              <w:spacing w:before="40" w:after="40"/>
              <w:jc w:val="center"/>
              <w:rPr>
                <w:sz w:val="20"/>
                <w:szCs w:val="20"/>
              </w:rPr>
            </w:pPr>
            <w:r>
              <w:rPr>
                <w:sz w:val="20"/>
                <w:szCs w:val="20"/>
              </w:rPr>
              <w:t>2.9</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Wholesale &amp; retail trade</w:t>
            </w:r>
          </w:p>
        </w:tc>
        <w:tc>
          <w:tcPr>
            <w:tcW w:w="509" w:type="pct"/>
            <w:vAlign w:val="center"/>
          </w:tcPr>
          <w:p w:rsidR="00375D44" w:rsidRPr="00375D44" w:rsidRDefault="00A5438C" w:rsidP="009852D2">
            <w:pPr>
              <w:spacing w:before="40" w:after="40"/>
              <w:jc w:val="center"/>
              <w:rPr>
                <w:sz w:val="20"/>
                <w:szCs w:val="20"/>
              </w:rPr>
            </w:pPr>
            <w:r>
              <w:rPr>
                <w:sz w:val="20"/>
                <w:szCs w:val="20"/>
              </w:rPr>
              <w:t>77.2</w:t>
            </w:r>
          </w:p>
        </w:tc>
        <w:tc>
          <w:tcPr>
            <w:tcW w:w="641" w:type="pct"/>
            <w:vAlign w:val="center"/>
          </w:tcPr>
          <w:p w:rsidR="00375D44" w:rsidRPr="00375D44" w:rsidRDefault="00A5438C" w:rsidP="009852D2">
            <w:pPr>
              <w:spacing w:before="40" w:after="40"/>
              <w:jc w:val="center"/>
              <w:rPr>
                <w:sz w:val="20"/>
                <w:szCs w:val="20"/>
              </w:rPr>
            </w:pPr>
            <w:r>
              <w:rPr>
                <w:sz w:val="20"/>
                <w:szCs w:val="20"/>
              </w:rPr>
              <w:t>45.7</w:t>
            </w:r>
          </w:p>
        </w:tc>
        <w:tc>
          <w:tcPr>
            <w:tcW w:w="592" w:type="pct"/>
            <w:vAlign w:val="center"/>
          </w:tcPr>
          <w:p w:rsidR="00375D44" w:rsidRPr="00375D44" w:rsidRDefault="00A5438C" w:rsidP="009852D2">
            <w:pPr>
              <w:spacing w:before="40" w:after="40"/>
              <w:jc w:val="center"/>
              <w:rPr>
                <w:sz w:val="20"/>
                <w:szCs w:val="20"/>
              </w:rPr>
            </w:pPr>
            <w:r>
              <w:rPr>
                <w:sz w:val="20"/>
                <w:szCs w:val="20"/>
              </w:rPr>
              <w:t>65.2</w:t>
            </w:r>
          </w:p>
        </w:tc>
        <w:tc>
          <w:tcPr>
            <w:tcW w:w="568" w:type="pct"/>
            <w:vAlign w:val="center"/>
          </w:tcPr>
          <w:p w:rsidR="00375D44" w:rsidRPr="00375D44" w:rsidRDefault="00A5438C" w:rsidP="009852D2">
            <w:pPr>
              <w:spacing w:before="40" w:after="40"/>
              <w:jc w:val="center"/>
              <w:rPr>
                <w:sz w:val="20"/>
                <w:szCs w:val="20"/>
              </w:rPr>
            </w:pPr>
            <w:r>
              <w:rPr>
                <w:sz w:val="20"/>
                <w:szCs w:val="20"/>
              </w:rPr>
              <w:t>87.0</w:t>
            </w:r>
          </w:p>
        </w:tc>
        <w:tc>
          <w:tcPr>
            <w:tcW w:w="598" w:type="pct"/>
            <w:vAlign w:val="center"/>
          </w:tcPr>
          <w:p w:rsidR="00375D44" w:rsidRPr="00375D44" w:rsidRDefault="00A5438C" w:rsidP="009852D2">
            <w:pPr>
              <w:spacing w:before="40" w:after="40"/>
              <w:jc w:val="center"/>
              <w:rPr>
                <w:sz w:val="20"/>
                <w:szCs w:val="20"/>
              </w:rPr>
            </w:pPr>
            <w:r>
              <w:rPr>
                <w:sz w:val="20"/>
                <w:szCs w:val="20"/>
              </w:rPr>
              <w:t>54.4</w:t>
            </w:r>
          </w:p>
        </w:tc>
        <w:tc>
          <w:tcPr>
            <w:tcW w:w="574" w:type="pct"/>
            <w:vAlign w:val="center"/>
          </w:tcPr>
          <w:p w:rsidR="00375D44" w:rsidRPr="00375D44" w:rsidRDefault="00553BED" w:rsidP="009852D2">
            <w:pPr>
              <w:spacing w:before="40" w:after="40"/>
              <w:jc w:val="center"/>
              <w:rPr>
                <w:sz w:val="20"/>
                <w:szCs w:val="20"/>
              </w:rPr>
            </w:pPr>
            <w:r>
              <w:rPr>
                <w:sz w:val="20"/>
                <w:szCs w:val="20"/>
              </w:rPr>
              <w:t>4.4</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Accommodation, cafes &amp; restaurants</w:t>
            </w:r>
          </w:p>
        </w:tc>
        <w:tc>
          <w:tcPr>
            <w:tcW w:w="509" w:type="pct"/>
            <w:vAlign w:val="center"/>
          </w:tcPr>
          <w:p w:rsidR="00375D44" w:rsidRPr="00375D44" w:rsidRDefault="00A5438C" w:rsidP="009852D2">
            <w:pPr>
              <w:spacing w:before="40" w:after="40"/>
              <w:jc w:val="center"/>
              <w:rPr>
                <w:sz w:val="20"/>
                <w:szCs w:val="20"/>
              </w:rPr>
            </w:pPr>
            <w:r>
              <w:rPr>
                <w:sz w:val="20"/>
                <w:szCs w:val="20"/>
              </w:rPr>
              <w:t>80.4</w:t>
            </w:r>
          </w:p>
        </w:tc>
        <w:tc>
          <w:tcPr>
            <w:tcW w:w="641" w:type="pct"/>
            <w:vAlign w:val="center"/>
          </w:tcPr>
          <w:p w:rsidR="00375D44" w:rsidRPr="00375D44" w:rsidRDefault="00A5438C" w:rsidP="009852D2">
            <w:pPr>
              <w:spacing w:before="40" w:after="40"/>
              <w:jc w:val="center"/>
              <w:rPr>
                <w:sz w:val="20"/>
                <w:szCs w:val="20"/>
              </w:rPr>
            </w:pPr>
            <w:r>
              <w:rPr>
                <w:sz w:val="20"/>
                <w:szCs w:val="20"/>
              </w:rPr>
              <w:t>41.2</w:t>
            </w:r>
          </w:p>
        </w:tc>
        <w:tc>
          <w:tcPr>
            <w:tcW w:w="592" w:type="pct"/>
            <w:vAlign w:val="center"/>
          </w:tcPr>
          <w:p w:rsidR="00375D44" w:rsidRPr="00375D44" w:rsidRDefault="00A5438C" w:rsidP="009852D2">
            <w:pPr>
              <w:spacing w:before="40" w:after="40"/>
              <w:jc w:val="center"/>
              <w:rPr>
                <w:sz w:val="20"/>
                <w:szCs w:val="20"/>
              </w:rPr>
            </w:pPr>
            <w:r>
              <w:rPr>
                <w:sz w:val="20"/>
                <w:szCs w:val="20"/>
              </w:rPr>
              <w:t>66.7</w:t>
            </w:r>
          </w:p>
        </w:tc>
        <w:tc>
          <w:tcPr>
            <w:tcW w:w="568" w:type="pct"/>
            <w:vAlign w:val="center"/>
          </w:tcPr>
          <w:p w:rsidR="00375D44" w:rsidRPr="00375D44" w:rsidRDefault="00A5438C" w:rsidP="009852D2">
            <w:pPr>
              <w:spacing w:before="40" w:after="40"/>
              <w:jc w:val="center"/>
              <w:rPr>
                <w:sz w:val="20"/>
                <w:szCs w:val="20"/>
              </w:rPr>
            </w:pPr>
            <w:r>
              <w:rPr>
                <w:sz w:val="20"/>
                <w:szCs w:val="20"/>
              </w:rPr>
              <w:t>88.2</w:t>
            </w:r>
          </w:p>
        </w:tc>
        <w:tc>
          <w:tcPr>
            <w:tcW w:w="598" w:type="pct"/>
            <w:vAlign w:val="center"/>
          </w:tcPr>
          <w:p w:rsidR="00375D44" w:rsidRPr="00375D44" w:rsidRDefault="00A5438C" w:rsidP="009852D2">
            <w:pPr>
              <w:spacing w:before="40" w:after="40"/>
              <w:jc w:val="center"/>
              <w:rPr>
                <w:sz w:val="20"/>
                <w:szCs w:val="20"/>
              </w:rPr>
            </w:pPr>
            <w:r>
              <w:rPr>
                <w:sz w:val="20"/>
                <w:szCs w:val="20"/>
              </w:rPr>
              <w:t>52.9</w:t>
            </w:r>
          </w:p>
        </w:tc>
        <w:tc>
          <w:tcPr>
            <w:tcW w:w="574" w:type="pct"/>
            <w:vAlign w:val="center"/>
          </w:tcPr>
          <w:p w:rsidR="00375D44" w:rsidRPr="00375D44" w:rsidRDefault="00553BED" w:rsidP="009852D2">
            <w:pPr>
              <w:spacing w:before="40" w:after="40"/>
              <w:jc w:val="center"/>
              <w:rPr>
                <w:sz w:val="20"/>
                <w:szCs w:val="20"/>
              </w:rPr>
            </w:pPr>
            <w:r>
              <w:rPr>
                <w:sz w:val="20"/>
                <w:szCs w:val="20"/>
              </w:rPr>
              <w:t>3.9</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Property &amp; business services</w:t>
            </w:r>
          </w:p>
        </w:tc>
        <w:tc>
          <w:tcPr>
            <w:tcW w:w="509" w:type="pct"/>
            <w:vAlign w:val="center"/>
          </w:tcPr>
          <w:p w:rsidR="00375D44" w:rsidRPr="00375D44" w:rsidRDefault="00A5438C" w:rsidP="009852D2">
            <w:pPr>
              <w:spacing w:before="40" w:after="40"/>
              <w:jc w:val="center"/>
              <w:rPr>
                <w:sz w:val="20"/>
                <w:szCs w:val="20"/>
              </w:rPr>
            </w:pPr>
            <w:r>
              <w:rPr>
                <w:sz w:val="20"/>
                <w:szCs w:val="20"/>
              </w:rPr>
              <w:t>71.2</w:t>
            </w:r>
          </w:p>
        </w:tc>
        <w:tc>
          <w:tcPr>
            <w:tcW w:w="641" w:type="pct"/>
            <w:vAlign w:val="center"/>
          </w:tcPr>
          <w:p w:rsidR="00375D44" w:rsidRPr="00375D44" w:rsidRDefault="00A5438C" w:rsidP="009852D2">
            <w:pPr>
              <w:spacing w:before="40" w:after="40"/>
              <w:jc w:val="center"/>
              <w:rPr>
                <w:sz w:val="20"/>
                <w:szCs w:val="20"/>
              </w:rPr>
            </w:pPr>
            <w:r>
              <w:rPr>
                <w:sz w:val="20"/>
                <w:szCs w:val="20"/>
              </w:rPr>
              <w:t>38.5</w:t>
            </w:r>
          </w:p>
        </w:tc>
        <w:tc>
          <w:tcPr>
            <w:tcW w:w="592" w:type="pct"/>
            <w:vAlign w:val="center"/>
          </w:tcPr>
          <w:p w:rsidR="00375D44" w:rsidRPr="00375D44" w:rsidRDefault="00A5438C" w:rsidP="009852D2">
            <w:pPr>
              <w:spacing w:before="40" w:after="40"/>
              <w:jc w:val="center"/>
              <w:rPr>
                <w:sz w:val="20"/>
                <w:szCs w:val="20"/>
              </w:rPr>
            </w:pPr>
            <w:r>
              <w:rPr>
                <w:sz w:val="20"/>
                <w:szCs w:val="20"/>
              </w:rPr>
              <w:t>57.7</w:t>
            </w:r>
          </w:p>
        </w:tc>
        <w:tc>
          <w:tcPr>
            <w:tcW w:w="568" w:type="pct"/>
            <w:vAlign w:val="center"/>
          </w:tcPr>
          <w:p w:rsidR="00375D44" w:rsidRPr="00375D44" w:rsidRDefault="00553BED" w:rsidP="009852D2">
            <w:pPr>
              <w:spacing w:before="40" w:after="40"/>
              <w:jc w:val="center"/>
              <w:rPr>
                <w:sz w:val="20"/>
                <w:szCs w:val="20"/>
              </w:rPr>
            </w:pPr>
            <w:r>
              <w:rPr>
                <w:sz w:val="20"/>
                <w:szCs w:val="20"/>
              </w:rPr>
              <w:t>78.9</w:t>
            </w:r>
          </w:p>
        </w:tc>
        <w:tc>
          <w:tcPr>
            <w:tcW w:w="598" w:type="pct"/>
            <w:vAlign w:val="center"/>
          </w:tcPr>
          <w:p w:rsidR="00375D44" w:rsidRPr="00375D44" w:rsidRDefault="00553BED" w:rsidP="009852D2">
            <w:pPr>
              <w:spacing w:before="40" w:after="40"/>
              <w:jc w:val="center"/>
              <w:rPr>
                <w:sz w:val="20"/>
                <w:szCs w:val="20"/>
              </w:rPr>
            </w:pPr>
            <w:r>
              <w:rPr>
                <w:sz w:val="20"/>
                <w:szCs w:val="20"/>
              </w:rPr>
              <w:t>48.1</w:t>
            </w:r>
          </w:p>
        </w:tc>
        <w:tc>
          <w:tcPr>
            <w:tcW w:w="574" w:type="pct"/>
            <w:vAlign w:val="center"/>
          </w:tcPr>
          <w:p w:rsidR="00375D44" w:rsidRPr="00375D44" w:rsidRDefault="00553BED" w:rsidP="009852D2">
            <w:pPr>
              <w:spacing w:before="40" w:after="40"/>
              <w:jc w:val="center"/>
              <w:rPr>
                <w:sz w:val="20"/>
                <w:szCs w:val="20"/>
              </w:rPr>
            </w:pPr>
            <w:r>
              <w:rPr>
                <w:sz w:val="20"/>
                <w:szCs w:val="20"/>
              </w:rPr>
              <w:t>3.9</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Government administration &amp; defence</w:t>
            </w:r>
          </w:p>
        </w:tc>
        <w:tc>
          <w:tcPr>
            <w:tcW w:w="509" w:type="pct"/>
            <w:vAlign w:val="center"/>
          </w:tcPr>
          <w:p w:rsidR="00375D44" w:rsidRPr="00375D44" w:rsidRDefault="00A5438C" w:rsidP="009852D2">
            <w:pPr>
              <w:spacing w:before="40" w:after="40"/>
              <w:jc w:val="center"/>
              <w:rPr>
                <w:sz w:val="20"/>
                <w:szCs w:val="20"/>
              </w:rPr>
            </w:pPr>
            <w:r>
              <w:rPr>
                <w:sz w:val="20"/>
                <w:szCs w:val="20"/>
              </w:rPr>
              <w:t>76.7</w:t>
            </w:r>
          </w:p>
        </w:tc>
        <w:tc>
          <w:tcPr>
            <w:tcW w:w="641" w:type="pct"/>
            <w:vAlign w:val="center"/>
          </w:tcPr>
          <w:p w:rsidR="00375D44" w:rsidRPr="00375D44" w:rsidRDefault="00A5438C" w:rsidP="009852D2">
            <w:pPr>
              <w:spacing w:before="40" w:after="40"/>
              <w:jc w:val="center"/>
              <w:rPr>
                <w:sz w:val="20"/>
                <w:szCs w:val="20"/>
              </w:rPr>
            </w:pPr>
            <w:r>
              <w:rPr>
                <w:sz w:val="20"/>
                <w:szCs w:val="20"/>
              </w:rPr>
              <w:t>70.0</w:t>
            </w:r>
          </w:p>
        </w:tc>
        <w:tc>
          <w:tcPr>
            <w:tcW w:w="592" w:type="pct"/>
            <w:vAlign w:val="center"/>
          </w:tcPr>
          <w:p w:rsidR="00375D44" w:rsidRPr="00375D44" w:rsidRDefault="00A5438C" w:rsidP="009852D2">
            <w:pPr>
              <w:spacing w:before="40" w:after="40"/>
              <w:jc w:val="center"/>
              <w:rPr>
                <w:sz w:val="20"/>
                <w:szCs w:val="20"/>
              </w:rPr>
            </w:pPr>
            <w:r>
              <w:rPr>
                <w:sz w:val="20"/>
                <w:szCs w:val="20"/>
              </w:rPr>
              <w:t>80.0</w:t>
            </w:r>
          </w:p>
        </w:tc>
        <w:tc>
          <w:tcPr>
            <w:tcW w:w="568" w:type="pct"/>
            <w:vAlign w:val="center"/>
          </w:tcPr>
          <w:p w:rsidR="00375D44" w:rsidRPr="00375D44" w:rsidRDefault="00553BED" w:rsidP="009852D2">
            <w:pPr>
              <w:spacing w:before="40" w:after="40"/>
              <w:jc w:val="center"/>
              <w:rPr>
                <w:sz w:val="20"/>
                <w:szCs w:val="20"/>
              </w:rPr>
            </w:pPr>
            <w:r>
              <w:rPr>
                <w:sz w:val="20"/>
                <w:szCs w:val="20"/>
              </w:rPr>
              <w:t>93.3</w:t>
            </w:r>
          </w:p>
        </w:tc>
        <w:tc>
          <w:tcPr>
            <w:tcW w:w="598" w:type="pct"/>
            <w:vAlign w:val="center"/>
          </w:tcPr>
          <w:p w:rsidR="00375D44" w:rsidRPr="00375D44" w:rsidRDefault="00553BED" w:rsidP="009852D2">
            <w:pPr>
              <w:spacing w:before="40" w:after="40"/>
              <w:jc w:val="center"/>
              <w:rPr>
                <w:sz w:val="20"/>
                <w:szCs w:val="20"/>
              </w:rPr>
            </w:pPr>
            <w:r>
              <w:rPr>
                <w:sz w:val="20"/>
                <w:szCs w:val="20"/>
              </w:rPr>
              <w:t>73.3</w:t>
            </w:r>
          </w:p>
        </w:tc>
        <w:tc>
          <w:tcPr>
            <w:tcW w:w="574" w:type="pct"/>
            <w:vAlign w:val="center"/>
          </w:tcPr>
          <w:p w:rsidR="00375D44" w:rsidRPr="00375D44" w:rsidRDefault="00553BED" w:rsidP="009852D2">
            <w:pPr>
              <w:spacing w:before="40" w:after="40"/>
              <w:jc w:val="center"/>
              <w:rPr>
                <w:sz w:val="20"/>
                <w:szCs w:val="20"/>
              </w:rPr>
            </w:pPr>
            <w:r>
              <w:rPr>
                <w:sz w:val="20"/>
                <w:szCs w:val="20"/>
              </w:rPr>
              <w:t>3.3</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Education</w:t>
            </w:r>
          </w:p>
        </w:tc>
        <w:tc>
          <w:tcPr>
            <w:tcW w:w="509" w:type="pct"/>
            <w:vAlign w:val="center"/>
          </w:tcPr>
          <w:p w:rsidR="00375D44" w:rsidRPr="00375D44" w:rsidRDefault="00A5438C" w:rsidP="009852D2">
            <w:pPr>
              <w:spacing w:before="40" w:after="40"/>
              <w:jc w:val="center"/>
              <w:rPr>
                <w:sz w:val="20"/>
                <w:szCs w:val="20"/>
              </w:rPr>
            </w:pPr>
            <w:r>
              <w:rPr>
                <w:sz w:val="20"/>
                <w:szCs w:val="20"/>
              </w:rPr>
              <w:t>67.1</w:t>
            </w:r>
          </w:p>
        </w:tc>
        <w:tc>
          <w:tcPr>
            <w:tcW w:w="641" w:type="pct"/>
            <w:vAlign w:val="center"/>
          </w:tcPr>
          <w:p w:rsidR="00375D44" w:rsidRPr="00375D44" w:rsidRDefault="00A5438C" w:rsidP="009852D2">
            <w:pPr>
              <w:spacing w:before="40" w:after="40"/>
              <w:jc w:val="center"/>
              <w:rPr>
                <w:sz w:val="20"/>
                <w:szCs w:val="20"/>
              </w:rPr>
            </w:pPr>
            <w:r>
              <w:rPr>
                <w:sz w:val="20"/>
                <w:szCs w:val="20"/>
              </w:rPr>
              <w:t>25.6</w:t>
            </w:r>
          </w:p>
        </w:tc>
        <w:tc>
          <w:tcPr>
            <w:tcW w:w="592" w:type="pct"/>
            <w:vAlign w:val="center"/>
          </w:tcPr>
          <w:p w:rsidR="00375D44" w:rsidRPr="00375D44" w:rsidRDefault="00A5438C" w:rsidP="009852D2">
            <w:pPr>
              <w:spacing w:before="40" w:after="40"/>
              <w:jc w:val="center"/>
              <w:rPr>
                <w:sz w:val="20"/>
                <w:szCs w:val="20"/>
              </w:rPr>
            </w:pPr>
            <w:r>
              <w:rPr>
                <w:sz w:val="20"/>
                <w:szCs w:val="20"/>
              </w:rPr>
              <w:t>56.1</w:t>
            </w:r>
          </w:p>
        </w:tc>
        <w:tc>
          <w:tcPr>
            <w:tcW w:w="568" w:type="pct"/>
            <w:vAlign w:val="center"/>
          </w:tcPr>
          <w:p w:rsidR="00375D44" w:rsidRPr="00375D44" w:rsidRDefault="00553BED" w:rsidP="009852D2">
            <w:pPr>
              <w:spacing w:before="40" w:after="40"/>
              <w:jc w:val="center"/>
              <w:rPr>
                <w:sz w:val="20"/>
                <w:szCs w:val="20"/>
              </w:rPr>
            </w:pPr>
            <w:r>
              <w:rPr>
                <w:sz w:val="20"/>
                <w:szCs w:val="20"/>
              </w:rPr>
              <w:t>81.7</w:t>
            </w:r>
          </w:p>
        </w:tc>
        <w:tc>
          <w:tcPr>
            <w:tcW w:w="598" w:type="pct"/>
            <w:vAlign w:val="center"/>
          </w:tcPr>
          <w:p w:rsidR="00375D44" w:rsidRPr="00375D44" w:rsidRDefault="00553BED" w:rsidP="009852D2">
            <w:pPr>
              <w:spacing w:before="40" w:after="40"/>
              <w:jc w:val="center"/>
              <w:rPr>
                <w:sz w:val="20"/>
                <w:szCs w:val="20"/>
              </w:rPr>
            </w:pPr>
            <w:r>
              <w:rPr>
                <w:sz w:val="20"/>
                <w:szCs w:val="20"/>
              </w:rPr>
              <w:t>46.3</w:t>
            </w:r>
          </w:p>
        </w:tc>
        <w:tc>
          <w:tcPr>
            <w:tcW w:w="574" w:type="pct"/>
            <w:vAlign w:val="center"/>
          </w:tcPr>
          <w:p w:rsidR="00375D44" w:rsidRPr="00375D44" w:rsidRDefault="00553BED" w:rsidP="009852D2">
            <w:pPr>
              <w:spacing w:before="40" w:after="40"/>
              <w:jc w:val="center"/>
              <w:rPr>
                <w:sz w:val="20"/>
                <w:szCs w:val="20"/>
              </w:rPr>
            </w:pPr>
            <w:r>
              <w:rPr>
                <w:sz w:val="20"/>
                <w:szCs w:val="20"/>
              </w:rPr>
              <w:t>8.5</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Cultural, recreational &amp; personal services</w:t>
            </w:r>
          </w:p>
        </w:tc>
        <w:tc>
          <w:tcPr>
            <w:tcW w:w="509" w:type="pct"/>
            <w:vAlign w:val="center"/>
          </w:tcPr>
          <w:p w:rsidR="00375D44" w:rsidRPr="00375D44" w:rsidRDefault="00A5438C" w:rsidP="009852D2">
            <w:pPr>
              <w:spacing w:before="40" w:after="40"/>
              <w:jc w:val="center"/>
              <w:rPr>
                <w:sz w:val="20"/>
                <w:szCs w:val="20"/>
              </w:rPr>
            </w:pPr>
            <w:r>
              <w:rPr>
                <w:sz w:val="20"/>
                <w:szCs w:val="20"/>
              </w:rPr>
              <w:t>75.6</w:t>
            </w:r>
          </w:p>
        </w:tc>
        <w:tc>
          <w:tcPr>
            <w:tcW w:w="641" w:type="pct"/>
            <w:vAlign w:val="center"/>
          </w:tcPr>
          <w:p w:rsidR="00375D44" w:rsidRPr="00375D44" w:rsidRDefault="00A5438C" w:rsidP="009852D2">
            <w:pPr>
              <w:spacing w:before="40" w:after="40"/>
              <w:jc w:val="center"/>
              <w:rPr>
                <w:sz w:val="20"/>
                <w:szCs w:val="20"/>
              </w:rPr>
            </w:pPr>
            <w:r>
              <w:rPr>
                <w:sz w:val="20"/>
                <w:szCs w:val="20"/>
              </w:rPr>
              <w:t>43.9</w:t>
            </w:r>
          </w:p>
        </w:tc>
        <w:tc>
          <w:tcPr>
            <w:tcW w:w="592" w:type="pct"/>
            <w:vAlign w:val="center"/>
          </w:tcPr>
          <w:p w:rsidR="00375D44" w:rsidRPr="00375D44" w:rsidRDefault="00A5438C" w:rsidP="009852D2">
            <w:pPr>
              <w:spacing w:before="40" w:after="40"/>
              <w:jc w:val="center"/>
              <w:rPr>
                <w:sz w:val="20"/>
                <w:szCs w:val="20"/>
              </w:rPr>
            </w:pPr>
            <w:r>
              <w:rPr>
                <w:sz w:val="20"/>
                <w:szCs w:val="20"/>
              </w:rPr>
              <w:t>53.7</w:t>
            </w:r>
          </w:p>
        </w:tc>
        <w:tc>
          <w:tcPr>
            <w:tcW w:w="568" w:type="pct"/>
            <w:vAlign w:val="center"/>
          </w:tcPr>
          <w:p w:rsidR="00375D44" w:rsidRPr="00375D44" w:rsidRDefault="00553BED" w:rsidP="009852D2">
            <w:pPr>
              <w:spacing w:before="40" w:after="40"/>
              <w:jc w:val="center"/>
              <w:rPr>
                <w:sz w:val="20"/>
                <w:szCs w:val="20"/>
              </w:rPr>
            </w:pPr>
            <w:r>
              <w:rPr>
                <w:sz w:val="20"/>
                <w:szCs w:val="20"/>
              </w:rPr>
              <w:t>68.3</w:t>
            </w:r>
          </w:p>
        </w:tc>
        <w:tc>
          <w:tcPr>
            <w:tcW w:w="598" w:type="pct"/>
            <w:vAlign w:val="center"/>
          </w:tcPr>
          <w:p w:rsidR="00375D44" w:rsidRPr="00375D44" w:rsidRDefault="00553BED" w:rsidP="009852D2">
            <w:pPr>
              <w:spacing w:before="40" w:after="40"/>
              <w:jc w:val="center"/>
              <w:rPr>
                <w:sz w:val="20"/>
                <w:szCs w:val="20"/>
              </w:rPr>
            </w:pPr>
            <w:r>
              <w:rPr>
                <w:sz w:val="20"/>
                <w:szCs w:val="20"/>
              </w:rPr>
              <w:t>34.2</w:t>
            </w:r>
          </w:p>
        </w:tc>
        <w:tc>
          <w:tcPr>
            <w:tcW w:w="574" w:type="pct"/>
            <w:vAlign w:val="center"/>
          </w:tcPr>
          <w:p w:rsidR="00375D44" w:rsidRPr="00375D44" w:rsidRDefault="00553BED" w:rsidP="009852D2">
            <w:pPr>
              <w:spacing w:before="40" w:after="40"/>
              <w:jc w:val="center"/>
              <w:rPr>
                <w:sz w:val="20"/>
                <w:szCs w:val="20"/>
              </w:rPr>
            </w:pPr>
            <w:r>
              <w:rPr>
                <w:sz w:val="20"/>
                <w:szCs w:val="20"/>
              </w:rPr>
              <w:t>9.8</w:t>
            </w:r>
          </w:p>
        </w:tc>
      </w:tr>
      <w:tr w:rsidR="00747E66" w:rsidRPr="00375D44" w:rsidTr="00401887">
        <w:tc>
          <w:tcPr>
            <w:tcW w:w="1519" w:type="pct"/>
          </w:tcPr>
          <w:p w:rsidR="00375D44" w:rsidRPr="00375D44" w:rsidRDefault="00747E66" w:rsidP="00375D44">
            <w:pPr>
              <w:spacing w:before="40" w:after="40"/>
              <w:rPr>
                <w:sz w:val="20"/>
                <w:szCs w:val="20"/>
              </w:rPr>
            </w:pPr>
            <w:r>
              <w:rPr>
                <w:sz w:val="20"/>
                <w:szCs w:val="20"/>
              </w:rPr>
              <w:t>Mining</w:t>
            </w:r>
            <w:r w:rsidRPr="00747E66">
              <w:rPr>
                <w:sz w:val="20"/>
                <w:szCs w:val="20"/>
                <w:vertAlign w:val="superscript"/>
              </w:rPr>
              <w:t>#</w:t>
            </w:r>
          </w:p>
        </w:tc>
        <w:tc>
          <w:tcPr>
            <w:tcW w:w="509" w:type="pct"/>
            <w:vAlign w:val="center"/>
          </w:tcPr>
          <w:p w:rsidR="00375D44" w:rsidRPr="00375D44" w:rsidRDefault="00A5438C" w:rsidP="009852D2">
            <w:pPr>
              <w:spacing w:before="40" w:after="40"/>
              <w:jc w:val="center"/>
              <w:rPr>
                <w:sz w:val="20"/>
                <w:szCs w:val="20"/>
              </w:rPr>
            </w:pPr>
            <w:r>
              <w:rPr>
                <w:sz w:val="20"/>
                <w:szCs w:val="20"/>
              </w:rPr>
              <w:t>100</w:t>
            </w:r>
          </w:p>
        </w:tc>
        <w:tc>
          <w:tcPr>
            <w:tcW w:w="641" w:type="pct"/>
            <w:vAlign w:val="center"/>
          </w:tcPr>
          <w:p w:rsidR="00375D44" w:rsidRPr="00375D44" w:rsidRDefault="00A5438C" w:rsidP="009852D2">
            <w:pPr>
              <w:spacing w:before="40" w:after="40"/>
              <w:jc w:val="center"/>
              <w:rPr>
                <w:sz w:val="20"/>
                <w:szCs w:val="20"/>
              </w:rPr>
            </w:pPr>
            <w:r>
              <w:rPr>
                <w:sz w:val="20"/>
                <w:szCs w:val="20"/>
              </w:rPr>
              <w:t>90.9</w:t>
            </w:r>
          </w:p>
        </w:tc>
        <w:tc>
          <w:tcPr>
            <w:tcW w:w="592" w:type="pct"/>
            <w:vAlign w:val="center"/>
          </w:tcPr>
          <w:p w:rsidR="00375D44" w:rsidRPr="00375D44" w:rsidRDefault="00A5438C" w:rsidP="009852D2">
            <w:pPr>
              <w:spacing w:before="40" w:after="40"/>
              <w:jc w:val="center"/>
              <w:rPr>
                <w:sz w:val="20"/>
                <w:szCs w:val="20"/>
              </w:rPr>
            </w:pPr>
            <w:r>
              <w:rPr>
                <w:sz w:val="20"/>
                <w:szCs w:val="20"/>
              </w:rPr>
              <w:t>90.9</w:t>
            </w:r>
          </w:p>
        </w:tc>
        <w:tc>
          <w:tcPr>
            <w:tcW w:w="568" w:type="pct"/>
            <w:vAlign w:val="center"/>
          </w:tcPr>
          <w:p w:rsidR="00375D44" w:rsidRPr="00375D44" w:rsidRDefault="00553BED" w:rsidP="009852D2">
            <w:pPr>
              <w:spacing w:before="40" w:after="40"/>
              <w:jc w:val="center"/>
              <w:rPr>
                <w:sz w:val="20"/>
                <w:szCs w:val="20"/>
              </w:rPr>
            </w:pPr>
            <w:r>
              <w:rPr>
                <w:sz w:val="20"/>
                <w:szCs w:val="20"/>
              </w:rPr>
              <w:t>100</w:t>
            </w:r>
          </w:p>
        </w:tc>
        <w:tc>
          <w:tcPr>
            <w:tcW w:w="598" w:type="pct"/>
            <w:vAlign w:val="center"/>
          </w:tcPr>
          <w:p w:rsidR="00375D44" w:rsidRPr="00375D44" w:rsidRDefault="00553BED" w:rsidP="009852D2">
            <w:pPr>
              <w:spacing w:before="40" w:after="40"/>
              <w:jc w:val="center"/>
              <w:rPr>
                <w:sz w:val="20"/>
                <w:szCs w:val="20"/>
              </w:rPr>
            </w:pPr>
            <w:r>
              <w:rPr>
                <w:sz w:val="20"/>
                <w:szCs w:val="20"/>
              </w:rPr>
              <w:t>90.9</w:t>
            </w:r>
          </w:p>
        </w:tc>
        <w:tc>
          <w:tcPr>
            <w:tcW w:w="574" w:type="pct"/>
            <w:vAlign w:val="center"/>
          </w:tcPr>
          <w:p w:rsidR="00375D44" w:rsidRPr="00375D44" w:rsidRDefault="00553BED" w:rsidP="009852D2">
            <w:pPr>
              <w:spacing w:before="40" w:after="40"/>
              <w:jc w:val="center"/>
              <w:rPr>
                <w:sz w:val="20"/>
                <w:szCs w:val="20"/>
              </w:rPr>
            </w:pPr>
            <w:r>
              <w:rPr>
                <w:sz w:val="20"/>
                <w:szCs w:val="20"/>
              </w:rPr>
              <w:t>0</w:t>
            </w:r>
          </w:p>
        </w:tc>
      </w:tr>
      <w:tr w:rsidR="00747E66" w:rsidRPr="00375D44" w:rsidTr="00401887">
        <w:tc>
          <w:tcPr>
            <w:tcW w:w="1519" w:type="pct"/>
          </w:tcPr>
          <w:p w:rsidR="00747E66" w:rsidRPr="00375D44" w:rsidRDefault="00747E66" w:rsidP="00747E66">
            <w:pPr>
              <w:spacing w:before="40" w:after="40"/>
              <w:rPr>
                <w:sz w:val="20"/>
                <w:szCs w:val="20"/>
              </w:rPr>
            </w:pPr>
            <w:r>
              <w:rPr>
                <w:sz w:val="20"/>
                <w:szCs w:val="20"/>
              </w:rPr>
              <w:t>Finance &amp; insurance</w:t>
            </w:r>
            <w:r w:rsidRPr="00747E66">
              <w:rPr>
                <w:sz w:val="20"/>
                <w:szCs w:val="20"/>
                <w:vertAlign w:val="superscript"/>
              </w:rPr>
              <w:t>#</w:t>
            </w:r>
          </w:p>
        </w:tc>
        <w:tc>
          <w:tcPr>
            <w:tcW w:w="509" w:type="pct"/>
            <w:vAlign w:val="center"/>
          </w:tcPr>
          <w:p w:rsidR="00747E66" w:rsidRPr="00375D44" w:rsidRDefault="00A5438C" w:rsidP="009852D2">
            <w:pPr>
              <w:spacing w:before="40" w:after="40"/>
              <w:jc w:val="center"/>
              <w:rPr>
                <w:sz w:val="20"/>
                <w:szCs w:val="20"/>
              </w:rPr>
            </w:pPr>
            <w:r>
              <w:rPr>
                <w:sz w:val="20"/>
                <w:szCs w:val="20"/>
              </w:rPr>
              <w:t>28.6</w:t>
            </w:r>
          </w:p>
        </w:tc>
        <w:tc>
          <w:tcPr>
            <w:tcW w:w="641" w:type="pct"/>
            <w:vAlign w:val="center"/>
          </w:tcPr>
          <w:p w:rsidR="00747E66" w:rsidRPr="00375D44" w:rsidRDefault="00A5438C" w:rsidP="009852D2">
            <w:pPr>
              <w:spacing w:before="40" w:after="40"/>
              <w:jc w:val="center"/>
              <w:rPr>
                <w:sz w:val="20"/>
                <w:szCs w:val="20"/>
              </w:rPr>
            </w:pPr>
            <w:r>
              <w:rPr>
                <w:sz w:val="20"/>
                <w:szCs w:val="20"/>
              </w:rPr>
              <w:t>0</w:t>
            </w:r>
          </w:p>
        </w:tc>
        <w:tc>
          <w:tcPr>
            <w:tcW w:w="592" w:type="pct"/>
            <w:vAlign w:val="center"/>
          </w:tcPr>
          <w:p w:rsidR="00747E66" w:rsidRPr="00375D44" w:rsidRDefault="00A5438C" w:rsidP="009852D2">
            <w:pPr>
              <w:spacing w:before="40" w:after="40"/>
              <w:jc w:val="center"/>
              <w:rPr>
                <w:sz w:val="20"/>
                <w:szCs w:val="20"/>
              </w:rPr>
            </w:pPr>
            <w:r>
              <w:rPr>
                <w:sz w:val="20"/>
                <w:szCs w:val="20"/>
              </w:rPr>
              <w:t>14.3</w:t>
            </w:r>
          </w:p>
        </w:tc>
        <w:tc>
          <w:tcPr>
            <w:tcW w:w="568" w:type="pct"/>
            <w:vAlign w:val="center"/>
          </w:tcPr>
          <w:p w:rsidR="00747E66" w:rsidRPr="00375D44" w:rsidRDefault="00553BED" w:rsidP="009852D2">
            <w:pPr>
              <w:spacing w:before="40" w:after="40"/>
              <w:jc w:val="center"/>
              <w:rPr>
                <w:sz w:val="20"/>
                <w:szCs w:val="20"/>
              </w:rPr>
            </w:pPr>
            <w:r>
              <w:rPr>
                <w:sz w:val="20"/>
                <w:szCs w:val="20"/>
              </w:rPr>
              <w:t>100</w:t>
            </w:r>
          </w:p>
        </w:tc>
        <w:tc>
          <w:tcPr>
            <w:tcW w:w="598" w:type="pct"/>
            <w:vAlign w:val="center"/>
          </w:tcPr>
          <w:p w:rsidR="00747E66" w:rsidRPr="00375D44" w:rsidRDefault="00553BED" w:rsidP="009852D2">
            <w:pPr>
              <w:spacing w:before="40" w:after="40"/>
              <w:jc w:val="center"/>
              <w:rPr>
                <w:sz w:val="20"/>
                <w:szCs w:val="20"/>
              </w:rPr>
            </w:pPr>
            <w:r>
              <w:rPr>
                <w:sz w:val="20"/>
                <w:szCs w:val="20"/>
              </w:rPr>
              <w:t>28.6</w:t>
            </w:r>
          </w:p>
        </w:tc>
        <w:tc>
          <w:tcPr>
            <w:tcW w:w="574" w:type="pct"/>
            <w:vAlign w:val="center"/>
          </w:tcPr>
          <w:p w:rsidR="00747E66" w:rsidRPr="00375D44" w:rsidRDefault="00553BED" w:rsidP="009852D2">
            <w:pPr>
              <w:spacing w:before="40" w:after="40"/>
              <w:jc w:val="center"/>
              <w:rPr>
                <w:sz w:val="20"/>
                <w:szCs w:val="20"/>
              </w:rPr>
            </w:pPr>
            <w:r>
              <w:rPr>
                <w:sz w:val="20"/>
                <w:szCs w:val="20"/>
              </w:rPr>
              <w:t>0</w:t>
            </w:r>
          </w:p>
        </w:tc>
      </w:tr>
      <w:tr w:rsidR="00747E66" w:rsidRPr="00375D44" w:rsidTr="00401887">
        <w:tc>
          <w:tcPr>
            <w:tcW w:w="1519" w:type="pct"/>
          </w:tcPr>
          <w:p w:rsidR="00747E66" w:rsidRPr="00375D44" w:rsidRDefault="00747E66" w:rsidP="00747E66">
            <w:pPr>
              <w:spacing w:before="40" w:after="40"/>
              <w:rPr>
                <w:sz w:val="20"/>
                <w:szCs w:val="20"/>
              </w:rPr>
            </w:pPr>
            <w:r>
              <w:rPr>
                <w:sz w:val="20"/>
                <w:szCs w:val="20"/>
              </w:rPr>
              <w:t>Communication services</w:t>
            </w:r>
            <w:r w:rsidRPr="00747E66">
              <w:rPr>
                <w:sz w:val="20"/>
                <w:szCs w:val="20"/>
                <w:vertAlign w:val="superscript"/>
              </w:rPr>
              <w:t>#</w:t>
            </w:r>
          </w:p>
        </w:tc>
        <w:tc>
          <w:tcPr>
            <w:tcW w:w="509" w:type="pct"/>
            <w:vAlign w:val="center"/>
          </w:tcPr>
          <w:p w:rsidR="00747E66" w:rsidRPr="00375D44" w:rsidRDefault="00A5438C" w:rsidP="009852D2">
            <w:pPr>
              <w:spacing w:before="40" w:after="40"/>
              <w:jc w:val="center"/>
              <w:rPr>
                <w:sz w:val="20"/>
                <w:szCs w:val="20"/>
              </w:rPr>
            </w:pPr>
            <w:r>
              <w:rPr>
                <w:sz w:val="20"/>
                <w:szCs w:val="20"/>
              </w:rPr>
              <w:t>100</w:t>
            </w:r>
          </w:p>
        </w:tc>
        <w:tc>
          <w:tcPr>
            <w:tcW w:w="641" w:type="pct"/>
            <w:vAlign w:val="center"/>
          </w:tcPr>
          <w:p w:rsidR="00747E66" w:rsidRPr="00375D44" w:rsidRDefault="00A5438C" w:rsidP="009852D2">
            <w:pPr>
              <w:spacing w:before="40" w:after="40"/>
              <w:jc w:val="center"/>
              <w:rPr>
                <w:sz w:val="20"/>
                <w:szCs w:val="20"/>
              </w:rPr>
            </w:pPr>
            <w:r>
              <w:rPr>
                <w:sz w:val="20"/>
                <w:szCs w:val="20"/>
              </w:rPr>
              <w:t>66.7</w:t>
            </w:r>
          </w:p>
        </w:tc>
        <w:tc>
          <w:tcPr>
            <w:tcW w:w="592" w:type="pct"/>
            <w:vAlign w:val="center"/>
          </w:tcPr>
          <w:p w:rsidR="00747E66" w:rsidRPr="00375D44" w:rsidRDefault="00A5438C" w:rsidP="009852D2">
            <w:pPr>
              <w:spacing w:before="40" w:after="40"/>
              <w:jc w:val="center"/>
              <w:rPr>
                <w:sz w:val="20"/>
                <w:szCs w:val="20"/>
              </w:rPr>
            </w:pPr>
            <w:r>
              <w:rPr>
                <w:sz w:val="20"/>
                <w:szCs w:val="20"/>
              </w:rPr>
              <w:t>66.7</w:t>
            </w:r>
          </w:p>
        </w:tc>
        <w:tc>
          <w:tcPr>
            <w:tcW w:w="568" w:type="pct"/>
            <w:vAlign w:val="center"/>
          </w:tcPr>
          <w:p w:rsidR="00747E66" w:rsidRPr="00375D44" w:rsidRDefault="00553BED" w:rsidP="009852D2">
            <w:pPr>
              <w:spacing w:before="40" w:after="40"/>
              <w:jc w:val="center"/>
              <w:rPr>
                <w:sz w:val="20"/>
                <w:szCs w:val="20"/>
              </w:rPr>
            </w:pPr>
            <w:r>
              <w:rPr>
                <w:sz w:val="20"/>
                <w:szCs w:val="20"/>
              </w:rPr>
              <w:t>66.7</w:t>
            </w:r>
          </w:p>
        </w:tc>
        <w:tc>
          <w:tcPr>
            <w:tcW w:w="598" w:type="pct"/>
            <w:vAlign w:val="center"/>
          </w:tcPr>
          <w:p w:rsidR="00747E66" w:rsidRPr="00375D44" w:rsidRDefault="00553BED" w:rsidP="009852D2">
            <w:pPr>
              <w:spacing w:before="40" w:after="40"/>
              <w:jc w:val="center"/>
              <w:rPr>
                <w:sz w:val="20"/>
                <w:szCs w:val="20"/>
              </w:rPr>
            </w:pPr>
            <w:r>
              <w:rPr>
                <w:sz w:val="20"/>
                <w:szCs w:val="20"/>
              </w:rPr>
              <w:t>100</w:t>
            </w:r>
          </w:p>
        </w:tc>
        <w:tc>
          <w:tcPr>
            <w:tcW w:w="574" w:type="pct"/>
            <w:vAlign w:val="center"/>
          </w:tcPr>
          <w:p w:rsidR="00747E66" w:rsidRPr="00375D44" w:rsidRDefault="00553BED" w:rsidP="009852D2">
            <w:pPr>
              <w:spacing w:before="40" w:after="40"/>
              <w:jc w:val="center"/>
              <w:rPr>
                <w:sz w:val="20"/>
                <w:szCs w:val="20"/>
              </w:rPr>
            </w:pPr>
            <w:r>
              <w:rPr>
                <w:sz w:val="20"/>
                <w:szCs w:val="20"/>
              </w:rPr>
              <w:t>0</w:t>
            </w:r>
          </w:p>
        </w:tc>
      </w:tr>
      <w:tr w:rsidR="00747E66" w:rsidRPr="00375D44" w:rsidTr="00401887">
        <w:tc>
          <w:tcPr>
            <w:tcW w:w="1519" w:type="pct"/>
            <w:tcBorders>
              <w:bottom w:val="single" w:sz="12" w:space="0" w:color="auto"/>
            </w:tcBorders>
          </w:tcPr>
          <w:p w:rsidR="00747E66" w:rsidRPr="00375D44" w:rsidRDefault="00747E66" w:rsidP="00747E66">
            <w:pPr>
              <w:spacing w:before="40" w:after="40"/>
              <w:rPr>
                <w:sz w:val="20"/>
                <w:szCs w:val="20"/>
              </w:rPr>
            </w:pPr>
            <w:r>
              <w:rPr>
                <w:sz w:val="20"/>
                <w:szCs w:val="20"/>
              </w:rPr>
              <w:t>Electricity, gas &amp; water supply</w:t>
            </w:r>
            <w:r w:rsidRPr="00747E66">
              <w:rPr>
                <w:sz w:val="20"/>
                <w:szCs w:val="20"/>
                <w:vertAlign w:val="superscript"/>
              </w:rPr>
              <w:t>#</w:t>
            </w:r>
          </w:p>
        </w:tc>
        <w:tc>
          <w:tcPr>
            <w:tcW w:w="509" w:type="pct"/>
            <w:tcBorders>
              <w:bottom w:val="single" w:sz="12" w:space="0" w:color="auto"/>
            </w:tcBorders>
            <w:vAlign w:val="center"/>
          </w:tcPr>
          <w:p w:rsidR="00747E66" w:rsidRPr="00375D44" w:rsidRDefault="00A5438C" w:rsidP="009852D2">
            <w:pPr>
              <w:spacing w:before="40" w:after="40"/>
              <w:jc w:val="center"/>
              <w:rPr>
                <w:sz w:val="20"/>
                <w:szCs w:val="20"/>
              </w:rPr>
            </w:pPr>
            <w:r>
              <w:rPr>
                <w:sz w:val="20"/>
                <w:szCs w:val="20"/>
              </w:rPr>
              <w:t>87.5</w:t>
            </w:r>
          </w:p>
        </w:tc>
        <w:tc>
          <w:tcPr>
            <w:tcW w:w="641" w:type="pct"/>
            <w:tcBorders>
              <w:bottom w:val="single" w:sz="12" w:space="0" w:color="auto"/>
            </w:tcBorders>
            <w:vAlign w:val="center"/>
          </w:tcPr>
          <w:p w:rsidR="00747E66" w:rsidRPr="00375D44" w:rsidRDefault="00A5438C" w:rsidP="009852D2">
            <w:pPr>
              <w:spacing w:before="40" w:after="40"/>
              <w:jc w:val="center"/>
              <w:rPr>
                <w:sz w:val="20"/>
                <w:szCs w:val="20"/>
              </w:rPr>
            </w:pPr>
            <w:r>
              <w:rPr>
                <w:sz w:val="20"/>
                <w:szCs w:val="20"/>
              </w:rPr>
              <w:t>87.5</w:t>
            </w:r>
          </w:p>
        </w:tc>
        <w:tc>
          <w:tcPr>
            <w:tcW w:w="592" w:type="pct"/>
            <w:tcBorders>
              <w:bottom w:val="single" w:sz="12" w:space="0" w:color="auto"/>
            </w:tcBorders>
            <w:vAlign w:val="center"/>
          </w:tcPr>
          <w:p w:rsidR="00747E66" w:rsidRPr="00375D44" w:rsidRDefault="00A5438C" w:rsidP="009852D2">
            <w:pPr>
              <w:spacing w:before="40" w:after="40"/>
              <w:jc w:val="center"/>
              <w:rPr>
                <w:sz w:val="20"/>
                <w:szCs w:val="20"/>
              </w:rPr>
            </w:pPr>
            <w:r>
              <w:rPr>
                <w:sz w:val="20"/>
                <w:szCs w:val="20"/>
              </w:rPr>
              <w:t>100</w:t>
            </w:r>
          </w:p>
        </w:tc>
        <w:tc>
          <w:tcPr>
            <w:tcW w:w="568" w:type="pct"/>
            <w:tcBorders>
              <w:bottom w:val="single" w:sz="12" w:space="0" w:color="auto"/>
            </w:tcBorders>
            <w:vAlign w:val="center"/>
          </w:tcPr>
          <w:p w:rsidR="00747E66" w:rsidRPr="00375D44" w:rsidRDefault="00553BED" w:rsidP="009852D2">
            <w:pPr>
              <w:spacing w:before="40" w:after="40"/>
              <w:jc w:val="center"/>
              <w:rPr>
                <w:sz w:val="20"/>
                <w:szCs w:val="20"/>
              </w:rPr>
            </w:pPr>
            <w:r>
              <w:rPr>
                <w:sz w:val="20"/>
                <w:szCs w:val="20"/>
              </w:rPr>
              <w:t>100</w:t>
            </w:r>
          </w:p>
        </w:tc>
        <w:tc>
          <w:tcPr>
            <w:tcW w:w="598" w:type="pct"/>
            <w:tcBorders>
              <w:bottom w:val="single" w:sz="12" w:space="0" w:color="auto"/>
            </w:tcBorders>
            <w:vAlign w:val="center"/>
          </w:tcPr>
          <w:p w:rsidR="00747E66" w:rsidRPr="00375D44" w:rsidRDefault="00553BED" w:rsidP="009852D2">
            <w:pPr>
              <w:spacing w:before="40" w:after="40"/>
              <w:jc w:val="center"/>
              <w:rPr>
                <w:sz w:val="20"/>
                <w:szCs w:val="20"/>
              </w:rPr>
            </w:pPr>
            <w:r>
              <w:rPr>
                <w:sz w:val="20"/>
                <w:szCs w:val="20"/>
              </w:rPr>
              <w:t>87.5</w:t>
            </w:r>
          </w:p>
        </w:tc>
        <w:tc>
          <w:tcPr>
            <w:tcW w:w="574" w:type="pct"/>
            <w:tcBorders>
              <w:bottom w:val="single" w:sz="12" w:space="0" w:color="auto"/>
            </w:tcBorders>
            <w:vAlign w:val="center"/>
          </w:tcPr>
          <w:p w:rsidR="00747E66" w:rsidRPr="00375D44" w:rsidRDefault="00553BED" w:rsidP="009852D2">
            <w:pPr>
              <w:spacing w:before="40" w:after="40"/>
              <w:jc w:val="center"/>
              <w:rPr>
                <w:sz w:val="20"/>
                <w:szCs w:val="20"/>
              </w:rPr>
            </w:pPr>
            <w:r>
              <w:rPr>
                <w:sz w:val="20"/>
                <w:szCs w:val="20"/>
              </w:rPr>
              <w:t>0</w:t>
            </w:r>
          </w:p>
        </w:tc>
      </w:tr>
      <w:tr w:rsidR="00553BED" w:rsidRPr="00375D44" w:rsidTr="00401887">
        <w:tc>
          <w:tcPr>
            <w:tcW w:w="1519" w:type="pct"/>
            <w:tcBorders>
              <w:top w:val="single" w:sz="12" w:space="0" w:color="auto"/>
              <w:left w:val="single" w:sz="4" w:space="0" w:color="auto"/>
              <w:bottom w:val="double" w:sz="12" w:space="0" w:color="auto"/>
              <w:right w:val="single" w:sz="4" w:space="0" w:color="auto"/>
            </w:tcBorders>
          </w:tcPr>
          <w:p w:rsidR="00553BED" w:rsidRDefault="00553BED" w:rsidP="00747E66">
            <w:pPr>
              <w:spacing w:before="40" w:after="40"/>
              <w:rPr>
                <w:sz w:val="20"/>
                <w:szCs w:val="20"/>
              </w:rPr>
            </w:pPr>
            <w:r>
              <w:rPr>
                <w:sz w:val="20"/>
                <w:szCs w:val="20"/>
              </w:rPr>
              <w:t>Total</w:t>
            </w:r>
          </w:p>
        </w:tc>
        <w:tc>
          <w:tcPr>
            <w:tcW w:w="509"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82.4</w:t>
            </w:r>
          </w:p>
        </w:tc>
        <w:tc>
          <w:tcPr>
            <w:tcW w:w="641"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59.6</w:t>
            </w:r>
          </w:p>
        </w:tc>
        <w:tc>
          <w:tcPr>
            <w:tcW w:w="592"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69.2</w:t>
            </w:r>
          </w:p>
        </w:tc>
        <w:tc>
          <w:tcPr>
            <w:tcW w:w="568"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84.3</w:t>
            </w:r>
          </w:p>
        </w:tc>
        <w:tc>
          <w:tcPr>
            <w:tcW w:w="598"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60.9</w:t>
            </w:r>
          </w:p>
        </w:tc>
        <w:tc>
          <w:tcPr>
            <w:tcW w:w="574" w:type="pct"/>
            <w:tcBorders>
              <w:top w:val="single" w:sz="12" w:space="0" w:color="auto"/>
              <w:left w:val="single" w:sz="4" w:space="0" w:color="auto"/>
              <w:bottom w:val="double" w:sz="12" w:space="0" w:color="auto"/>
              <w:right w:val="single" w:sz="4" w:space="0" w:color="auto"/>
            </w:tcBorders>
            <w:vAlign w:val="center"/>
          </w:tcPr>
          <w:p w:rsidR="00553BED" w:rsidRDefault="00553BED" w:rsidP="009852D2">
            <w:pPr>
              <w:spacing w:before="40" w:after="40"/>
              <w:jc w:val="center"/>
              <w:rPr>
                <w:sz w:val="20"/>
                <w:szCs w:val="20"/>
              </w:rPr>
            </w:pPr>
            <w:r>
              <w:rPr>
                <w:sz w:val="20"/>
                <w:szCs w:val="20"/>
              </w:rPr>
              <w:t>5.9</w:t>
            </w:r>
          </w:p>
        </w:tc>
      </w:tr>
      <w:tr w:rsidR="00747E66" w:rsidRPr="00375D44" w:rsidTr="00401887">
        <w:tc>
          <w:tcPr>
            <w:tcW w:w="5000" w:type="pct"/>
            <w:gridSpan w:val="7"/>
            <w:tcBorders>
              <w:top w:val="double" w:sz="12" w:space="0" w:color="auto"/>
              <w:left w:val="single" w:sz="4" w:space="0" w:color="auto"/>
              <w:bottom w:val="single" w:sz="12" w:space="0" w:color="auto"/>
              <w:right w:val="single" w:sz="4" w:space="0" w:color="auto"/>
            </w:tcBorders>
          </w:tcPr>
          <w:p w:rsidR="00747E66" w:rsidRPr="00375D44" w:rsidRDefault="00747E66" w:rsidP="00375D44">
            <w:pPr>
              <w:spacing w:before="40" w:after="40"/>
              <w:rPr>
                <w:sz w:val="20"/>
                <w:szCs w:val="20"/>
              </w:rPr>
            </w:pPr>
            <w:r>
              <w:rPr>
                <w:sz w:val="20"/>
                <w:szCs w:val="20"/>
              </w:rPr>
              <w:t xml:space="preserve"># </w:t>
            </w:r>
            <w:r>
              <w:rPr>
                <w:sz w:val="18"/>
                <w:szCs w:val="18"/>
              </w:rPr>
              <w:t>Results are indicative only - caution required due to very low denominator size (small numbers of workers who reported chemical exposure)</w:t>
            </w:r>
            <w:r>
              <w:rPr>
                <w:sz w:val="20"/>
                <w:szCs w:val="20"/>
              </w:rPr>
              <w:t xml:space="preserve"> </w:t>
            </w:r>
          </w:p>
        </w:tc>
      </w:tr>
    </w:tbl>
    <w:p w:rsidR="004110C7" w:rsidRPr="00356510" w:rsidRDefault="004110C7" w:rsidP="00C466DC">
      <w:pPr>
        <w:pStyle w:val="Heading3"/>
      </w:pPr>
      <w:bookmarkStart w:id="82" w:name="_Toc312075712"/>
      <w:r w:rsidRPr="00356510">
        <w:t>Gloves</w:t>
      </w:r>
      <w:bookmarkEnd w:id="82"/>
    </w:p>
    <w:p w:rsidR="004110C7" w:rsidRPr="00356510" w:rsidRDefault="004110C7" w:rsidP="004110C7">
      <w:pPr>
        <w:rPr>
          <w:rFonts w:cs="Arial"/>
          <w:szCs w:val="22"/>
        </w:rPr>
      </w:pPr>
      <w:r w:rsidRPr="00356510">
        <w:rPr>
          <w:rFonts w:cs="Arial"/>
          <w:szCs w:val="22"/>
        </w:rPr>
        <w:t xml:space="preserve">Gloves were a commonly provided control measure among workers participating in the NHEWS survey, with 82% of workers who reported exposure to chemicals also reporting the provision of gloves. There was some variation in the provision of gloves between industries. For example, </w:t>
      </w:r>
      <w:r w:rsidR="001A5F42">
        <w:rPr>
          <w:rFonts w:cs="Arial"/>
          <w:szCs w:val="22"/>
        </w:rPr>
        <w:t xml:space="preserve">provision of gloves was as high as </w:t>
      </w:r>
      <w:r w:rsidRPr="00356510">
        <w:rPr>
          <w:rFonts w:cs="Arial"/>
          <w:szCs w:val="22"/>
        </w:rPr>
        <w:t xml:space="preserve">92% of workers in the </w:t>
      </w:r>
      <w:r w:rsidRPr="000843AE">
        <w:rPr>
          <w:rFonts w:cs="Arial"/>
          <w:szCs w:val="22"/>
        </w:rPr>
        <w:t>Health and community services</w:t>
      </w:r>
      <w:r w:rsidRPr="00356510">
        <w:rPr>
          <w:rFonts w:cs="Arial"/>
          <w:szCs w:val="22"/>
        </w:rPr>
        <w:t xml:space="preserve"> industry, whereas </w:t>
      </w:r>
      <w:r w:rsidR="001A5F42">
        <w:rPr>
          <w:rFonts w:cs="Arial"/>
          <w:szCs w:val="22"/>
        </w:rPr>
        <w:t xml:space="preserve">only </w:t>
      </w:r>
      <w:r w:rsidR="00504A11" w:rsidRPr="00356510">
        <w:rPr>
          <w:rFonts w:cs="Arial"/>
          <w:szCs w:val="22"/>
        </w:rPr>
        <w:t>73</w:t>
      </w:r>
      <w:r w:rsidRPr="00356510">
        <w:rPr>
          <w:rFonts w:cs="Arial"/>
          <w:szCs w:val="22"/>
        </w:rPr>
        <w:t xml:space="preserve">% of workers in the </w:t>
      </w:r>
      <w:r w:rsidR="00504A11" w:rsidRPr="000843AE">
        <w:rPr>
          <w:rFonts w:cs="Arial"/>
          <w:szCs w:val="22"/>
        </w:rPr>
        <w:t>Construction</w:t>
      </w:r>
      <w:r w:rsidRPr="000843AE">
        <w:rPr>
          <w:rFonts w:cs="Arial"/>
          <w:szCs w:val="22"/>
        </w:rPr>
        <w:t xml:space="preserve"> i</w:t>
      </w:r>
      <w:r w:rsidRPr="00356510">
        <w:rPr>
          <w:rFonts w:cs="Arial"/>
          <w:szCs w:val="22"/>
        </w:rPr>
        <w:t>ndustry reported they were provided with</w:t>
      </w:r>
      <w:r w:rsidR="001A5F42">
        <w:rPr>
          <w:rFonts w:cs="Arial"/>
          <w:szCs w:val="22"/>
        </w:rPr>
        <w:t xml:space="preserve"> gloves</w:t>
      </w:r>
      <w:r w:rsidR="00C466DC">
        <w:rPr>
          <w:rFonts w:cs="Arial"/>
          <w:szCs w:val="22"/>
        </w:rPr>
        <w:t xml:space="preserve"> (</w:t>
      </w:r>
      <w:r w:rsidR="00AB2546">
        <w:rPr>
          <w:rFonts w:cs="Arial"/>
          <w:szCs w:val="22"/>
        </w:rPr>
        <w:fldChar w:fldCharType="begin"/>
      </w:r>
      <w:r w:rsidR="00D60EB3">
        <w:rPr>
          <w:rFonts w:cs="Arial"/>
          <w:szCs w:val="22"/>
        </w:rPr>
        <w:instrText xml:space="preserve"> REF _Ref311722779 \h </w:instrText>
      </w:r>
      <w:r w:rsidR="00AB2546">
        <w:rPr>
          <w:rFonts w:cs="Arial"/>
          <w:szCs w:val="22"/>
        </w:rPr>
      </w:r>
      <w:r w:rsidR="00AB2546">
        <w:rPr>
          <w:rFonts w:cs="Arial"/>
          <w:szCs w:val="22"/>
        </w:rPr>
        <w:fldChar w:fldCharType="separate"/>
      </w:r>
      <w:r w:rsidR="00266EB2">
        <w:t xml:space="preserve">Table </w:t>
      </w:r>
      <w:r w:rsidR="00266EB2">
        <w:rPr>
          <w:noProof/>
        </w:rPr>
        <w:t>5</w:t>
      </w:r>
      <w:r w:rsidR="00AB2546">
        <w:rPr>
          <w:rFonts w:cs="Arial"/>
          <w:szCs w:val="22"/>
        </w:rPr>
        <w:fldChar w:fldCharType="end"/>
      </w:r>
      <w:r w:rsidR="00D60EB3">
        <w:rPr>
          <w:rFonts w:cs="Arial"/>
          <w:szCs w:val="22"/>
        </w:rPr>
        <w:t xml:space="preserve"> and </w:t>
      </w:r>
      <w:r w:rsidR="00AB2546">
        <w:rPr>
          <w:rFonts w:cs="Arial"/>
          <w:szCs w:val="22"/>
          <w:highlight w:val="yellow"/>
        </w:rPr>
        <w:fldChar w:fldCharType="begin"/>
      </w:r>
      <w:r w:rsidR="00404A45">
        <w:rPr>
          <w:rFonts w:cs="Arial"/>
          <w:szCs w:val="22"/>
        </w:rPr>
        <w:instrText xml:space="preserve"> REF _Ref311639167 \h </w:instrText>
      </w:r>
      <w:r w:rsidR="00AB2546">
        <w:rPr>
          <w:rFonts w:cs="Arial"/>
          <w:szCs w:val="22"/>
          <w:highlight w:val="yellow"/>
        </w:rPr>
      </w:r>
      <w:r w:rsidR="00AB2546">
        <w:rPr>
          <w:rFonts w:cs="Arial"/>
          <w:szCs w:val="22"/>
          <w:highlight w:val="yellow"/>
        </w:rPr>
        <w:fldChar w:fldCharType="separate"/>
      </w:r>
      <w:r w:rsidR="00266EB2">
        <w:t xml:space="preserve">Table </w:t>
      </w:r>
      <w:r w:rsidR="00266EB2">
        <w:rPr>
          <w:noProof/>
        </w:rPr>
        <w:t>6</w:t>
      </w:r>
      <w:r w:rsidR="00AB2546">
        <w:rPr>
          <w:rFonts w:cs="Arial"/>
          <w:szCs w:val="22"/>
          <w:highlight w:val="yellow"/>
        </w:rPr>
        <w:fldChar w:fldCharType="end"/>
      </w:r>
      <w:r w:rsidR="00C466DC">
        <w:rPr>
          <w:rFonts w:cs="Arial"/>
          <w:szCs w:val="22"/>
        </w:rPr>
        <w:t>)</w:t>
      </w:r>
      <w:r w:rsidR="001A5F42">
        <w:rPr>
          <w:rFonts w:cs="Arial"/>
          <w:szCs w:val="22"/>
        </w:rPr>
        <w:t>. It should be noted that in addition to protecting workers from dermal chemical exposure</w:t>
      </w:r>
      <w:r w:rsidRPr="00356510">
        <w:rPr>
          <w:rFonts w:cs="Arial"/>
          <w:szCs w:val="22"/>
        </w:rPr>
        <w:t xml:space="preserve"> gloves are routinely used as a method of food contamination prevention and infection control</w:t>
      </w:r>
      <w:r w:rsidR="001A5F42">
        <w:rPr>
          <w:rFonts w:cs="Arial"/>
          <w:szCs w:val="22"/>
        </w:rPr>
        <w:t>. Therefore, it is possible that some workers may have reported that gloves were provided in their workplace when the gloves were provided for a separate purpose to dermal chemical exposure protection</w:t>
      </w:r>
      <w:r w:rsidR="0053557D" w:rsidRPr="00356510">
        <w:rPr>
          <w:rFonts w:cs="Arial"/>
          <w:szCs w:val="22"/>
        </w:rPr>
        <w:t>.</w:t>
      </w:r>
      <w:r w:rsidRPr="00356510">
        <w:rPr>
          <w:rFonts w:cs="Arial"/>
          <w:szCs w:val="22"/>
        </w:rPr>
        <w:t xml:space="preserve"> </w:t>
      </w:r>
    </w:p>
    <w:p w:rsidR="004110C7" w:rsidRPr="00356510" w:rsidRDefault="004110C7" w:rsidP="004110C7">
      <w:pPr>
        <w:rPr>
          <w:rFonts w:cs="Arial"/>
          <w:szCs w:val="22"/>
        </w:rPr>
      </w:pPr>
      <w:r w:rsidRPr="00356510">
        <w:rPr>
          <w:rFonts w:cs="Arial"/>
          <w:szCs w:val="22"/>
        </w:rPr>
        <w:t xml:space="preserve">Workers were </w:t>
      </w:r>
      <w:r w:rsidR="00641C53" w:rsidRPr="00356510">
        <w:rPr>
          <w:rFonts w:cs="Arial"/>
          <w:szCs w:val="22"/>
        </w:rPr>
        <w:t>also</w:t>
      </w:r>
      <w:r w:rsidRPr="00356510">
        <w:rPr>
          <w:rFonts w:cs="Arial"/>
          <w:szCs w:val="22"/>
        </w:rPr>
        <w:t xml:space="preserve"> asked about the type of glove they normally used and this information is provided in</w:t>
      </w:r>
      <w:r w:rsidR="00404A45">
        <w:rPr>
          <w:rFonts w:cs="Arial"/>
          <w:szCs w:val="22"/>
        </w:rPr>
        <w:t xml:space="preserve"> </w:t>
      </w:r>
      <w:r w:rsidR="00AB2546">
        <w:rPr>
          <w:rFonts w:cs="Arial"/>
          <w:szCs w:val="22"/>
        </w:rPr>
        <w:fldChar w:fldCharType="begin"/>
      </w:r>
      <w:r w:rsidR="00404A45">
        <w:rPr>
          <w:rFonts w:cs="Arial"/>
          <w:szCs w:val="22"/>
        </w:rPr>
        <w:instrText xml:space="preserve"> REF _Ref311639167 \h </w:instrText>
      </w:r>
      <w:r w:rsidR="00AB2546">
        <w:rPr>
          <w:rFonts w:cs="Arial"/>
          <w:szCs w:val="22"/>
        </w:rPr>
      </w:r>
      <w:r w:rsidR="00AB2546">
        <w:rPr>
          <w:rFonts w:cs="Arial"/>
          <w:szCs w:val="22"/>
        </w:rPr>
        <w:fldChar w:fldCharType="separate"/>
      </w:r>
      <w:r w:rsidR="00266EB2">
        <w:t xml:space="preserve">Table </w:t>
      </w:r>
      <w:r w:rsidR="00266EB2">
        <w:rPr>
          <w:noProof/>
        </w:rPr>
        <w:t>6</w:t>
      </w:r>
      <w:r w:rsidR="00AB2546">
        <w:rPr>
          <w:rFonts w:cs="Arial"/>
          <w:szCs w:val="22"/>
        </w:rPr>
        <w:fldChar w:fldCharType="end"/>
      </w:r>
      <w:r w:rsidRPr="00356510">
        <w:rPr>
          <w:rFonts w:cs="Arial"/>
          <w:szCs w:val="22"/>
        </w:rPr>
        <w:t xml:space="preserve">. </w:t>
      </w:r>
      <w:r w:rsidR="00C466DC">
        <w:rPr>
          <w:rFonts w:cs="Arial"/>
          <w:szCs w:val="22"/>
        </w:rPr>
        <w:t>M</w:t>
      </w:r>
      <w:r w:rsidRPr="00356510">
        <w:rPr>
          <w:rFonts w:cs="Arial"/>
          <w:szCs w:val="22"/>
        </w:rPr>
        <w:t>any different types of gloves</w:t>
      </w:r>
      <w:r w:rsidR="00C466DC">
        <w:rPr>
          <w:rFonts w:cs="Arial"/>
          <w:szCs w:val="22"/>
        </w:rPr>
        <w:t xml:space="preserve"> were provided to workers</w:t>
      </w:r>
      <w:r w:rsidRPr="00356510">
        <w:rPr>
          <w:rFonts w:cs="Arial"/>
          <w:szCs w:val="22"/>
        </w:rPr>
        <w:t xml:space="preserve">. Some of these are appropriate within specific industries but not others. For example, latex gloves provide protection against infection but are generally considered inappropriate for food handlers since they may be handling food for </w:t>
      </w:r>
      <w:r w:rsidR="0053557D" w:rsidRPr="00356510">
        <w:rPr>
          <w:rFonts w:cs="Arial"/>
          <w:szCs w:val="22"/>
        </w:rPr>
        <w:t>consumers</w:t>
      </w:r>
      <w:r w:rsidRPr="00356510">
        <w:rPr>
          <w:rFonts w:cs="Arial"/>
          <w:szCs w:val="22"/>
        </w:rPr>
        <w:t xml:space="preserve"> with latex sensitivity</w:t>
      </w:r>
      <w:r w:rsidR="006A1CC7">
        <w:rPr>
          <w:rFonts w:cs="Arial"/>
          <w:szCs w:val="22"/>
        </w:rPr>
        <w:t xml:space="preserve"> </w:t>
      </w:r>
      <w:r w:rsidR="00AB2546">
        <w:rPr>
          <w:rFonts w:cs="Arial"/>
          <w:szCs w:val="22"/>
        </w:rPr>
        <w:fldChar w:fldCharType="begin"/>
      </w:r>
      <w:r w:rsidR="006A1CC7">
        <w:rPr>
          <w:rFonts w:cs="Arial"/>
          <w:szCs w:val="22"/>
        </w:rPr>
        <w:instrText xml:space="preserve"> ADDIN EN.CITE &lt;EndNote&gt;&lt;Cite&gt;&lt;Author&gt;Lee&lt;/Author&gt;&lt;Year&gt;2001&lt;/Year&gt;&lt;RecNum&gt;300&lt;/RecNum&gt;&lt;DisplayText&gt;(Lee et al. 2001)&lt;/DisplayText&gt;&lt;record&gt;&lt;rec-number&gt;300&lt;/rec-number&gt;&lt;foreign-keys&gt;&lt;key app="EN" db-id="sx9edz2tiw2008erzw75s5a65aepf9d2pvs9"&gt;300&lt;/key&gt;&lt;/foreign-keys&gt;&lt;ref-type name="Journal Article"&gt;17&lt;/ref-type&gt;&lt;contributors&gt;&lt;authors&gt;&lt;author&gt;Lee, Adriene&lt;/author&gt;&lt;author&gt;Nixon, Rosemary&lt;/author&gt;&lt;author&gt;Frowen, Kathryn&lt;/author&gt;&lt;/authors&gt;&lt;/contributors&gt;&lt;titles&gt;&lt;title&gt;Reduction of use of latex gloves in food handlers: an intervention study&lt;/title&gt;&lt;secondary-title&gt;Contact Dermatitis&lt;/secondary-title&gt;&lt;/titles&gt;&lt;periodical&gt;&lt;full-title&gt;Contact Dermatitis&lt;/full-title&gt;&lt;/periodical&gt;&lt;pages&gt;75-79&lt;/pages&gt;&lt;volume&gt;44&lt;/volume&gt;&lt;keywords&gt;&lt;keyword&gt;latex allergy&lt;/keyword&gt;&lt;keyword&gt;food handlers&lt;/keyword&gt;&lt;keyword&gt;intervention study&lt;/keyword&gt;&lt;keyword&gt;survey&lt;/keyword&gt;&lt;keyword&gt;questionnaire&lt;/keyword&gt;&lt;keyword&gt;glove use&lt;/keyword&gt;&lt;keyword&gt;natural rubber latex&lt;/keyword&gt;&lt;keyword&gt;prevention&lt;/keyword&gt;&lt;/keywords&gt;&lt;dates&gt;&lt;year&gt;2001&lt;/year&gt;&lt;/dates&gt;&lt;urls&gt;&lt;/urls&gt;&lt;/record&gt;&lt;/Cite&gt;&lt;/EndNote&gt;</w:instrText>
      </w:r>
      <w:r w:rsidR="00AB2546">
        <w:rPr>
          <w:rFonts w:cs="Arial"/>
          <w:szCs w:val="22"/>
        </w:rPr>
        <w:fldChar w:fldCharType="separate"/>
      </w:r>
      <w:r w:rsidR="006A1CC7">
        <w:rPr>
          <w:rFonts w:cs="Arial"/>
          <w:noProof/>
          <w:szCs w:val="22"/>
        </w:rPr>
        <w:t>(</w:t>
      </w:r>
      <w:hyperlink w:anchor="_ENREF_16" w:tooltip="Lee, 2001 #300" w:history="1">
        <w:r w:rsidR="008E2C8E">
          <w:rPr>
            <w:rFonts w:cs="Arial"/>
            <w:noProof/>
            <w:szCs w:val="22"/>
          </w:rPr>
          <w:t>Lee et al. 2001</w:t>
        </w:r>
      </w:hyperlink>
      <w:r w:rsidR="006A1CC7">
        <w:rPr>
          <w:rFonts w:cs="Arial"/>
          <w:noProof/>
          <w:szCs w:val="22"/>
        </w:rPr>
        <w:t>)</w:t>
      </w:r>
      <w:r w:rsidR="00AB2546">
        <w:rPr>
          <w:rFonts w:cs="Arial"/>
          <w:szCs w:val="22"/>
        </w:rPr>
        <w:fldChar w:fldCharType="end"/>
      </w:r>
      <w:r w:rsidR="00E731E7">
        <w:rPr>
          <w:rFonts w:cs="Arial"/>
          <w:szCs w:val="22"/>
        </w:rPr>
        <w:t xml:space="preserve">. </w:t>
      </w:r>
      <w:r w:rsidRPr="00356510">
        <w:rPr>
          <w:rFonts w:cs="Arial"/>
          <w:szCs w:val="22"/>
        </w:rPr>
        <w:t xml:space="preserve">The most commonly provided gloves were disposable latex gloves, with 41% of workers who answered the question regarding glove type reporting the use of disposable latex. </w:t>
      </w:r>
      <w:r w:rsidR="00E0594F" w:rsidRPr="00356510">
        <w:rPr>
          <w:rFonts w:cs="Arial"/>
          <w:szCs w:val="22"/>
        </w:rPr>
        <w:t xml:space="preserve">Consistent </w:t>
      </w:r>
      <w:r w:rsidR="00E0594F" w:rsidRPr="00356510">
        <w:rPr>
          <w:rFonts w:cs="Arial"/>
          <w:szCs w:val="22"/>
        </w:rPr>
        <w:lastRenderedPageBreak/>
        <w:t>with the fact that</w:t>
      </w:r>
      <w:r w:rsidRPr="00356510">
        <w:rPr>
          <w:rFonts w:cs="Arial"/>
          <w:szCs w:val="22"/>
        </w:rPr>
        <w:t xml:space="preserve"> latex gloves are effective for infection control, the industry with the highest percentage of workers </w:t>
      </w:r>
      <w:r w:rsidR="00C466DC">
        <w:rPr>
          <w:rFonts w:cs="Arial"/>
          <w:szCs w:val="22"/>
        </w:rPr>
        <w:t>who reported</w:t>
      </w:r>
      <w:r w:rsidRPr="00356510">
        <w:rPr>
          <w:rFonts w:cs="Arial"/>
          <w:szCs w:val="22"/>
        </w:rPr>
        <w:t xml:space="preserve"> the provision of disposable latex gloves was </w:t>
      </w:r>
      <w:r w:rsidRPr="00C466DC">
        <w:rPr>
          <w:rFonts w:cs="Arial"/>
          <w:szCs w:val="22"/>
        </w:rPr>
        <w:t>Health and community services</w:t>
      </w:r>
      <w:r w:rsidRPr="00356510">
        <w:rPr>
          <w:rFonts w:cs="Arial"/>
          <w:szCs w:val="22"/>
        </w:rPr>
        <w:t xml:space="preserve">. Other industries where a high proportion of workers reported the provision of disposable latex gloves were </w:t>
      </w:r>
      <w:r w:rsidRPr="00C466DC">
        <w:rPr>
          <w:rFonts w:cs="Arial"/>
          <w:szCs w:val="22"/>
        </w:rPr>
        <w:t>Accommodation, cafes and restaurants</w:t>
      </w:r>
      <w:r w:rsidRPr="00356510">
        <w:rPr>
          <w:rFonts w:cs="Arial"/>
          <w:szCs w:val="22"/>
        </w:rPr>
        <w:t xml:space="preserve"> and </w:t>
      </w:r>
      <w:r w:rsidRPr="00C466DC">
        <w:rPr>
          <w:rFonts w:cs="Arial"/>
          <w:szCs w:val="22"/>
        </w:rPr>
        <w:t>Education</w:t>
      </w:r>
      <w:r w:rsidRPr="00356510">
        <w:rPr>
          <w:rFonts w:cs="Arial"/>
          <w:szCs w:val="22"/>
        </w:rPr>
        <w:t xml:space="preserve">. It is not clear whether the use of disposable latex gloves was appropriate in these industries, particularly for </w:t>
      </w:r>
      <w:r w:rsidR="00C466DC">
        <w:rPr>
          <w:rFonts w:cs="Arial"/>
          <w:szCs w:val="22"/>
        </w:rPr>
        <w:t>workers in the Accommodation, c</w:t>
      </w:r>
      <w:r w:rsidRPr="00C466DC">
        <w:rPr>
          <w:rFonts w:cs="Arial"/>
          <w:szCs w:val="22"/>
        </w:rPr>
        <w:t xml:space="preserve">afes and </w:t>
      </w:r>
      <w:r w:rsidR="00C466DC">
        <w:rPr>
          <w:rFonts w:cs="Arial"/>
          <w:szCs w:val="22"/>
        </w:rPr>
        <w:t>r</w:t>
      </w:r>
      <w:r w:rsidRPr="00C466DC">
        <w:rPr>
          <w:rFonts w:cs="Arial"/>
          <w:szCs w:val="22"/>
        </w:rPr>
        <w:t>estaurants</w:t>
      </w:r>
      <w:r w:rsidRPr="00356510">
        <w:rPr>
          <w:rFonts w:cs="Arial"/>
          <w:szCs w:val="22"/>
        </w:rPr>
        <w:t xml:space="preserve"> </w:t>
      </w:r>
      <w:r w:rsidR="00C466DC">
        <w:rPr>
          <w:rFonts w:cs="Arial"/>
          <w:szCs w:val="22"/>
        </w:rPr>
        <w:t xml:space="preserve">industry </w:t>
      </w:r>
      <w:r w:rsidRPr="00356510">
        <w:rPr>
          <w:rFonts w:cs="Arial"/>
          <w:szCs w:val="22"/>
        </w:rPr>
        <w:t>where the use of latex gloves may be unsafe if food becomes contaminated by latex. Other commonly provided gloves were rubber gloves (29%) and leather gloves (17%). There are recommendations that workers who regularly use occlusive gloves wear cotton gloves underneath their outer gloves to protect their hands against excessive sweating</w:t>
      </w:r>
      <w:r w:rsidR="006A1CC7">
        <w:rPr>
          <w:rFonts w:cs="Arial"/>
          <w:szCs w:val="22"/>
        </w:rPr>
        <w:t xml:space="preserve"> </w:t>
      </w:r>
      <w:r w:rsidR="00AB2546">
        <w:rPr>
          <w:rFonts w:cs="Arial"/>
          <w:szCs w:val="22"/>
        </w:rPr>
        <w:fldChar w:fldCharType="begin"/>
      </w:r>
      <w:r w:rsidR="002C49A5">
        <w:rPr>
          <w:rFonts w:cs="Arial"/>
          <w:szCs w:val="22"/>
        </w:rPr>
        <w:instrText xml:space="preserve"> ADDIN EN.CITE &lt;EndNote&gt;&lt;Cite&gt;&lt;Author&gt;ASCC&lt;/Author&gt;&lt;Year&gt;2005&lt;/Year&gt;&lt;RecNum&gt;463&lt;/RecNum&gt;&lt;DisplayText&gt;(ASCC 2005)&lt;/DisplayText&gt;&lt;record&gt;&lt;rec-number&gt;463&lt;/rec-number&gt;&lt;foreign-keys&gt;&lt;key app="EN" db-id="sx9edz2tiw2008erzw75s5a65aepf9d2pvs9"&gt;463&lt;/key&gt;&lt;/foreign-keys&gt;&lt;ref-type name="Government Document"&gt;46&lt;/ref-type&gt;&lt;contributors&gt;&lt;authors&gt;&lt;author&gt;ASCC,&lt;/author&gt;&lt;/authors&gt;&lt;secondary-authors&gt;&lt;author&gt;Australian Safety and Compensation Council&lt;/author&gt;&lt;/secondary-authors&gt;&lt;/contributors&gt;&lt;titles&gt;&lt;title&gt;Guidance on the prevention of dermatitis caused by wet work&lt;/title&gt;&lt;/titles&gt;&lt;dates&gt;&lt;year&gt;2005&lt;/year&gt;&lt;/dates&gt;&lt;pub-location&gt;Canberra&lt;/pub-location&gt;&lt;publisher&gt;Australian Government: Australian Safety and Compensation Council&lt;/publisher&gt;&lt;urls&gt;&lt;/urls&gt;&lt;/record&gt;&lt;/Cite&gt;&lt;/EndNote&gt;</w:instrText>
      </w:r>
      <w:r w:rsidR="00AB2546">
        <w:rPr>
          <w:rFonts w:cs="Arial"/>
          <w:szCs w:val="22"/>
        </w:rPr>
        <w:fldChar w:fldCharType="separate"/>
      </w:r>
      <w:r w:rsidR="006A1CC7">
        <w:rPr>
          <w:rFonts w:cs="Arial"/>
          <w:noProof/>
          <w:szCs w:val="22"/>
        </w:rPr>
        <w:t>(</w:t>
      </w:r>
      <w:hyperlink w:anchor="_ENREF_2" w:tooltip="ASCC, 2005 #463" w:history="1">
        <w:r w:rsidR="008E2C8E">
          <w:rPr>
            <w:rFonts w:cs="Arial"/>
            <w:noProof/>
            <w:szCs w:val="22"/>
          </w:rPr>
          <w:t>ASCC 2005</w:t>
        </w:r>
      </w:hyperlink>
      <w:r w:rsidR="006A1CC7">
        <w:rPr>
          <w:rFonts w:cs="Arial"/>
          <w:noProof/>
          <w:szCs w:val="22"/>
        </w:rPr>
        <w:t>)</w:t>
      </w:r>
      <w:r w:rsidR="00AB2546">
        <w:rPr>
          <w:rFonts w:cs="Arial"/>
          <w:szCs w:val="22"/>
        </w:rPr>
        <w:fldChar w:fldCharType="end"/>
      </w:r>
      <w:r w:rsidR="00E731E7">
        <w:rPr>
          <w:rFonts w:cs="Arial"/>
          <w:szCs w:val="22"/>
        </w:rPr>
        <w:t>. T</w:t>
      </w:r>
      <w:r w:rsidRPr="00356510">
        <w:rPr>
          <w:rFonts w:cs="Arial"/>
          <w:szCs w:val="22"/>
        </w:rPr>
        <w:t xml:space="preserve">he use of cotton gloves was reported by only 5% of the total sample and was mostly reported by workers in the </w:t>
      </w:r>
      <w:r w:rsidRPr="00C466DC">
        <w:rPr>
          <w:rFonts w:cs="Arial"/>
          <w:szCs w:val="22"/>
        </w:rPr>
        <w:t>Manufacturing</w:t>
      </w:r>
      <w:r w:rsidRPr="00356510">
        <w:rPr>
          <w:rFonts w:cs="Arial"/>
          <w:szCs w:val="22"/>
        </w:rPr>
        <w:t xml:space="preserve"> industry (12% of </w:t>
      </w:r>
      <w:r w:rsidRPr="00C466DC">
        <w:rPr>
          <w:rFonts w:cs="Arial"/>
          <w:szCs w:val="22"/>
        </w:rPr>
        <w:t xml:space="preserve">Manufacturing </w:t>
      </w:r>
      <w:r w:rsidRPr="00356510">
        <w:rPr>
          <w:rFonts w:cs="Arial"/>
          <w:szCs w:val="22"/>
        </w:rPr>
        <w:t xml:space="preserve">industry workers). </w:t>
      </w:r>
    </w:p>
    <w:p w:rsidR="004110C7" w:rsidRPr="00356510" w:rsidRDefault="004110C7" w:rsidP="004110C7">
      <w:pPr>
        <w:rPr>
          <w:rFonts w:cs="Arial"/>
          <w:szCs w:val="22"/>
        </w:rPr>
      </w:pPr>
      <w:r w:rsidRPr="00356510">
        <w:rPr>
          <w:rFonts w:cs="Arial"/>
          <w:szCs w:val="22"/>
        </w:rPr>
        <w:t xml:space="preserve">The logistic regression model that examined the likelihood </w:t>
      </w:r>
      <w:r w:rsidR="00C466DC">
        <w:rPr>
          <w:rFonts w:cs="Arial"/>
          <w:szCs w:val="22"/>
        </w:rPr>
        <w:t>that</w:t>
      </w:r>
      <w:r w:rsidRPr="00356510">
        <w:rPr>
          <w:rFonts w:cs="Arial"/>
          <w:szCs w:val="22"/>
        </w:rPr>
        <w:t xml:space="preserve"> gloves</w:t>
      </w:r>
      <w:r w:rsidR="00C466DC">
        <w:rPr>
          <w:rFonts w:cs="Arial"/>
          <w:szCs w:val="22"/>
        </w:rPr>
        <w:t xml:space="preserve"> were provided</w:t>
      </w:r>
      <w:r w:rsidRPr="00356510">
        <w:rPr>
          <w:rFonts w:cs="Arial"/>
          <w:szCs w:val="22"/>
        </w:rPr>
        <w:t xml:space="preserve"> as a control measure </w:t>
      </w:r>
      <w:r w:rsidR="00C466DC">
        <w:rPr>
          <w:rFonts w:cs="Arial"/>
          <w:szCs w:val="22"/>
        </w:rPr>
        <w:t xml:space="preserve">for dermal chemical exposure </w:t>
      </w:r>
      <w:r w:rsidRPr="00356510">
        <w:rPr>
          <w:rFonts w:cs="Arial"/>
          <w:szCs w:val="22"/>
        </w:rPr>
        <w:t>showed that there were a number of work and demographic factors associated with the provision of this control (</w:t>
      </w:r>
      <w:r w:rsidR="00AB2546">
        <w:rPr>
          <w:rFonts w:cs="Arial"/>
          <w:szCs w:val="22"/>
        </w:rPr>
        <w:fldChar w:fldCharType="begin"/>
      </w:r>
      <w:r w:rsidR="008F1B6B">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Pr="00356510">
        <w:rPr>
          <w:rFonts w:cs="Arial"/>
          <w:szCs w:val="22"/>
        </w:rPr>
        <w:t>). Compared to workers in the youngest age group (15- 24 years), workers in the 25-</w:t>
      </w:r>
      <w:r w:rsidR="002031FF" w:rsidRPr="00356510">
        <w:rPr>
          <w:rFonts w:cs="Arial"/>
          <w:szCs w:val="22"/>
        </w:rPr>
        <w:t>34,</w:t>
      </w:r>
      <w:r w:rsidRPr="00356510">
        <w:rPr>
          <w:rFonts w:cs="Arial"/>
          <w:szCs w:val="22"/>
        </w:rPr>
        <w:t xml:space="preserve"> 35-</w:t>
      </w:r>
      <w:r w:rsidR="002031FF" w:rsidRPr="00356510">
        <w:rPr>
          <w:rFonts w:cs="Arial"/>
          <w:szCs w:val="22"/>
        </w:rPr>
        <w:t>44 and</w:t>
      </w:r>
      <w:r w:rsidRPr="00356510">
        <w:rPr>
          <w:rFonts w:cs="Arial"/>
          <w:szCs w:val="22"/>
        </w:rPr>
        <w:t xml:space="preserve"> 55+ year old age groups were all almost twice as likely to report the provision of gloves as a control measure. Furthermore, compared to workers in workplaces with 200 or more workers, workers in workplaces with less than five employees and those with between five and 19 workers were both approximately 60% less likely to report the provision</w:t>
      </w:r>
      <w:r w:rsidR="00C466DC">
        <w:rPr>
          <w:rFonts w:cs="Arial"/>
          <w:szCs w:val="22"/>
        </w:rPr>
        <w:t xml:space="preserve"> of gloves as a control measure.</w:t>
      </w:r>
    </w:p>
    <w:p w:rsidR="004110C7" w:rsidRPr="00356510" w:rsidRDefault="004110C7" w:rsidP="004110C7">
      <w:pPr>
        <w:rPr>
          <w:rFonts w:cs="Arial"/>
          <w:szCs w:val="22"/>
        </w:rPr>
      </w:pPr>
      <w:r w:rsidRPr="00356510">
        <w:rPr>
          <w:rFonts w:cs="Arial"/>
          <w:szCs w:val="22"/>
        </w:rPr>
        <w:t xml:space="preserve">As a personal protective measure, glove use is considered to be a last line of worker protection since it does not reduce the exposure to chemicals at the source and because </w:t>
      </w:r>
      <w:r w:rsidR="0053557D" w:rsidRPr="00356510">
        <w:rPr>
          <w:rFonts w:cs="Arial"/>
          <w:szCs w:val="22"/>
        </w:rPr>
        <w:t>glove</w:t>
      </w:r>
      <w:r w:rsidRPr="00356510">
        <w:rPr>
          <w:rFonts w:cs="Arial"/>
          <w:szCs w:val="22"/>
        </w:rPr>
        <w:t xml:space="preserve"> efficacy relies heavily on the behaviour of the worker. Therefore gloves are usually only effective as a component part of a broader protection program which emphasises higher level controls. As previously discussed, use of occlusive gloves for long periods is also itself recognised as a possible risk factor for dermatitis</w:t>
      </w:r>
      <w:r w:rsidR="006A1CC7">
        <w:rPr>
          <w:rFonts w:cs="Arial"/>
          <w:szCs w:val="22"/>
        </w:rPr>
        <w:t xml:space="preserve"> </w:t>
      </w:r>
      <w:r w:rsidR="00AB2546">
        <w:rPr>
          <w:rFonts w:cs="Arial"/>
          <w:szCs w:val="22"/>
        </w:rPr>
        <w:fldChar w:fldCharType="begin"/>
      </w:r>
      <w:r w:rsidR="002C49A5">
        <w:rPr>
          <w:rFonts w:cs="Arial"/>
          <w:szCs w:val="22"/>
        </w:rPr>
        <w:instrText xml:space="preserve"> ADDIN EN.CITE &lt;EndNote&gt;&lt;Cite&gt;&lt;Author&gt;ASCC&lt;/Author&gt;&lt;Year&gt;2005&lt;/Year&gt;&lt;RecNum&gt;463&lt;/RecNum&gt;&lt;DisplayText&gt;(ASCC 2005; BAuA 2008)&lt;/DisplayText&gt;&lt;record&gt;&lt;rec-number&gt;463&lt;/rec-number&gt;&lt;foreign-keys&gt;&lt;key app="EN" db-id="sx9edz2tiw2008erzw75s5a65aepf9d2pvs9"&gt;463&lt;/key&gt;&lt;/foreign-keys&gt;&lt;ref-type name="Government Document"&gt;46&lt;/ref-type&gt;&lt;contributors&gt;&lt;authors&gt;&lt;author&gt;ASCC,&lt;/author&gt;&lt;/authors&gt;&lt;secondary-authors&gt;&lt;author&gt;Australian Safety and Compensation Council&lt;/author&gt;&lt;/secondary-authors&gt;&lt;/contributors&gt;&lt;titles&gt;&lt;title&gt;Guidance on the prevention of dermatitis caused by wet work&lt;/title&gt;&lt;/titles&gt;&lt;dates&gt;&lt;year&gt;2005&lt;/year&gt;&lt;/dates&gt;&lt;pub-location&gt;Canberra&lt;/pub-location&gt;&lt;publisher&gt;Australian Government: Australian Safety and Compensation Council&lt;/publisher&gt;&lt;urls&gt;&lt;/urls&gt;&lt;/record&gt;&lt;/Cite&gt;&lt;Cite&gt;&lt;Author&gt;BAuA&lt;/Author&gt;&lt;Year&gt;2008&lt;/Year&gt;&lt;RecNum&gt;1086&lt;/RecNum&gt;&lt;record&gt;&lt;rec-number&gt;1086&lt;/rec-number&gt;&lt;foreign-keys&gt;&lt;key app="EN" db-id="sx9edz2tiw2008erzw75s5a65aepf9d2pvs9"&gt;1086&lt;/key&gt;&lt;/foreign-keys&gt;&lt;ref-type name="Legal Rule or Regulation"&gt;50&lt;/ref-type&gt;&lt;contributors&gt;&lt;authors&gt;&lt;author&gt;BAuA&lt;/author&gt;&lt;/authors&gt;&lt;secondary-authors&gt;&lt;author&gt;BAuA - German Federal Institute for Occupational Safety and Health&lt;/author&gt;&lt;/secondary-authors&gt;&lt;/contributors&gt;&lt;titles&gt;&lt;title&gt;Technical Rules for Hazardous Substances: Risks resulting from skin contact - identification, assessment, measures&lt;/title&gt;&lt;secondary-title&gt;TRGS 401&lt;/secondary-title&gt;&lt;/titles&gt;&lt;edition&gt;June 2008&lt;/edition&gt;&lt;dates&gt;&lt;year&gt;2008&lt;/year&gt;&lt;/dates&gt;&lt;urls&gt;&lt;related-urls&gt;&lt;url&gt;http://www.baua.de/en/Topics-from-A-to-Z/Hazardous-Substances/TRGS/pdf/TRGS-401.pdf?__blob=publicationFile&amp;amp;v=6&lt;/url&gt;&lt;/related-urls&gt;&lt;/urls&gt;&lt;/record&gt;&lt;/Cite&gt;&lt;/EndNote&gt;</w:instrText>
      </w:r>
      <w:r w:rsidR="00AB2546">
        <w:rPr>
          <w:rFonts w:cs="Arial"/>
          <w:szCs w:val="22"/>
        </w:rPr>
        <w:fldChar w:fldCharType="separate"/>
      </w:r>
      <w:r w:rsidR="002C49A5">
        <w:rPr>
          <w:rFonts w:cs="Arial"/>
          <w:noProof/>
          <w:szCs w:val="22"/>
        </w:rPr>
        <w:t>(</w:t>
      </w:r>
      <w:hyperlink w:anchor="_ENREF_2" w:tooltip="ASCC, 2005 #463" w:history="1">
        <w:r w:rsidR="008E2C8E">
          <w:rPr>
            <w:rFonts w:cs="Arial"/>
            <w:noProof/>
            <w:szCs w:val="22"/>
          </w:rPr>
          <w:t>ASCC 2005</w:t>
        </w:r>
      </w:hyperlink>
      <w:r w:rsidR="002C49A5">
        <w:rPr>
          <w:rFonts w:cs="Arial"/>
          <w:noProof/>
          <w:szCs w:val="22"/>
        </w:rPr>
        <w:t xml:space="preserve">; </w:t>
      </w:r>
      <w:hyperlink w:anchor="_ENREF_4" w:tooltip="BAuA, 2008 #1086" w:history="1">
        <w:r w:rsidR="008E2C8E">
          <w:rPr>
            <w:rFonts w:cs="Arial"/>
            <w:noProof/>
            <w:szCs w:val="22"/>
          </w:rPr>
          <w:t>BAuA 2008</w:t>
        </w:r>
      </w:hyperlink>
      <w:r w:rsidR="002C49A5">
        <w:rPr>
          <w:rFonts w:cs="Arial"/>
          <w:noProof/>
          <w:szCs w:val="22"/>
        </w:rPr>
        <w:t>)</w:t>
      </w:r>
      <w:r w:rsidR="00AB2546">
        <w:rPr>
          <w:rFonts w:cs="Arial"/>
          <w:szCs w:val="22"/>
        </w:rPr>
        <w:fldChar w:fldCharType="end"/>
      </w:r>
      <w:r w:rsidR="00E731E7">
        <w:rPr>
          <w:rFonts w:cs="Arial"/>
          <w:szCs w:val="22"/>
        </w:rPr>
        <w:t>.</w:t>
      </w:r>
      <w:r w:rsidRPr="00356510">
        <w:rPr>
          <w:rFonts w:cs="Arial"/>
          <w:szCs w:val="22"/>
        </w:rPr>
        <w:t xml:space="preserve"> Employers must ensure that workers are supplied with appropriate gloves in the workplace and both employers and employees must ensure that the gloves are used correctly. </w:t>
      </w:r>
    </w:p>
    <w:p w:rsidR="00D60EB3" w:rsidRPr="00356510" w:rsidRDefault="00D60EB3" w:rsidP="00D60EB3">
      <w:pPr>
        <w:pStyle w:val="Heading3"/>
      </w:pPr>
      <w:bookmarkStart w:id="83" w:name="_Toc312075713"/>
      <w:r w:rsidRPr="00356510">
        <w:t>Protective clothing</w:t>
      </w:r>
      <w:bookmarkEnd w:id="83"/>
    </w:p>
    <w:p w:rsidR="00D60EB3" w:rsidRPr="00356510" w:rsidRDefault="00D60EB3" w:rsidP="00D60EB3">
      <w:pPr>
        <w:rPr>
          <w:rFonts w:cs="Arial"/>
          <w:szCs w:val="22"/>
        </w:rPr>
      </w:pPr>
      <w:r w:rsidRPr="00356510">
        <w:rPr>
          <w:rFonts w:cs="Arial"/>
          <w:szCs w:val="22"/>
        </w:rPr>
        <w:t xml:space="preserve">The provision of protective clothing was reported by almost 60% of the NHEWS survey participants who reported </w:t>
      </w:r>
      <w:r>
        <w:rPr>
          <w:rFonts w:cs="Arial"/>
          <w:szCs w:val="22"/>
        </w:rPr>
        <w:t xml:space="preserve">dermal </w:t>
      </w:r>
      <w:r w:rsidRPr="00356510">
        <w:rPr>
          <w:rFonts w:cs="Arial"/>
          <w:szCs w:val="22"/>
        </w:rPr>
        <w:t>exposure to chemicals</w:t>
      </w:r>
      <w:r w:rsidR="008F1B6B">
        <w:rPr>
          <w:rFonts w:cs="Arial"/>
          <w:szCs w:val="22"/>
        </w:rPr>
        <w:t xml:space="preserve"> (</w:t>
      </w:r>
      <w:r w:rsidR="00AB2546">
        <w:rPr>
          <w:rFonts w:cs="Arial"/>
          <w:szCs w:val="22"/>
        </w:rPr>
        <w:fldChar w:fldCharType="begin"/>
      </w:r>
      <w:r w:rsidR="008F1B6B">
        <w:rPr>
          <w:rFonts w:cs="Arial"/>
          <w:szCs w:val="22"/>
        </w:rPr>
        <w:instrText xml:space="preserve"> REF _Ref311722779 \h </w:instrText>
      </w:r>
      <w:r w:rsidR="00AB2546">
        <w:rPr>
          <w:rFonts w:cs="Arial"/>
          <w:szCs w:val="22"/>
        </w:rPr>
      </w:r>
      <w:r w:rsidR="00AB2546">
        <w:rPr>
          <w:rFonts w:cs="Arial"/>
          <w:szCs w:val="22"/>
        </w:rPr>
        <w:fldChar w:fldCharType="separate"/>
      </w:r>
      <w:r w:rsidR="00266EB2">
        <w:t xml:space="preserve">Table </w:t>
      </w:r>
      <w:r w:rsidR="00266EB2">
        <w:rPr>
          <w:noProof/>
        </w:rPr>
        <w:t>5</w:t>
      </w:r>
      <w:r w:rsidR="00AB2546">
        <w:rPr>
          <w:rFonts w:cs="Arial"/>
          <w:szCs w:val="22"/>
        </w:rPr>
        <w:fldChar w:fldCharType="end"/>
      </w:r>
      <w:r w:rsidR="008F1B6B">
        <w:rPr>
          <w:rFonts w:cs="Arial"/>
          <w:szCs w:val="22"/>
        </w:rPr>
        <w:t>)</w:t>
      </w:r>
      <w:r w:rsidRPr="00356510">
        <w:rPr>
          <w:rFonts w:cs="Arial"/>
          <w:szCs w:val="22"/>
        </w:rPr>
        <w:t xml:space="preserve">. Industries in which high percentages of workers reported the provision of protective clothing included: </w:t>
      </w:r>
      <w:r w:rsidRPr="008C79FD">
        <w:rPr>
          <w:rFonts w:cs="Arial"/>
          <w:szCs w:val="22"/>
        </w:rPr>
        <w:t>Mining (91%), Electricity, gas and water</w:t>
      </w:r>
      <w:r>
        <w:rPr>
          <w:rFonts w:cs="Arial"/>
          <w:szCs w:val="22"/>
        </w:rPr>
        <w:t xml:space="preserve"> supply</w:t>
      </w:r>
      <w:r w:rsidRPr="008C79FD">
        <w:rPr>
          <w:rFonts w:cs="Arial"/>
          <w:szCs w:val="22"/>
        </w:rPr>
        <w:t xml:space="preserve"> (87%), and Agriculture, forestry and fishing (71%). </w:t>
      </w:r>
    </w:p>
    <w:p w:rsidR="00D60EB3" w:rsidRPr="00356510" w:rsidRDefault="00D60EB3" w:rsidP="00D60EB3">
      <w:pPr>
        <w:rPr>
          <w:rFonts w:cs="Arial"/>
          <w:szCs w:val="22"/>
        </w:rPr>
      </w:pPr>
      <w:r>
        <w:rPr>
          <w:rFonts w:cs="Arial"/>
          <w:szCs w:val="22"/>
        </w:rPr>
        <w:t>T</w:t>
      </w:r>
      <w:r w:rsidRPr="00356510">
        <w:rPr>
          <w:rFonts w:cs="Arial"/>
          <w:szCs w:val="22"/>
        </w:rPr>
        <w:t xml:space="preserve">he logistic regression model </w:t>
      </w:r>
      <w:r>
        <w:rPr>
          <w:rFonts w:cs="Arial"/>
          <w:szCs w:val="22"/>
        </w:rPr>
        <w:t xml:space="preserve">that </w:t>
      </w:r>
      <w:r w:rsidRPr="00356510">
        <w:rPr>
          <w:rFonts w:cs="Arial"/>
          <w:szCs w:val="22"/>
        </w:rPr>
        <w:t>examin</w:t>
      </w:r>
      <w:r>
        <w:rPr>
          <w:rFonts w:cs="Arial"/>
          <w:szCs w:val="22"/>
        </w:rPr>
        <w:t>ed</w:t>
      </w:r>
      <w:r w:rsidRPr="00356510">
        <w:rPr>
          <w:rFonts w:cs="Arial"/>
          <w:szCs w:val="22"/>
        </w:rPr>
        <w:t xml:space="preserve"> the provision of protective clothing (</w:t>
      </w:r>
      <w:r w:rsidR="00AB2546">
        <w:rPr>
          <w:rFonts w:cs="Arial"/>
          <w:szCs w:val="22"/>
        </w:rPr>
        <w:fldChar w:fldCharType="begin"/>
      </w:r>
      <w:r w:rsidR="008F1B6B">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Pr="00356510">
        <w:rPr>
          <w:rFonts w:cs="Arial"/>
          <w:szCs w:val="22"/>
        </w:rPr>
        <w:t xml:space="preserve">) </w:t>
      </w:r>
      <w:r>
        <w:rPr>
          <w:rFonts w:cs="Arial"/>
          <w:szCs w:val="22"/>
        </w:rPr>
        <w:t xml:space="preserve">revealed </w:t>
      </w:r>
      <w:r w:rsidRPr="00356510">
        <w:rPr>
          <w:rFonts w:cs="Arial"/>
          <w:szCs w:val="22"/>
        </w:rPr>
        <w:t xml:space="preserve">a number of worker groups </w:t>
      </w:r>
      <w:r>
        <w:rPr>
          <w:rFonts w:cs="Arial"/>
          <w:szCs w:val="22"/>
        </w:rPr>
        <w:t xml:space="preserve">that </w:t>
      </w:r>
      <w:r w:rsidRPr="00356510">
        <w:rPr>
          <w:rFonts w:cs="Arial"/>
          <w:szCs w:val="22"/>
        </w:rPr>
        <w:t>were associated with decreased likelihood</w:t>
      </w:r>
      <w:r>
        <w:rPr>
          <w:rFonts w:cs="Arial"/>
          <w:szCs w:val="22"/>
        </w:rPr>
        <w:t>s</w:t>
      </w:r>
      <w:r w:rsidRPr="00356510">
        <w:rPr>
          <w:rFonts w:cs="Arial"/>
          <w:szCs w:val="22"/>
        </w:rPr>
        <w:t xml:space="preserve"> of</w:t>
      </w:r>
      <w:r>
        <w:rPr>
          <w:rFonts w:cs="Arial"/>
          <w:szCs w:val="22"/>
        </w:rPr>
        <w:t xml:space="preserve"> reporting</w:t>
      </w:r>
      <w:r w:rsidRPr="00356510">
        <w:rPr>
          <w:rFonts w:cs="Arial"/>
          <w:szCs w:val="22"/>
        </w:rPr>
        <w:t xml:space="preserve"> the provision of protective clothing. </w:t>
      </w:r>
      <w:r>
        <w:rPr>
          <w:rFonts w:cs="Arial"/>
          <w:szCs w:val="22"/>
        </w:rPr>
        <w:t>Workers were less likely to be provided with protective clothing if they worked in workplaces with fewer than 200 employees.</w:t>
      </w:r>
      <w:r w:rsidRPr="00356510">
        <w:rPr>
          <w:rFonts w:cs="Arial"/>
          <w:szCs w:val="22"/>
        </w:rPr>
        <w:t xml:space="preserve"> This was most striking in workplaces with between 5 to 19 employees (OR 0.21, 95% CI: 0.14-0.30) and in workplaces with less than five employees (OR 0.23, 95% CI: 0.15-0.37). Furthermore, compared to males, female workers were much less likely to report the provision of protective clothing, as were employees in </w:t>
      </w:r>
      <w:r>
        <w:rPr>
          <w:rFonts w:cs="Arial"/>
          <w:szCs w:val="22"/>
        </w:rPr>
        <w:t>occupational skill l</w:t>
      </w:r>
      <w:r w:rsidRPr="00356510">
        <w:rPr>
          <w:rFonts w:cs="Arial"/>
          <w:szCs w:val="22"/>
        </w:rPr>
        <w:t>evel four (</w:t>
      </w:r>
      <w:r>
        <w:t>i</w:t>
      </w:r>
      <w:r w:rsidRPr="00356510">
        <w:t>ntermediate clerical, sales or service work and intermediate plant operator/transport work</w:t>
      </w:r>
      <w:r w:rsidRPr="00356510" w:rsidDel="00DB41D8">
        <w:rPr>
          <w:rFonts w:cs="Arial"/>
          <w:szCs w:val="22"/>
        </w:rPr>
        <w:t xml:space="preserve"> </w:t>
      </w:r>
      <w:r w:rsidRPr="00356510">
        <w:rPr>
          <w:rFonts w:cs="Arial"/>
          <w:szCs w:val="22"/>
        </w:rPr>
        <w:t xml:space="preserve">) relative to the highest skilled workers. Compared to permanent and fixed term contract employees, casual employees were also less likely to report the provision of protective clothing. </w:t>
      </w:r>
    </w:p>
    <w:p w:rsidR="00163515" w:rsidRPr="00356510" w:rsidRDefault="00163515" w:rsidP="00163515">
      <w:pPr>
        <w:rPr>
          <w:rFonts w:cs="Arial"/>
          <w:szCs w:val="22"/>
        </w:rPr>
      </w:pPr>
    </w:p>
    <w:p w:rsidR="00163515" w:rsidRPr="00356510" w:rsidRDefault="00163515" w:rsidP="00163515">
      <w:pPr>
        <w:rPr>
          <w:rFonts w:cs="Arial"/>
          <w:szCs w:val="22"/>
        </w:rPr>
        <w:sectPr w:rsidR="00163515" w:rsidRPr="00356510" w:rsidSect="007C515D">
          <w:footerReference w:type="default" r:id="rId23"/>
          <w:type w:val="nextColumn"/>
          <w:pgSz w:w="11906" w:h="16838" w:code="9"/>
          <w:pgMar w:top="1440" w:right="1440" w:bottom="1440" w:left="1440" w:header="709" w:footer="709" w:gutter="0"/>
          <w:cols w:space="708"/>
          <w:docGrid w:linePitch="360"/>
        </w:sectPr>
      </w:pPr>
    </w:p>
    <w:p w:rsidR="00404A45" w:rsidRDefault="00404A45" w:rsidP="00404A45">
      <w:pPr>
        <w:pStyle w:val="Caption"/>
        <w:keepNext/>
      </w:pPr>
      <w:bookmarkStart w:id="84" w:name="_Ref311639167"/>
      <w:bookmarkStart w:id="85" w:name="_Toc314730501"/>
      <w:r>
        <w:lastRenderedPageBreak/>
        <w:t xml:space="preserve">Table </w:t>
      </w:r>
      <w:r w:rsidR="00AB2546">
        <w:fldChar w:fldCharType="begin"/>
      </w:r>
      <w:r>
        <w:instrText xml:space="preserve"> SEQ Table \* ARABIC </w:instrText>
      </w:r>
      <w:r w:rsidR="00AB2546">
        <w:fldChar w:fldCharType="separate"/>
      </w:r>
      <w:r w:rsidR="00266EB2">
        <w:rPr>
          <w:noProof/>
        </w:rPr>
        <w:t>6</w:t>
      </w:r>
      <w:r w:rsidR="00AB2546">
        <w:fldChar w:fldCharType="end"/>
      </w:r>
      <w:bookmarkEnd w:id="84"/>
      <w:r>
        <w:t>. Provision of gloves for dermal chemical exposure control: the percentage of workers within industry who reported gloves were provided and the percentages of workers within industry who reported they normally used each glove type</w:t>
      </w:r>
      <w:bookmarkEnd w:id="85"/>
    </w:p>
    <w:tbl>
      <w:tblPr>
        <w:tblStyle w:val="TableGrid"/>
        <w:tblW w:w="5000" w:type="pct"/>
        <w:tblLook w:val="04A0"/>
      </w:tblPr>
      <w:tblGrid>
        <w:gridCol w:w="2454"/>
        <w:gridCol w:w="1305"/>
        <w:gridCol w:w="857"/>
        <w:gridCol w:w="857"/>
        <w:gridCol w:w="857"/>
        <w:gridCol w:w="856"/>
        <w:gridCol w:w="856"/>
        <w:gridCol w:w="856"/>
        <w:gridCol w:w="856"/>
        <w:gridCol w:w="856"/>
        <w:gridCol w:w="856"/>
        <w:gridCol w:w="856"/>
        <w:gridCol w:w="854"/>
      </w:tblGrid>
      <w:tr w:rsidR="00BA2B6A" w:rsidRPr="00C35094" w:rsidTr="00D60EB3">
        <w:trPr>
          <w:cantSplit/>
          <w:trHeight w:val="561"/>
        </w:trPr>
        <w:tc>
          <w:tcPr>
            <w:tcW w:w="931" w:type="pct"/>
            <w:vMerge w:val="restart"/>
            <w:tcBorders>
              <w:top w:val="single" w:sz="12" w:space="0" w:color="auto"/>
              <w:bottom w:val="nil"/>
            </w:tcBorders>
            <w:vAlign w:val="bottom"/>
          </w:tcPr>
          <w:p w:rsidR="00BA2B6A" w:rsidRPr="00C35094" w:rsidRDefault="00BA2B6A" w:rsidP="007E682A">
            <w:pPr>
              <w:spacing w:before="40" w:after="40"/>
              <w:rPr>
                <w:b/>
                <w:sz w:val="20"/>
                <w:szCs w:val="20"/>
              </w:rPr>
            </w:pPr>
            <w:r w:rsidRPr="00C35094">
              <w:rPr>
                <w:b/>
                <w:sz w:val="20"/>
                <w:szCs w:val="20"/>
              </w:rPr>
              <w:t>Industry</w:t>
            </w:r>
            <w:r w:rsidR="007E682A" w:rsidRPr="007E682A">
              <w:rPr>
                <w:rFonts w:cs="Arial"/>
                <w:b/>
                <w:sz w:val="20"/>
                <w:szCs w:val="20"/>
                <w:vertAlign w:val="superscript"/>
              </w:rPr>
              <w:t>∞</w:t>
            </w:r>
          </w:p>
        </w:tc>
        <w:tc>
          <w:tcPr>
            <w:tcW w:w="495" w:type="pct"/>
            <w:vMerge w:val="restart"/>
            <w:tcBorders>
              <w:top w:val="single" w:sz="12" w:space="0" w:color="auto"/>
              <w:bottom w:val="nil"/>
            </w:tcBorders>
            <w:vAlign w:val="bottom"/>
          </w:tcPr>
          <w:p w:rsidR="00BA2B6A" w:rsidRPr="00C35094" w:rsidRDefault="00BA2B6A" w:rsidP="007E682A">
            <w:pPr>
              <w:spacing w:before="40" w:after="40"/>
              <w:jc w:val="center"/>
              <w:rPr>
                <w:b/>
                <w:sz w:val="20"/>
                <w:szCs w:val="20"/>
              </w:rPr>
            </w:pPr>
            <w:r>
              <w:rPr>
                <w:b/>
                <w:sz w:val="20"/>
                <w:szCs w:val="20"/>
              </w:rPr>
              <w:t>The p</w:t>
            </w:r>
            <w:r w:rsidRPr="00C35094">
              <w:rPr>
                <w:b/>
                <w:sz w:val="20"/>
                <w:szCs w:val="20"/>
              </w:rPr>
              <w:t>ercentage of workers* who said gloves were provided</w:t>
            </w:r>
          </w:p>
        </w:tc>
        <w:tc>
          <w:tcPr>
            <w:tcW w:w="3574" w:type="pct"/>
            <w:gridSpan w:val="11"/>
            <w:tcBorders>
              <w:top w:val="single" w:sz="12" w:space="0" w:color="auto"/>
              <w:bottom w:val="nil"/>
            </w:tcBorders>
            <w:shd w:val="clear" w:color="auto" w:fill="808080" w:themeFill="background1" w:themeFillShade="80"/>
            <w:vAlign w:val="bottom"/>
          </w:tcPr>
          <w:p w:rsidR="00BA2B6A" w:rsidRPr="00A9614F" w:rsidRDefault="00BA2B6A" w:rsidP="007E682A">
            <w:pPr>
              <w:spacing w:before="40" w:after="40"/>
              <w:jc w:val="center"/>
              <w:rPr>
                <w:rFonts w:cs="Arial"/>
                <w:b/>
                <w:color w:val="FFFFFF" w:themeColor="background1"/>
                <w:sz w:val="20"/>
                <w:szCs w:val="20"/>
              </w:rPr>
            </w:pPr>
            <w:r w:rsidRPr="00A9614F">
              <w:rPr>
                <w:rFonts w:cs="Arial"/>
                <w:b/>
                <w:color w:val="FFFFFF" w:themeColor="background1"/>
                <w:sz w:val="20"/>
                <w:szCs w:val="20"/>
              </w:rPr>
              <w:t>Type of glove</w:t>
            </w:r>
          </w:p>
          <w:p w:rsidR="00BA2B6A" w:rsidRPr="00A9614F" w:rsidRDefault="00BA2B6A" w:rsidP="00404A45">
            <w:pPr>
              <w:spacing w:before="40" w:after="40"/>
              <w:jc w:val="center"/>
              <w:rPr>
                <w:rFonts w:cs="Arial"/>
                <w:color w:val="FFFFFF" w:themeColor="background1"/>
                <w:sz w:val="20"/>
                <w:szCs w:val="20"/>
              </w:rPr>
            </w:pPr>
            <w:r w:rsidRPr="00A9614F">
              <w:rPr>
                <w:rFonts w:cs="Arial"/>
                <w:color w:val="FFFFFF" w:themeColor="background1"/>
                <w:sz w:val="20"/>
                <w:szCs w:val="20"/>
              </w:rPr>
              <w:t xml:space="preserve">the percentage of workers** within each industry who reported </w:t>
            </w:r>
            <w:r w:rsidR="00404A45">
              <w:rPr>
                <w:rFonts w:cs="Arial"/>
                <w:color w:val="FFFFFF" w:themeColor="background1"/>
                <w:sz w:val="20"/>
                <w:szCs w:val="20"/>
              </w:rPr>
              <w:t xml:space="preserve">they normally used each </w:t>
            </w:r>
            <w:r w:rsidRPr="00A9614F">
              <w:rPr>
                <w:rFonts w:cs="Arial"/>
                <w:color w:val="FFFFFF" w:themeColor="background1"/>
                <w:sz w:val="20"/>
                <w:szCs w:val="20"/>
              </w:rPr>
              <w:t>type of glove</w:t>
            </w:r>
          </w:p>
        </w:tc>
      </w:tr>
      <w:tr w:rsidR="00BA2B6A" w:rsidRPr="00C35094" w:rsidTr="00D60EB3">
        <w:trPr>
          <w:cantSplit/>
          <w:trHeight w:val="1411"/>
        </w:trPr>
        <w:tc>
          <w:tcPr>
            <w:tcW w:w="931" w:type="pct"/>
            <w:vMerge/>
            <w:tcBorders>
              <w:top w:val="nil"/>
              <w:bottom w:val="single" w:sz="12" w:space="0" w:color="auto"/>
            </w:tcBorders>
          </w:tcPr>
          <w:p w:rsidR="00BA2B6A" w:rsidRPr="00C35094" w:rsidRDefault="00BA2B6A" w:rsidP="007E682A">
            <w:pPr>
              <w:spacing w:before="40" w:after="40"/>
              <w:rPr>
                <w:b/>
                <w:sz w:val="20"/>
                <w:szCs w:val="20"/>
              </w:rPr>
            </w:pPr>
          </w:p>
        </w:tc>
        <w:tc>
          <w:tcPr>
            <w:tcW w:w="495" w:type="pct"/>
            <w:vMerge/>
            <w:tcBorders>
              <w:top w:val="nil"/>
              <w:bottom w:val="single" w:sz="12" w:space="0" w:color="auto"/>
            </w:tcBorders>
            <w:vAlign w:val="bottom"/>
          </w:tcPr>
          <w:p w:rsidR="00BA2B6A" w:rsidRPr="00C35094" w:rsidRDefault="00BA2B6A" w:rsidP="007E682A">
            <w:pPr>
              <w:spacing w:before="40" w:after="40"/>
              <w:jc w:val="center"/>
              <w:rPr>
                <w:b/>
                <w:sz w:val="20"/>
                <w:szCs w:val="20"/>
              </w:rPr>
            </w:pP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Disposable latex</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Rubber gloves</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Leather gloves</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Surgical latex</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Reusable rubber</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Disposable vinyl</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Cotton gloves</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Disposable nitrile</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Reusable PVC</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Surgical nitrile</w:t>
            </w:r>
          </w:p>
        </w:tc>
        <w:tc>
          <w:tcPr>
            <w:tcW w:w="325" w:type="pct"/>
            <w:tcBorders>
              <w:top w:val="nil"/>
              <w:bottom w:val="single" w:sz="12" w:space="0" w:color="auto"/>
            </w:tcBorders>
            <w:textDirection w:val="btLr"/>
            <w:vAlign w:val="center"/>
          </w:tcPr>
          <w:p w:rsidR="00BA2B6A" w:rsidRPr="00C35094" w:rsidRDefault="00BA2B6A" w:rsidP="007E682A">
            <w:pPr>
              <w:spacing w:before="40" w:after="40"/>
              <w:ind w:left="113" w:right="113"/>
              <w:rPr>
                <w:rFonts w:cs="Arial"/>
                <w:b/>
                <w:sz w:val="20"/>
                <w:szCs w:val="20"/>
              </w:rPr>
            </w:pPr>
            <w:r w:rsidRPr="00C35094">
              <w:rPr>
                <w:rFonts w:cs="Arial"/>
                <w:b/>
                <w:sz w:val="20"/>
                <w:szCs w:val="20"/>
              </w:rPr>
              <w:t>Riggers’ gloves</w:t>
            </w:r>
          </w:p>
        </w:tc>
      </w:tr>
      <w:tr w:rsidR="00493D8B" w:rsidRPr="005F25A5" w:rsidTr="00D60EB3">
        <w:tc>
          <w:tcPr>
            <w:tcW w:w="931" w:type="pct"/>
            <w:tcBorders>
              <w:top w:val="single" w:sz="12" w:space="0" w:color="auto"/>
            </w:tcBorders>
            <w:vAlign w:val="center"/>
          </w:tcPr>
          <w:p w:rsidR="00493D8B" w:rsidRPr="00C35094" w:rsidRDefault="00493D8B" w:rsidP="00493D8B">
            <w:pPr>
              <w:spacing w:before="40" w:after="40"/>
              <w:rPr>
                <w:rFonts w:cs="Arial"/>
                <w:sz w:val="18"/>
                <w:szCs w:val="18"/>
              </w:rPr>
            </w:pPr>
            <w:r w:rsidRPr="00C35094">
              <w:rPr>
                <w:rFonts w:cs="Arial"/>
                <w:sz w:val="18"/>
                <w:szCs w:val="18"/>
              </w:rPr>
              <w:t>Health &amp; community services</w:t>
            </w:r>
          </w:p>
        </w:tc>
        <w:tc>
          <w:tcPr>
            <w:tcW w:w="495" w:type="pct"/>
            <w:tcBorders>
              <w:top w:val="single" w:sz="12" w:space="0" w:color="auto"/>
            </w:tcBorders>
            <w:vAlign w:val="center"/>
          </w:tcPr>
          <w:p w:rsidR="00493D8B" w:rsidRPr="005F25A5" w:rsidRDefault="00493D8B" w:rsidP="00493D8B">
            <w:pPr>
              <w:spacing w:before="40" w:after="40"/>
              <w:jc w:val="center"/>
              <w:rPr>
                <w:sz w:val="18"/>
                <w:szCs w:val="18"/>
              </w:rPr>
            </w:pPr>
            <w:r>
              <w:rPr>
                <w:sz w:val="18"/>
                <w:szCs w:val="18"/>
              </w:rPr>
              <w:t>92</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67</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14</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18</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0.5</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tcBorders>
              <w:top w:val="single" w:sz="12" w:space="0" w:color="auto"/>
            </w:tcBorders>
            <w:vAlign w:val="center"/>
          </w:tcPr>
          <w:p w:rsidR="00493D8B" w:rsidRPr="00356510" w:rsidRDefault="00493D8B" w:rsidP="00493D8B">
            <w:pPr>
              <w:spacing w:before="40" w:after="40"/>
              <w:jc w:val="center"/>
              <w:rPr>
                <w:rFonts w:cs="Arial"/>
                <w:sz w:val="18"/>
                <w:szCs w:val="18"/>
              </w:rPr>
            </w:pPr>
            <w:r>
              <w:rPr>
                <w:rFonts w:cs="Arial"/>
                <w:sz w:val="18"/>
                <w:szCs w:val="18"/>
              </w:rPr>
              <w:t>0.2</w:t>
            </w:r>
          </w:p>
        </w:tc>
      </w:tr>
      <w:tr w:rsidR="00493D8B" w:rsidRPr="005F25A5" w:rsidTr="00D60EB3">
        <w:tc>
          <w:tcPr>
            <w:tcW w:w="931" w:type="pct"/>
            <w:vAlign w:val="center"/>
          </w:tcPr>
          <w:p w:rsidR="00493D8B" w:rsidRPr="00C35094" w:rsidRDefault="00493D8B" w:rsidP="007E682A">
            <w:pPr>
              <w:spacing w:before="40" w:after="40"/>
              <w:rPr>
                <w:rFonts w:cs="Arial"/>
                <w:sz w:val="18"/>
                <w:szCs w:val="18"/>
              </w:rPr>
            </w:pPr>
            <w:r w:rsidRPr="00C35094">
              <w:rPr>
                <w:rFonts w:cs="Arial"/>
                <w:sz w:val="18"/>
                <w:szCs w:val="18"/>
              </w:rPr>
              <w:t xml:space="preserve">Manufacturing </w:t>
            </w:r>
          </w:p>
        </w:tc>
        <w:tc>
          <w:tcPr>
            <w:tcW w:w="495" w:type="pct"/>
            <w:vAlign w:val="center"/>
          </w:tcPr>
          <w:p w:rsidR="00493D8B" w:rsidRPr="005F25A5" w:rsidRDefault="00493D8B" w:rsidP="007E682A">
            <w:pPr>
              <w:spacing w:before="40" w:after="40"/>
              <w:jc w:val="center"/>
              <w:rPr>
                <w:sz w:val="18"/>
                <w:szCs w:val="18"/>
              </w:rPr>
            </w:pPr>
            <w:r>
              <w:rPr>
                <w:sz w:val="18"/>
                <w:szCs w:val="18"/>
              </w:rPr>
              <w:t>87</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26</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36</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26</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12</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6</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7</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7E682A">
            <w:pPr>
              <w:spacing w:before="40" w:after="40"/>
              <w:jc w:val="center"/>
              <w:rPr>
                <w:rFonts w:cs="Arial"/>
                <w:sz w:val="18"/>
                <w:szCs w:val="18"/>
              </w:rPr>
            </w:pPr>
            <w:r>
              <w:rPr>
                <w:rFonts w:cs="Arial"/>
                <w:sz w:val="18"/>
                <w:szCs w:val="18"/>
              </w:rPr>
              <w:t>5</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Agriculture, forestry &amp; fishing </w:t>
            </w:r>
          </w:p>
        </w:tc>
        <w:tc>
          <w:tcPr>
            <w:tcW w:w="495" w:type="pct"/>
            <w:vAlign w:val="center"/>
          </w:tcPr>
          <w:p w:rsidR="00493D8B" w:rsidRPr="005F25A5" w:rsidRDefault="00493D8B" w:rsidP="00493D8B">
            <w:pPr>
              <w:spacing w:before="40" w:after="40"/>
              <w:jc w:val="center"/>
              <w:rPr>
                <w:sz w:val="18"/>
                <w:szCs w:val="18"/>
              </w:rPr>
            </w:pPr>
            <w:r>
              <w:rPr>
                <w:sz w:val="18"/>
                <w:szCs w:val="18"/>
              </w:rPr>
              <w:t>86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1</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Accommodation, cafes &amp; restaurants </w:t>
            </w:r>
          </w:p>
        </w:tc>
        <w:tc>
          <w:tcPr>
            <w:tcW w:w="495" w:type="pct"/>
            <w:vAlign w:val="center"/>
          </w:tcPr>
          <w:p w:rsidR="00493D8B" w:rsidRPr="005F25A5" w:rsidRDefault="00493D8B" w:rsidP="00493D8B">
            <w:pPr>
              <w:spacing w:before="40" w:after="40"/>
              <w:jc w:val="center"/>
              <w:rPr>
                <w:sz w:val="18"/>
                <w:szCs w:val="18"/>
              </w:rPr>
            </w:pPr>
            <w:r>
              <w:rPr>
                <w:sz w:val="18"/>
                <w:szCs w:val="18"/>
              </w:rPr>
              <w:t>80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46</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0</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Transport &amp; storage </w:t>
            </w:r>
          </w:p>
        </w:tc>
        <w:tc>
          <w:tcPr>
            <w:tcW w:w="495" w:type="pct"/>
            <w:vAlign w:val="center"/>
          </w:tcPr>
          <w:p w:rsidR="00493D8B" w:rsidRPr="005F25A5" w:rsidRDefault="00493D8B" w:rsidP="00493D8B">
            <w:pPr>
              <w:spacing w:before="40" w:after="40"/>
              <w:jc w:val="center"/>
              <w:rPr>
                <w:sz w:val="18"/>
                <w:szCs w:val="18"/>
              </w:rPr>
            </w:pPr>
            <w:r>
              <w:rPr>
                <w:sz w:val="18"/>
                <w:szCs w:val="18"/>
              </w:rPr>
              <w:t>78</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21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6</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Wholesale</w:t>
            </w:r>
            <w:r>
              <w:rPr>
                <w:rFonts w:cs="Arial"/>
                <w:sz w:val="18"/>
                <w:szCs w:val="18"/>
              </w:rPr>
              <w:t xml:space="preserve"> &amp; retail</w:t>
            </w:r>
            <w:r w:rsidRPr="00C35094">
              <w:rPr>
                <w:rFonts w:cs="Arial"/>
                <w:sz w:val="18"/>
                <w:szCs w:val="18"/>
              </w:rPr>
              <w:t xml:space="preserve"> trade </w:t>
            </w:r>
          </w:p>
        </w:tc>
        <w:tc>
          <w:tcPr>
            <w:tcW w:w="495" w:type="pct"/>
            <w:vAlign w:val="center"/>
          </w:tcPr>
          <w:p w:rsidR="00493D8B" w:rsidRPr="005F25A5" w:rsidRDefault="00493D8B" w:rsidP="00493D8B">
            <w:pPr>
              <w:spacing w:before="40" w:after="40"/>
              <w:jc w:val="center"/>
              <w:rPr>
                <w:sz w:val="18"/>
                <w:szCs w:val="18"/>
              </w:rPr>
            </w:pPr>
            <w:r>
              <w:rPr>
                <w:sz w:val="18"/>
                <w:szCs w:val="18"/>
              </w:rPr>
              <w:t>77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38</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8</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8</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3</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Construction </w:t>
            </w:r>
          </w:p>
        </w:tc>
        <w:tc>
          <w:tcPr>
            <w:tcW w:w="495" w:type="pct"/>
            <w:vAlign w:val="center"/>
          </w:tcPr>
          <w:p w:rsidR="00493D8B" w:rsidRPr="005F25A5" w:rsidRDefault="00493D8B" w:rsidP="00493D8B">
            <w:pPr>
              <w:spacing w:before="40" w:after="40"/>
              <w:jc w:val="center"/>
              <w:rPr>
                <w:sz w:val="18"/>
                <w:szCs w:val="18"/>
              </w:rPr>
            </w:pPr>
            <w:r>
              <w:rPr>
                <w:sz w:val="18"/>
                <w:szCs w:val="18"/>
              </w:rPr>
              <w:t>73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39</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4</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Education </w:t>
            </w:r>
          </w:p>
        </w:tc>
        <w:tc>
          <w:tcPr>
            <w:tcW w:w="495" w:type="pct"/>
            <w:vAlign w:val="center"/>
          </w:tcPr>
          <w:p w:rsidR="00493D8B" w:rsidRPr="005F25A5" w:rsidRDefault="00493D8B" w:rsidP="00493D8B">
            <w:pPr>
              <w:spacing w:before="40" w:after="40"/>
              <w:jc w:val="center"/>
              <w:rPr>
                <w:sz w:val="18"/>
                <w:szCs w:val="18"/>
              </w:rPr>
            </w:pPr>
            <w:r>
              <w:rPr>
                <w:sz w:val="18"/>
                <w:szCs w:val="18"/>
              </w:rPr>
              <w:t>67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33</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0</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Mining</w:t>
            </w:r>
            <w:r w:rsidRPr="007E682A">
              <w:rPr>
                <w:rFonts w:cs="Arial"/>
                <w:sz w:val="18"/>
                <w:szCs w:val="18"/>
                <w:vertAlign w:val="superscript"/>
              </w:rPr>
              <w:t>#</w:t>
            </w:r>
          </w:p>
        </w:tc>
        <w:tc>
          <w:tcPr>
            <w:tcW w:w="495" w:type="pct"/>
            <w:vAlign w:val="center"/>
          </w:tcPr>
          <w:p w:rsidR="00493D8B" w:rsidRPr="005F25A5" w:rsidRDefault="00493D8B" w:rsidP="00493D8B">
            <w:pPr>
              <w:spacing w:before="40" w:after="40"/>
              <w:jc w:val="center"/>
              <w:rPr>
                <w:sz w:val="18"/>
                <w:szCs w:val="18"/>
              </w:rPr>
            </w:pPr>
            <w:r>
              <w:rPr>
                <w:sz w:val="18"/>
                <w:szCs w:val="18"/>
              </w:rPr>
              <w:t>100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27</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54</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45</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18</w:t>
            </w:r>
          </w:p>
        </w:tc>
      </w:tr>
      <w:tr w:rsidR="00493D8B" w:rsidRPr="005F25A5" w:rsidTr="00D60EB3">
        <w:tc>
          <w:tcPr>
            <w:tcW w:w="931" w:type="pct"/>
            <w:vAlign w:val="center"/>
          </w:tcPr>
          <w:p w:rsidR="00493D8B" w:rsidRPr="00C35094" w:rsidRDefault="00493D8B" w:rsidP="007E682A">
            <w:pPr>
              <w:spacing w:before="40" w:after="40"/>
              <w:rPr>
                <w:rFonts w:cs="Arial"/>
                <w:sz w:val="18"/>
                <w:szCs w:val="18"/>
              </w:rPr>
            </w:pPr>
            <w:r w:rsidRPr="00C35094">
              <w:rPr>
                <w:rFonts w:cs="Arial"/>
                <w:sz w:val="18"/>
                <w:szCs w:val="18"/>
              </w:rPr>
              <w:t>Gove</w:t>
            </w:r>
            <w:r>
              <w:rPr>
                <w:rFonts w:cs="Arial"/>
                <w:sz w:val="18"/>
                <w:szCs w:val="18"/>
              </w:rPr>
              <w:t>rnment administration &amp; defence</w:t>
            </w:r>
            <w:r w:rsidRPr="007E682A">
              <w:rPr>
                <w:rFonts w:cs="Arial"/>
                <w:sz w:val="18"/>
                <w:szCs w:val="18"/>
                <w:vertAlign w:val="superscript"/>
              </w:rPr>
              <w:t>#</w:t>
            </w:r>
          </w:p>
        </w:tc>
        <w:tc>
          <w:tcPr>
            <w:tcW w:w="495" w:type="pct"/>
            <w:vAlign w:val="center"/>
          </w:tcPr>
          <w:p w:rsidR="00493D8B" w:rsidRPr="005F25A5" w:rsidRDefault="00493D8B" w:rsidP="007E682A">
            <w:pPr>
              <w:spacing w:before="40" w:after="40"/>
              <w:jc w:val="center"/>
              <w:rPr>
                <w:sz w:val="18"/>
                <w:szCs w:val="18"/>
              </w:rPr>
            </w:pPr>
            <w:r>
              <w:rPr>
                <w:sz w:val="18"/>
                <w:szCs w:val="18"/>
              </w:rPr>
              <w:t>77</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43</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22</w:t>
            </w:r>
          </w:p>
        </w:tc>
        <w:tc>
          <w:tcPr>
            <w:tcW w:w="325" w:type="pct"/>
            <w:vAlign w:val="center"/>
          </w:tcPr>
          <w:p w:rsidR="00493D8B" w:rsidRPr="00356510" w:rsidRDefault="00493D8B" w:rsidP="007E682A">
            <w:pPr>
              <w:spacing w:before="40" w:after="40"/>
              <w:jc w:val="center"/>
              <w:rPr>
                <w:rFonts w:cs="Arial"/>
                <w:sz w:val="18"/>
                <w:szCs w:val="18"/>
              </w:rPr>
            </w:pPr>
            <w:r>
              <w:rPr>
                <w:rFonts w:cs="Arial"/>
                <w:sz w:val="18"/>
                <w:szCs w:val="18"/>
              </w:rPr>
              <w:t>22</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4</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9</w:t>
            </w:r>
          </w:p>
        </w:tc>
        <w:tc>
          <w:tcPr>
            <w:tcW w:w="325" w:type="pct"/>
            <w:vAlign w:val="center"/>
          </w:tcPr>
          <w:p w:rsidR="00493D8B" w:rsidRPr="00356510" w:rsidRDefault="00493D8B" w:rsidP="007E682A">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7E682A">
            <w:pPr>
              <w:spacing w:before="40" w:after="40"/>
              <w:jc w:val="center"/>
              <w:rPr>
                <w:rFonts w:cs="Arial"/>
                <w:sz w:val="18"/>
                <w:szCs w:val="18"/>
              </w:rPr>
            </w:pPr>
            <w:r>
              <w:rPr>
                <w:rFonts w:cs="Arial"/>
                <w:sz w:val="18"/>
                <w:szCs w:val="18"/>
              </w:rPr>
              <w:t>0</w:t>
            </w:r>
          </w:p>
        </w:tc>
      </w:tr>
      <w:tr w:rsidR="00493D8B" w:rsidRPr="005F25A5" w:rsidTr="00D60EB3">
        <w:tc>
          <w:tcPr>
            <w:tcW w:w="931" w:type="pct"/>
            <w:vAlign w:val="center"/>
          </w:tcPr>
          <w:p w:rsidR="00493D8B" w:rsidRPr="00C35094" w:rsidRDefault="00493D8B" w:rsidP="00493D8B">
            <w:pPr>
              <w:spacing w:before="40" w:after="40"/>
              <w:rPr>
                <w:rFonts w:cs="Arial"/>
                <w:sz w:val="18"/>
                <w:szCs w:val="18"/>
              </w:rPr>
            </w:pPr>
            <w:r w:rsidRPr="00C35094">
              <w:rPr>
                <w:rFonts w:cs="Arial"/>
                <w:sz w:val="18"/>
                <w:szCs w:val="18"/>
              </w:rPr>
              <w:t xml:space="preserve">Cultural, recreational &amp; </w:t>
            </w:r>
            <w:r>
              <w:rPr>
                <w:rFonts w:cs="Arial"/>
                <w:sz w:val="18"/>
                <w:szCs w:val="18"/>
              </w:rPr>
              <w:t>p</w:t>
            </w:r>
            <w:r w:rsidRPr="00C35094">
              <w:rPr>
                <w:rFonts w:cs="Arial"/>
                <w:sz w:val="18"/>
                <w:szCs w:val="18"/>
              </w:rPr>
              <w:t>ersonal services</w:t>
            </w:r>
            <w:r w:rsidRPr="007E682A">
              <w:rPr>
                <w:rFonts w:cs="Arial"/>
                <w:sz w:val="18"/>
                <w:szCs w:val="18"/>
                <w:vertAlign w:val="superscript"/>
              </w:rPr>
              <w:t>#</w:t>
            </w:r>
            <w:r w:rsidRPr="00C35094">
              <w:rPr>
                <w:rFonts w:cs="Arial"/>
                <w:sz w:val="18"/>
                <w:szCs w:val="18"/>
              </w:rPr>
              <w:t xml:space="preserve"> </w:t>
            </w:r>
          </w:p>
        </w:tc>
        <w:tc>
          <w:tcPr>
            <w:tcW w:w="495" w:type="pct"/>
            <w:vAlign w:val="center"/>
          </w:tcPr>
          <w:p w:rsidR="00493D8B" w:rsidRPr="005F25A5" w:rsidRDefault="00493D8B" w:rsidP="00493D8B">
            <w:pPr>
              <w:spacing w:before="40" w:after="40"/>
              <w:jc w:val="center"/>
              <w:rPr>
                <w:sz w:val="18"/>
                <w:szCs w:val="18"/>
              </w:rPr>
            </w:pPr>
            <w:r>
              <w:rPr>
                <w:sz w:val="18"/>
                <w:szCs w:val="18"/>
              </w:rPr>
              <w:t>76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42</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35</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10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6</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vAlign w:val="center"/>
          </w:tcPr>
          <w:p w:rsidR="00493D8B" w:rsidRPr="00356510" w:rsidRDefault="00493D8B" w:rsidP="00493D8B">
            <w:pPr>
              <w:spacing w:before="40" w:after="40"/>
              <w:jc w:val="center"/>
              <w:rPr>
                <w:rFonts w:cs="Arial"/>
                <w:sz w:val="18"/>
                <w:szCs w:val="18"/>
              </w:rPr>
            </w:pPr>
            <w:r>
              <w:rPr>
                <w:rFonts w:cs="Arial"/>
                <w:sz w:val="18"/>
                <w:szCs w:val="18"/>
              </w:rPr>
              <w:t>3</w:t>
            </w:r>
          </w:p>
        </w:tc>
      </w:tr>
      <w:tr w:rsidR="00493D8B" w:rsidRPr="005F25A5" w:rsidTr="00D60EB3">
        <w:tc>
          <w:tcPr>
            <w:tcW w:w="931" w:type="pct"/>
            <w:tcBorders>
              <w:bottom w:val="double" w:sz="12" w:space="0" w:color="auto"/>
            </w:tcBorders>
            <w:vAlign w:val="center"/>
          </w:tcPr>
          <w:p w:rsidR="00493D8B" w:rsidRPr="00C35094" w:rsidRDefault="00493D8B" w:rsidP="00493D8B">
            <w:pPr>
              <w:spacing w:before="40" w:after="40"/>
              <w:rPr>
                <w:rFonts w:cs="Arial"/>
                <w:sz w:val="18"/>
                <w:szCs w:val="18"/>
              </w:rPr>
            </w:pPr>
            <w:r w:rsidRPr="00C35094">
              <w:rPr>
                <w:rFonts w:cs="Arial"/>
                <w:sz w:val="18"/>
                <w:szCs w:val="18"/>
              </w:rPr>
              <w:t>Property &amp; business services</w:t>
            </w:r>
            <w:r w:rsidRPr="007E682A">
              <w:rPr>
                <w:rFonts w:cs="Arial"/>
                <w:sz w:val="18"/>
                <w:szCs w:val="18"/>
                <w:vertAlign w:val="superscript"/>
              </w:rPr>
              <w:t>#</w:t>
            </w:r>
          </w:p>
        </w:tc>
        <w:tc>
          <w:tcPr>
            <w:tcW w:w="495" w:type="pct"/>
            <w:tcBorders>
              <w:bottom w:val="double" w:sz="12" w:space="0" w:color="auto"/>
            </w:tcBorders>
            <w:vAlign w:val="center"/>
          </w:tcPr>
          <w:p w:rsidR="00493D8B" w:rsidRPr="005F25A5" w:rsidRDefault="00493D8B" w:rsidP="00493D8B">
            <w:pPr>
              <w:spacing w:before="40" w:after="40"/>
              <w:jc w:val="center"/>
              <w:rPr>
                <w:sz w:val="18"/>
                <w:szCs w:val="18"/>
              </w:rPr>
            </w:pPr>
            <w:r>
              <w:rPr>
                <w:sz w:val="18"/>
                <w:szCs w:val="18"/>
              </w:rPr>
              <w:t>71</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49</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32</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16</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13</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5</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3</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sidRPr="00356510">
              <w:rPr>
                <w:rFonts w:cs="Arial"/>
                <w:sz w:val="18"/>
                <w:szCs w:val="18"/>
              </w:rPr>
              <w:t>0</w:t>
            </w:r>
          </w:p>
        </w:tc>
        <w:tc>
          <w:tcPr>
            <w:tcW w:w="325" w:type="pct"/>
            <w:tcBorders>
              <w:bottom w:val="double" w:sz="12" w:space="0" w:color="auto"/>
            </w:tcBorders>
            <w:vAlign w:val="center"/>
          </w:tcPr>
          <w:p w:rsidR="00493D8B" w:rsidRPr="00356510" w:rsidRDefault="00493D8B" w:rsidP="00493D8B">
            <w:pPr>
              <w:spacing w:before="40" w:after="40"/>
              <w:jc w:val="center"/>
              <w:rPr>
                <w:rFonts w:cs="Arial"/>
                <w:sz w:val="18"/>
                <w:szCs w:val="18"/>
              </w:rPr>
            </w:pPr>
            <w:r>
              <w:rPr>
                <w:rFonts w:cs="Arial"/>
                <w:sz w:val="18"/>
                <w:szCs w:val="18"/>
              </w:rPr>
              <w:t>0</w:t>
            </w:r>
          </w:p>
        </w:tc>
      </w:tr>
      <w:tr w:rsidR="00493D8B" w:rsidRPr="005F25A5" w:rsidTr="00D60EB3">
        <w:tc>
          <w:tcPr>
            <w:tcW w:w="5000" w:type="pct"/>
            <w:gridSpan w:val="13"/>
            <w:tcBorders>
              <w:top w:val="double" w:sz="12" w:space="0" w:color="auto"/>
              <w:left w:val="single" w:sz="4" w:space="0" w:color="auto"/>
              <w:bottom w:val="single" w:sz="12" w:space="0" w:color="auto"/>
              <w:right w:val="single" w:sz="4" w:space="0" w:color="auto"/>
            </w:tcBorders>
          </w:tcPr>
          <w:p w:rsidR="00493D8B" w:rsidRDefault="00493D8B" w:rsidP="007E682A">
            <w:pPr>
              <w:spacing w:before="40" w:after="40"/>
              <w:rPr>
                <w:sz w:val="18"/>
                <w:szCs w:val="18"/>
              </w:rPr>
            </w:pPr>
            <w:r>
              <w:rPr>
                <w:rFonts w:cs="Arial"/>
                <w:sz w:val="18"/>
                <w:szCs w:val="18"/>
              </w:rPr>
              <w:t>∞ Only industries in which 10 or more workers reported that gloves were provided are presented in this table</w:t>
            </w:r>
          </w:p>
          <w:p w:rsidR="00493D8B" w:rsidRDefault="00493D8B" w:rsidP="007E682A">
            <w:pPr>
              <w:spacing w:before="40" w:after="40"/>
              <w:rPr>
                <w:sz w:val="18"/>
                <w:szCs w:val="18"/>
              </w:rPr>
            </w:pPr>
            <w:r>
              <w:rPr>
                <w:sz w:val="18"/>
                <w:szCs w:val="18"/>
              </w:rPr>
              <w:t>* The denominator used in this calculation is the number of workers in the industry who reported they were exposed to chemicals</w:t>
            </w:r>
          </w:p>
          <w:p w:rsidR="00493D8B" w:rsidRDefault="00493D8B" w:rsidP="007E682A">
            <w:pPr>
              <w:spacing w:before="40" w:after="40"/>
              <w:rPr>
                <w:sz w:val="18"/>
                <w:szCs w:val="18"/>
              </w:rPr>
            </w:pPr>
            <w:r>
              <w:rPr>
                <w:sz w:val="18"/>
                <w:szCs w:val="18"/>
              </w:rPr>
              <w:t xml:space="preserve">** The denominator used in this calculation is the number of workers in each industry who reported gloves were provided </w:t>
            </w:r>
          </w:p>
          <w:p w:rsidR="00493D8B" w:rsidRPr="005F25A5" w:rsidRDefault="00493D8B" w:rsidP="00493D8B">
            <w:pPr>
              <w:spacing w:before="40" w:after="40"/>
              <w:rPr>
                <w:sz w:val="18"/>
                <w:szCs w:val="18"/>
              </w:rPr>
            </w:pPr>
            <w:r>
              <w:rPr>
                <w:sz w:val="18"/>
                <w:szCs w:val="18"/>
              </w:rPr>
              <w:t># Results are indicative only - caution required due to low denominator size (small numbers of workers who reported chemical exposure and reported gloves were provided)</w:t>
            </w:r>
          </w:p>
        </w:tc>
      </w:tr>
    </w:tbl>
    <w:p w:rsidR="00D60EB3" w:rsidRDefault="00D60EB3">
      <w:pPr>
        <w:spacing w:after="0"/>
        <w:rPr>
          <w:b/>
          <w:bCs/>
          <w:sz w:val="20"/>
          <w:szCs w:val="20"/>
        </w:rPr>
      </w:pPr>
      <w:bookmarkStart w:id="86" w:name="_Ref311645690"/>
      <w:r>
        <w:br w:type="page"/>
      </w:r>
    </w:p>
    <w:p w:rsidR="00D60EB3" w:rsidRDefault="00D60EB3" w:rsidP="00D60EB3">
      <w:pPr>
        <w:pStyle w:val="Caption"/>
        <w:keepNext/>
      </w:pPr>
      <w:bookmarkStart w:id="87" w:name="_Ref311723753"/>
      <w:bookmarkStart w:id="88" w:name="_Toc314730502"/>
      <w:r>
        <w:lastRenderedPageBreak/>
        <w:t xml:space="preserve">Table </w:t>
      </w:r>
      <w:r w:rsidR="00AB2546">
        <w:fldChar w:fldCharType="begin"/>
      </w:r>
      <w:r>
        <w:instrText xml:space="preserve"> SEQ Table \* ARABIC </w:instrText>
      </w:r>
      <w:r w:rsidR="00AB2546">
        <w:fldChar w:fldCharType="separate"/>
      </w:r>
      <w:r w:rsidR="00266EB2">
        <w:rPr>
          <w:noProof/>
        </w:rPr>
        <w:t>7</w:t>
      </w:r>
      <w:r w:rsidR="00AB2546">
        <w:fldChar w:fldCharType="end"/>
      </w:r>
      <w:bookmarkEnd w:id="86"/>
      <w:bookmarkEnd w:id="87"/>
      <w:r>
        <w:t>. Results (odds ratios and 95% confidence intervals) of the multivariate logistic regressions examining the provision of dermal exposure controls</w:t>
      </w:r>
      <w:bookmarkEnd w:id="88"/>
    </w:p>
    <w:tbl>
      <w:tblPr>
        <w:tblStyle w:val="TableGrid"/>
        <w:tblW w:w="5000" w:type="pct"/>
        <w:tblLayout w:type="fixed"/>
        <w:tblLook w:val="04A0"/>
      </w:tblPr>
      <w:tblGrid>
        <w:gridCol w:w="2159"/>
        <w:gridCol w:w="785"/>
        <w:gridCol w:w="1051"/>
        <w:gridCol w:w="791"/>
        <w:gridCol w:w="1046"/>
        <w:gridCol w:w="796"/>
        <w:gridCol w:w="1038"/>
        <w:gridCol w:w="806"/>
        <w:gridCol w:w="1030"/>
        <w:gridCol w:w="812"/>
        <w:gridCol w:w="1022"/>
        <w:gridCol w:w="820"/>
        <w:gridCol w:w="1020"/>
      </w:tblGrid>
      <w:tr w:rsidR="00D60EB3" w:rsidTr="008F1B6B">
        <w:tc>
          <w:tcPr>
            <w:tcW w:w="819" w:type="pct"/>
            <w:vMerge w:val="restart"/>
            <w:tcBorders>
              <w:top w:val="single" w:sz="12" w:space="0" w:color="auto"/>
            </w:tcBorders>
            <w:vAlign w:val="bottom"/>
          </w:tcPr>
          <w:p w:rsidR="00D60EB3" w:rsidRDefault="00D60EB3" w:rsidP="008F1B6B">
            <w:pPr>
              <w:spacing w:before="20" w:after="20"/>
              <w:rPr>
                <w:rFonts w:cs="Arial"/>
                <w:sz w:val="20"/>
                <w:szCs w:val="20"/>
              </w:rPr>
            </w:pPr>
            <w:r>
              <w:rPr>
                <w:rFonts w:cs="Arial"/>
                <w:b/>
                <w:sz w:val="20"/>
                <w:szCs w:val="20"/>
              </w:rPr>
              <w:t>MODEL FACTORS</w:t>
            </w:r>
          </w:p>
        </w:tc>
        <w:tc>
          <w:tcPr>
            <w:tcW w:w="4181" w:type="pct"/>
            <w:gridSpan w:val="12"/>
            <w:tcBorders>
              <w:top w:val="single" w:sz="12" w:space="0" w:color="auto"/>
              <w:bottom w:val="single" w:sz="4" w:space="0" w:color="auto"/>
            </w:tcBorders>
          </w:tcPr>
          <w:p w:rsidR="00D60EB3" w:rsidRPr="009B5A3F" w:rsidRDefault="00D60EB3" w:rsidP="008F1B6B">
            <w:pPr>
              <w:spacing w:before="20" w:after="20"/>
              <w:jc w:val="center"/>
              <w:rPr>
                <w:rFonts w:cs="Arial"/>
                <w:b/>
                <w:sz w:val="20"/>
                <w:szCs w:val="20"/>
              </w:rPr>
            </w:pPr>
            <w:r w:rsidRPr="009B5A3F">
              <w:rPr>
                <w:rFonts w:cs="Arial"/>
                <w:b/>
                <w:sz w:val="20"/>
                <w:szCs w:val="20"/>
              </w:rPr>
              <w:t>The likelihood (OR) that a worker reported the provision of each of the dermal chemical exposure controls, or that no controls were provided, relative to the reference group (ref) for each factor</w:t>
            </w:r>
          </w:p>
        </w:tc>
      </w:tr>
      <w:tr w:rsidR="00D60EB3" w:rsidTr="008F1B6B">
        <w:tc>
          <w:tcPr>
            <w:tcW w:w="819" w:type="pct"/>
            <w:vMerge/>
            <w:tcBorders>
              <w:right w:val="single" w:sz="4" w:space="0" w:color="auto"/>
            </w:tcBorders>
          </w:tcPr>
          <w:p w:rsidR="00D60EB3" w:rsidRDefault="00D60EB3" w:rsidP="008F1B6B">
            <w:pPr>
              <w:spacing w:before="20" w:after="20"/>
              <w:rPr>
                <w:rFonts w:cs="Arial"/>
                <w:sz w:val="20"/>
                <w:szCs w:val="20"/>
              </w:rPr>
            </w:pPr>
          </w:p>
        </w:tc>
        <w:tc>
          <w:tcPr>
            <w:tcW w:w="697" w:type="pct"/>
            <w:gridSpan w:val="2"/>
            <w:tcBorders>
              <w:top w:val="single" w:sz="4" w:space="0" w:color="auto"/>
              <w:left w:val="single" w:sz="4" w:space="0" w:color="auto"/>
              <w:bottom w:val="single" w:sz="4" w:space="0" w:color="auto"/>
              <w:right w:val="nil"/>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Gloves</w:t>
            </w:r>
          </w:p>
        </w:tc>
        <w:tc>
          <w:tcPr>
            <w:tcW w:w="697" w:type="pct"/>
            <w:gridSpan w:val="2"/>
            <w:tcBorders>
              <w:top w:val="single" w:sz="4" w:space="0" w:color="auto"/>
              <w:left w:val="nil"/>
              <w:bottom w:val="single" w:sz="4" w:space="0" w:color="auto"/>
              <w:right w:val="nil"/>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Protective clothing</w:t>
            </w:r>
          </w:p>
        </w:tc>
        <w:tc>
          <w:tcPr>
            <w:tcW w:w="696" w:type="pct"/>
            <w:gridSpan w:val="2"/>
            <w:tcBorders>
              <w:top w:val="single" w:sz="4" w:space="0" w:color="auto"/>
              <w:left w:val="nil"/>
              <w:bottom w:val="single" w:sz="4" w:space="0" w:color="auto"/>
              <w:right w:val="nil"/>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Labelling and warning signs</w:t>
            </w:r>
          </w:p>
        </w:tc>
        <w:tc>
          <w:tcPr>
            <w:tcW w:w="697" w:type="pct"/>
            <w:gridSpan w:val="2"/>
            <w:tcBorders>
              <w:top w:val="single" w:sz="4" w:space="0" w:color="auto"/>
              <w:left w:val="nil"/>
              <w:bottom w:val="single" w:sz="4" w:space="0" w:color="auto"/>
              <w:right w:val="nil"/>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Washing facilities</w:t>
            </w:r>
          </w:p>
        </w:tc>
        <w:tc>
          <w:tcPr>
            <w:tcW w:w="696" w:type="pct"/>
            <w:gridSpan w:val="2"/>
            <w:tcBorders>
              <w:top w:val="single" w:sz="4" w:space="0" w:color="auto"/>
              <w:left w:val="nil"/>
              <w:bottom w:val="single" w:sz="4" w:space="0" w:color="auto"/>
              <w:right w:val="nil"/>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Chemical safety training</w:t>
            </w:r>
          </w:p>
        </w:tc>
        <w:tc>
          <w:tcPr>
            <w:tcW w:w="698" w:type="pct"/>
            <w:gridSpan w:val="2"/>
            <w:tcBorders>
              <w:top w:val="single" w:sz="4" w:space="0" w:color="auto"/>
              <w:left w:val="nil"/>
              <w:bottom w:val="single" w:sz="4" w:space="0" w:color="auto"/>
            </w:tcBorders>
            <w:shd w:val="clear" w:color="auto" w:fill="808080" w:themeFill="background1" w:themeFillShade="80"/>
            <w:vAlign w:val="bottom"/>
          </w:tcPr>
          <w:p w:rsidR="00D60EB3" w:rsidRPr="009B5A3F" w:rsidRDefault="00D60EB3" w:rsidP="008F1B6B">
            <w:pPr>
              <w:spacing w:before="20" w:after="20"/>
              <w:jc w:val="center"/>
              <w:rPr>
                <w:rFonts w:cs="Arial"/>
                <w:b/>
                <w:color w:val="FFFFFF" w:themeColor="background1"/>
                <w:sz w:val="20"/>
                <w:szCs w:val="20"/>
              </w:rPr>
            </w:pPr>
            <w:r w:rsidRPr="009B5A3F">
              <w:rPr>
                <w:rFonts w:cs="Arial"/>
                <w:b/>
                <w:color w:val="FFFFFF" w:themeColor="background1"/>
                <w:sz w:val="20"/>
                <w:szCs w:val="20"/>
              </w:rPr>
              <w:t>No control provision</w:t>
            </w:r>
          </w:p>
        </w:tc>
      </w:tr>
      <w:tr w:rsidR="00D60EB3" w:rsidTr="008F1B6B">
        <w:tc>
          <w:tcPr>
            <w:tcW w:w="819" w:type="pct"/>
            <w:vMerge/>
            <w:tcBorders>
              <w:bottom w:val="single" w:sz="12" w:space="0" w:color="auto"/>
            </w:tcBorders>
          </w:tcPr>
          <w:p w:rsidR="00D60EB3" w:rsidRDefault="00D60EB3" w:rsidP="008F1B6B">
            <w:pPr>
              <w:spacing w:before="20" w:after="20"/>
              <w:rPr>
                <w:rFonts w:cs="Arial"/>
                <w:sz w:val="20"/>
                <w:szCs w:val="20"/>
              </w:rPr>
            </w:pPr>
          </w:p>
        </w:tc>
        <w:tc>
          <w:tcPr>
            <w:tcW w:w="298" w:type="pct"/>
            <w:tcBorders>
              <w:top w:val="single" w:sz="4"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99" w:type="pct"/>
            <w:tcBorders>
              <w:top w:val="single" w:sz="4" w:space="0" w:color="auto"/>
              <w:left w:val="nil"/>
              <w:bottom w:val="single" w:sz="12" w:space="0" w:color="auto"/>
              <w:right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c>
          <w:tcPr>
            <w:tcW w:w="300" w:type="pct"/>
            <w:tcBorders>
              <w:top w:val="single" w:sz="4" w:space="0" w:color="auto"/>
              <w:left w:val="single" w:sz="12"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97" w:type="pct"/>
            <w:tcBorders>
              <w:top w:val="single" w:sz="4" w:space="0" w:color="auto"/>
              <w:left w:val="nil"/>
              <w:bottom w:val="single" w:sz="12" w:space="0" w:color="auto"/>
              <w:right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c>
          <w:tcPr>
            <w:tcW w:w="302" w:type="pct"/>
            <w:tcBorders>
              <w:top w:val="single" w:sz="4" w:space="0" w:color="auto"/>
              <w:left w:val="single" w:sz="12"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94" w:type="pct"/>
            <w:tcBorders>
              <w:top w:val="single" w:sz="4" w:space="0" w:color="auto"/>
              <w:left w:val="nil"/>
              <w:bottom w:val="single" w:sz="12" w:space="0" w:color="auto"/>
              <w:right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c>
          <w:tcPr>
            <w:tcW w:w="306" w:type="pct"/>
            <w:tcBorders>
              <w:top w:val="single" w:sz="4" w:space="0" w:color="auto"/>
              <w:left w:val="single" w:sz="12"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91" w:type="pct"/>
            <w:tcBorders>
              <w:top w:val="single" w:sz="4" w:space="0" w:color="auto"/>
              <w:left w:val="nil"/>
              <w:bottom w:val="single" w:sz="12" w:space="0" w:color="auto"/>
              <w:right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c>
          <w:tcPr>
            <w:tcW w:w="308" w:type="pct"/>
            <w:tcBorders>
              <w:top w:val="single" w:sz="4" w:space="0" w:color="auto"/>
              <w:left w:val="single" w:sz="12"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88" w:type="pct"/>
            <w:tcBorders>
              <w:top w:val="single" w:sz="4" w:space="0" w:color="auto"/>
              <w:left w:val="nil"/>
              <w:bottom w:val="single" w:sz="12" w:space="0" w:color="auto"/>
              <w:right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c>
          <w:tcPr>
            <w:tcW w:w="311" w:type="pct"/>
            <w:tcBorders>
              <w:top w:val="single" w:sz="4" w:space="0" w:color="auto"/>
              <w:left w:val="single" w:sz="12" w:space="0" w:color="auto"/>
              <w:bottom w:val="single" w:sz="12" w:space="0" w:color="auto"/>
              <w:right w:val="nil"/>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OR</w:t>
            </w:r>
          </w:p>
        </w:tc>
        <w:tc>
          <w:tcPr>
            <w:tcW w:w="387" w:type="pct"/>
            <w:tcBorders>
              <w:top w:val="single" w:sz="4" w:space="0" w:color="auto"/>
              <w:left w:val="nil"/>
              <w:bottom w:val="single" w:sz="12" w:space="0" w:color="auto"/>
            </w:tcBorders>
            <w:vAlign w:val="center"/>
          </w:tcPr>
          <w:p w:rsidR="00D60EB3" w:rsidRPr="009B5A3F" w:rsidRDefault="00D60EB3" w:rsidP="008F1B6B">
            <w:pPr>
              <w:spacing w:before="20" w:after="20"/>
              <w:jc w:val="center"/>
              <w:rPr>
                <w:rFonts w:cs="Arial"/>
                <w:b/>
                <w:sz w:val="20"/>
                <w:szCs w:val="20"/>
              </w:rPr>
            </w:pPr>
            <w:r w:rsidRPr="009B5A3F">
              <w:rPr>
                <w:rFonts w:cs="Arial"/>
                <w:b/>
                <w:sz w:val="20"/>
                <w:szCs w:val="20"/>
              </w:rPr>
              <w:t>95% CI</w:t>
            </w:r>
          </w:p>
        </w:tc>
      </w:tr>
      <w:tr w:rsidR="00D60EB3" w:rsidRPr="003A67CC" w:rsidTr="008F1B6B">
        <w:tc>
          <w:tcPr>
            <w:tcW w:w="1516" w:type="pct"/>
            <w:gridSpan w:val="3"/>
            <w:tcBorders>
              <w:top w:val="single" w:sz="12" w:space="0" w:color="auto"/>
              <w:right w:val="nil"/>
            </w:tcBorders>
            <w:shd w:val="clear" w:color="auto" w:fill="808080" w:themeFill="background1" w:themeFillShade="80"/>
          </w:tcPr>
          <w:p w:rsidR="00D60EB3" w:rsidRPr="003A67CC" w:rsidRDefault="00D60EB3" w:rsidP="008F1B6B">
            <w:pPr>
              <w:spacing w:before="20" w:after="20"/>
              <w:rPr>
                <w:rFonts w:cs="Arial"/>
                <w:color w:val="FFFFFF" w:themeColor="background1"/>
                <w:sz w:val="18"/>
                <w:szCs w:val="18"/>
              </w:rPr>
            </w:pPr>
            <w:r w:rsidRPr="003A67CC">
              <w:rPr>
                <w:rFonts w:cs="Arial"/>
                <w:b/>
                <w:color w:val="FFFFFF" w:themeColor="background1"/>
                <w:sz w:val="20"/>
                <w:szCs w:val="20"/>
              </w:rPr>
              <w:t>Gender</w:t>
            </w:r>
          </w:p>
        </w:tc>
        <w:tc>
          <w:tcPr>
            <w:tcW w:w="300"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7"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2"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4"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6"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1"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8"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8"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11" w:type="pct"/>
            <w:tcBorders>
              <w:top w:val="single" w:sz="12"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7" w:type="pct"/>
            <w:tcBorders>
              <w:top w:val="single" w:sz="12" w:space="0" w:color="auto"/>
              <w:left w:val="nil"/>
              <w:bottom w:val="single" w:sz="4" w:space="0" w:color="auto"/>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r>
      <w:tr w:rsidR="00D60EB3" w:rsidTr="008F1B6B">
        <w:tc>
          <w:tcPr>
            <w:tcW w:w="819" w:type="pct"/>
          </w:tcPr>
          <w:p w:rsidR="00D60EB3" w:rsidRDefault="00D60EB3" w:rsidP="008F1B6B">
            <w:pPr>
              <w:spacing w:before="20" w:after="20"/>
              <w:rPr>
                <w:rFonts w:cs="Arial"/>
                <w:sz w:val="20"/>
                <w:szCs w:val="20"/>
              </w:rPr>
            </w:pPr>
            <w:r>
              <w:rPr>
                <w:rFonts w:cs="Arial"/>
                <w:sz w:val="20"/>
                <w:szCs w:val="20"/>
              </w:rPr>
              <w:t>Male (ref)</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r>
      <w:tr w:rsidR="00D60EB3" w:rsidTr="008F1B6B">
        <w:tc>
          <w:tcPr>
            <w:tcW w:w="819" w:type="pct"/>
            <w:tcBorders>
              <w:bottom w:val="single" w:sz="4" w:space="0" w:color="auto"/>
            </w:tcBorders>
          </w:tcPr>
          <w:p w:rsidR="00D60EB3" w:rsidRDefault="00D60EB3" w:rsidP="008F1B6B">
            <w:pPr>
              <w:spacing w:before="20" w:after="20"/>
              <w:rPr>
                <w:rFonts w:cs="Arial"/>
                <w:sz w:val="20"/>
                <w:szCs w:val="20"/>
              </w:rPr>
            </w:pPr>
            <w:r>
              <w:rPr>
                <w:rFonts w:cs="Arial"/>
                <w:sz w:val="20"/>
                <w:szCs w:val="20"/>
              </w:rPr>
              <w:t>Female</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1.30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0.92-1.84</w:t>
            </w:r>
          </w:p>
        </w:tc>
        <w:tc>
          <w:tcPr>
            <w:tcW w:w="300" w:type="pct"/>
            <w:tcBorders>
              <w:top w:val="single" w:sz="4" w:space="0" w:color="auto"/>
              <w:left w:val="single" w:sz="12"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0.69</w:t>
            </w:r>
          </w:p>
        </w:tc>
        <w:tc>
          <w:tcPr>
            <w:tcW w:w="397"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0.53-0.90</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0.91</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0.68-1.21</w:t>
            </w:r>
          </w:p>
        </w:tc>
        <w:tc>
          <w:tcPr>
            <w:tcW w:w="306" w:type="pct"/>
            <w:tcBorders>
              <w:top w:val="single" w:sz="4" w:space="0" w:color="auto"/>
              <w:left w:val="single" w:sz="12"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1.51</w:t>
            </w:r>
          </w:p>
        </w:tc>
        <w:tc>
          <w:tcPr>
            <w:tcW w:w="391"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1.04-2.20</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1.27</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0.97-1.66</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0.91</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0.50-1.63</w:t>
            </w:r>
          </w:p>
        </w:tc>
      </w:tr>
      <w:tr w:rsidR="00D60EB3" w:rsidRPr="003A67CC" w:rsidTr="008F1B6B">
        <w:tc>
          <w:tcPr>
            <w:tcW w:w="1516" w:type="pct"/>
            <w:gridSpan w:val="3"/>
            <w:tcBorders>
              <w:right w:val="nil"/>
            </w:tcBorders>
            <w:shd w:val="clear" w:color="auto" w:fill="808080" w:themeFill="background1" w:themeFillShade="80"/>
          </w:tcPr>
          <w:p w:rsidR="00D60EB3" w:rsidRPr="003A67CC" w:rsidRDefault="00D60EB3" w:rsidP="008F1B6B">
            <w:pPr>
              <w:spacing w:before="20" w:after="20"/>
              <w:rPr>
                <w:rFonts w:cs="Arial"/>
                <w:color w:val="FFFFFF" w:themeColor="background1"/>
                <w:sz w:val="18"/>
                <w:szCs w:val="18"/>
              </w:rPr>
            </w:pPr>
            <w:r w:rsidRPr="003A67CC">
              <w:rPr>
                <w:rFonts w:cs="Arial"/>
                <w:b/>
                <w:bCs/>
                <w:color w:val="FFFFFF" w:themeColor="background1"/>
                <w:sz w:val="20"/>
                <w:szCs w:val="20"/>
                <w:lang w:eastAsia="en-AU"/>
              </w:rPr>
              <w:t>Age group</w:t>
            </w:r>
          </w:p>
        </w:tc>
        <w:tc>
          <w:tcPr>
            <w:tcW w:w="300"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7"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2"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4"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6"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1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7" w:type="pct"/>
            <w:tcBorders>
              <w:top w:val="single" w:sz="4" w:space="0" w:color="auto"/>
              <w:left w:val="nil"/>
              <w:bottom w:val="single" w:sz="4" w:space="0" w:color="auto"/>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15-24</w:t>
            </w:r>
            <w:r>
              <w:rPr>
                <w:rFonts w:cs="Arial"/>
                <w:bCs/>
                <w:color w:val="000000"/>
                <w:sz w:val="20"/>
                <w:szCs w:val="20"/>
                <w:lang w:eastAsia="en-AU"/>
              </w:rPr>
              <w:t xml:space="preserve"> years</w:t>
            </w:r>
            <w:r w:rsidRPr="00356510">
              <w:rPr>
                <w:rFonts w:cs="Arial"/>
                <w:bCs/>
                <w:color w:val="000000"/>
                <w:sz w:val="20"/>
                <w:szCs w:val="20"/>
                <w:lang w:eastAsia="en-AU"/>
              </w:rPr>
              <w:t xml:space="preserve"> (ref)</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25-34</w:t>
            </w:r>
            <w:r>
              <w:rPr>
                <w:rFonts w:cs="Arial"/>
                <w:bCs/>
                <w:color w:val="000000"/>
                <w:sz w:val="20"/>
                <w:szCs w:val="20"/>
                <w:lang w:eastAsia="en-AU"/>
              </w:rPr>
              <w:t xml:space="preserve"> years</w:t>
            </w:r>
          </w:p>
        </w:tc>
        <w:tc>
          <w:tcPr>
            <w:tcW w:w="298" w:type="pct"/>
            <w:tcBorders>
              <w:top w:val="single" w:sz="4"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1.82</w:t>
            </w:r>
          </w:p>
        </w:tc>
        <w:tc>
          <w:tcPr>
            <w:tcW w:w="399"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1.02-3.24</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1.17</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0.73-1.88</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0.79</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0.47-1.34</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0.87</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0.45-1.69</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0.71</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0.44-1.14</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1.19</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0.39-3.62</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35-44</w:t>
            </w:r>
            <w:r>
              <w:rPr>
                <w:rFonts w:cs="Arial"/>
                <w:bCs/>
                <w:color w:val="000000"/>
                <w:sz w:val="20"/>
                <w:szCs w:val="20"/>
                <w:lang w:eastAsia="en-AU"/>
              </w:rPr>
              <w:t xml:space="preserve"> years</w:t>
            </w:r>
          </w:p>
        </w:tc>
        <w:tc>
          <w:tcPr>
            <w:tcW w:w="298" w:type="pct"/>
            <w:tcBorders>
              <w:top w:val="single" w:sz="4"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1.94</w:t>
            </w:r>
          </w:p>
        </w:tc>
        <w:tc>
          <w:tcPr>
            <w:tcW w:w="399"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1.12-3.37</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1.44</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0.91-2.27</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0.83</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0.50-1.37</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0.83</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0.44-1.58</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0.82</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0.52-1.30</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1.01</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0.34-3.05</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45-54</w:t>
            </w:r>
            <w:r>
              <w:rPr>
                <w:rFonts w:cs="Arial"/>
                <w:bCs/>
                <w:color w:val="000000"/>
                <w:sz w:val="20"/>
                <w:szCs w:val="20"/>
                <w:lang w:eastAsia="en-AU"/>
              </w:rPr>
              <w:t xml:space="preserve"> years</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1.53</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0.90-2.58</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1.49</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0.95-2.33</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0.73</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0.45-1.19</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0.62</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0.34-1.15</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0.76</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0.48-1.19</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1.95</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0.71-5.36</w:t>
            </w:r>
          </w:p>
        </w:tc>
      </w:tr>
      <w:tr w:rsidR="00D60EB3" w:rsidTr="008F1B6B">
        <w:tc>
          <w:tcPr>
            <w:tcW w:w="819" w:type="pct"/>
            <w:tcBorders>
              <w:bottom w:val="single" w:sz="4" w:space="0" w:color="auto"/>
            </w:tcBorders>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55+</w:t>
            </w:r>
            <w:r>
              <w:rPr>
                <w:rFonts w:cs="Arial"/>
                <w:bCs/>
                <w:color w:val="000000"/>
                <w:sz w:val="20"/>
                <w:szCs w:val="20"/>
                <w:lang w:eastAsia="en-AU"/>
              </w:rPr>
              <w:t xml:space="preserve"> years</w:t>
            </w:r>
          </w:p>
        </w:tc>
        <w:tc>
          <w:tcPr>
            <w:tcW w:w="298" w:type="pct"/>
            <w:tcBorders>
              <w:top w:val="single" w:sz="4"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1.90</w:t>
            </w:r>
          </w:p>
        </w:tc>
        <w:tc>
          <w:tcPr>
            <w:tcW w:w="399"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1.04-3.48</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1.45</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0.89-2.37</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0.96</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0.55-1.66</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0.79</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0.40-1.58</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0.55-1.48</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0.84</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0.24-2.90</w:t>
            </w:r>
          </w:p>
        </w:tc>
      </w:tr>
      <w:tr w:rsidR="00D60EB3" w:rsidRPr="003A67CC" w:rsidTr="008F1B6B">
        <w:tc>
          <w:tcPr>
            <w:tcW w:w="1516" w:type="pct"/>
            <w:gridSpan w:val="3"/>
            <w:tcBorders>
              <w:right w:val="nil"/>
            </w:tcBorders>
            <w:shd w:val="clear" w:color="auto" w:fill="808080" w:themeFill="background1" w:themeFillShade="80"/>
          </w:tcPr>
          <w:p w:rsidR="00D60EB3" w:rsidRPr="003A67CC" w:rsidRDefault="00D60EB3" w:rsidP="008F1B6B">
            <w:pPr>
              <w:spacing w:before="20" w:after="20"/>
              <w:rPr>
                <w:rFonts w:cs="Arial"/>
                <w:color w:val="FFFFFF" w:themeColor="background1"/>
                <w:sz w:val="18"/>
                <w:szCs w:val="18"/>
              </w:rPr>
            </w:pPr>
            <w:r w:rsidRPr="003A67CC">
              <w:rPr>
                <w:rFonts w:cs="Arial"/>
                <w:b/>
                <w:color w:val="FFFFFF" w:themeColor="background1"/>
                <w:sz w:val="20"/>
                <w:szCs w:val="20"/>
              </w:rPr>
              <w:t>Occupational skill</w:t>
            </w:r>
          </w:p>
        </w:tc>
        <w:tc>
          <w:tcPr>
            <w:tcW w:w="300"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7"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2"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4"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6"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9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0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1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c>
          <w:tcPr>
            <w:tcW w:w="387" w:type="pct"/>
            <w:tcBorders>
              <w:top w:val="single" w:sz="4" w:space="0" w:color="auto"/>
              <w:left w:val="nil"/>
              <w:bottom w:val="single" w:sz="4" w:space="0" w:color="auto"/>
            </w:tcBorders>
            <w:shd w:val="clear" w:color="auto" w:fill="808080" w:themeFill="background1" w:themeFillShade="80"/>
            <w:vAlign w:val="center"/>
          </w:tcPr>
          <w:p w:rsidR="00D60EB3" w:rsidRPr="003A67CC" w:rsidRDefault="00D60EB3" w:rsidP="008F1B6B">
            <w:pPr>
              <w:spacing w:before="20" w:after="20"/>
              <w:jc w:val="center"/>
              <w:rPr>
                <w:rFonts w:cs="Arial"/>
                <w:color w:val="FFFFFF" w:themeColor="background1"/>
                <w:sz w:val="18"/>
                <w:szCs w:val="18"/>
              </w:rPr>
            </w:pP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Pr>
                <w:rFonts w:cs="Arial"/>
                <w:bCs/>
                <w:color w:val="000000"/>
                <w:sz w:val="20"/>
                <w:szCs w:val="20"/>
                <w:lang w:eastAsia="en-AU"/>
              </w:rPr>
              <w:t xml:space="preserve">Level 1 </w:t>
            </w:r>
            <w:r w:rsidRPr="00356510">
              <w:rPr>
                <w:rFonts w:cs="Arial"/>
                <w:bCs/>
                <w:color w:val="000000"/>
                <w:sz w:val="20"/>
                <w:szCs w:val="20"/>
                <w:lang w:eastAsia="en-AU"/>
              </w:rPr>
              <w:t>(ref)</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Level 2</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1.64</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0.79-3.38</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1.22</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0.73-2.03</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1.78</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0.97-3.28</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1.43</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0.58-3.51</w:t>
            </w:r>
          </w:p>
        </w:tc>
        <w:tc>
          <w:tcPr>
            <w:tcW w:w="308"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1.87</w:t>
            </w:r>
          </w:p>
        </w:tc>
        <w:tc>
          <w:tcPr>
            <w:tcW w:w="388"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1.08-3.24</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0.44</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0.09-2.08</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Level 3</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1.51</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0.90-2.55</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1.11</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0.74-1.66</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1.04</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0.67-1.60</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0.68</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0.38-1.22</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1.06</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0.72-1.57</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0.91</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0.36-2.29</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Level 4</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1.12</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0.70-1.77</w:t>
            </w:r>
          </w:p>
        </w:tc>
        <w:tc>
          <w:tcPr>
            <w:tcW w:w="300"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0.63</w:t>
            </w:r>
          </w:p>
        </w:tc>
        <w:tc>
          <w:tcPr>
            <w:tcW w:w="397"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0.45-0.91</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0.99</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0.67-1.45</w:t>
            </w:r>
          </w:p>
        </w:tc>
        <w:tc>
          <w:tcPr>
            <w:tcW w:w="306"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0.58</w:t>
            </w:r>
          </w:p>
        </w:tc>
        <w:tc>
          <w:tcPr>
            <w:tcW w:w="391"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0.34-0.99</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0.99</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0.69-1.41</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1.40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0.63-3.10</w:t>
            </w:r>
          </w:p>
        </w:tc>
      </w:tr>
      <w:tr w:rsidR="00D60EB3" w:rsidTr="008F1B6B">
        <w:tc>
          <w:tcPr>
            <w:tcW w:w="819" w:type="pct"/>
            <w:tcBorders>
              <w:bottom w:val="single" w:sz="4" w:space="0" w:color="auto"/>
            </w:tcBorders>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Level 5 (lowest skill)</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1.12</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0.68-1.85</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0.80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0.54-1.19</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0.93</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0.61-1.42</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0.62</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0.35-1.12</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1.18</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0.79-1.74</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1.15</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0.48-2.78</w:t>
            </w:r>
          </w:p>
        </w:tc>
      </w:tr>
      <w:tr w:rsidR="00D60EB3" w:rsidRPr="003A67CC" w:rsidTr="008F1B6B">
        <w:tc>
          <w:tcPr>
            <w:tcW w:w="1516" w:type="pct"/>
            <w:gridSpan w:val="3"/>
            <w:tcBorders>
              <w:top w:val="single" w:sz="4" w:space="0" w:color="auto"/>
              <w:bottom w:val="single" w:sz="4" w:space="0" w:color="auto"/>
              <w:right w:val="nil"/>
            </w:tcBorders>
            <w:shd w:val="clear" w:color="auto" w:fill="808080" w:themeFill="background1" w:themeFillShade="80"/>
          </w:tcPr>
          <w:p w:rsidR="00D60EB3" w:rsidRPr="003A67CC" w:rsidRDefault="00D60EB3" w:rsidP="008F1B6B">
            <w:pPr>
              <w:spacing w:before="20" w:after="20"/>
              <w:rPr>
                <w:rFonts w:cs="Arial"/>
                <w:b/>
                <w:color w:val="FFFFFF" w:themeColor="background1"/>
                <w:sz w:val="18"/>
                <w:szCs w:val="18"/>
              </w:rPr>
            </w:pPr>
            <w:r w:rsidRPr="003A67CC">
              <w:rPr>
                <w:rFonts w:cs="Arial"/>
                <w:b/>
                <w:color w:val="FFFFFF" w:themeColor="background1"/>
                <w:sz w:val="20"/>
                <w:szCs w:val="20"/>
              </w:rPr>
              <w:t>Employment arrangement</w:t>
            </w:r>
          </w:p>
        </w:tc>
        <w:tc>
          <w:tcPr>
            <w:tcW w:w="300"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7"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2"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4"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6"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8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1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87" w:type="pct"/>
            <w:tcBorders>
              <w:top w:val="single" w:sz="4" w:space="0" w:color="auto"/>
              <w:left w:val="nil"/>
              <w:bottom w:val="single" w:sz="4" w:space="0" w:color="auto"/>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Perm</w:t>
            </w:r>
            <w:r>
              <w:rPr>
                <w:rFonts w:cs="Arial"/>
                <w:bCs/>
                <w:color w:val="000000"/>
                <w:sz w:val="20"/>
                <w:szCs w:val="20"/>
                <w:lang w:eastAsia="en-AU"/>
              </w:rPr>
              <w:t xml:space="preserve">anent / </w:t>
            </w:r>
            <w:r w:rsidRPr="00356510">
              <w:rPr>
                <w:rFonts w:cs="Arial"/>
                <w:bCs/>
                <w:color w:val="000000"/>
                <w:sz w:val="20"/>
                <w:szCs w:val="20"/>
                <w:lang w:eastAsia="en-AU"/>
              </w:rPr>
              <w:t>fixed term</w:t>
            </w:r>
            <w:r>
              <w:rPr>
                <w:rFonts w:cs="Arial"/>
                <w:bCs/>
                <w:color w:val="000000"/>
                <w:sz w:val="20"/>
                <w:szCs w:val="20"/>
                <w:lang w:eastAsia="en-AU"/>
              </w:rPr>
              <w:t xml:space="preserve"> (ref)</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r>
      <w:tr w:rsidR="00D60EB3" w:rsidTr="008F1B6B">
        <w:tc>
          <w:tcPr>
            <w:tcW w:w="819" w:type="pct"/>
            <w:tcBorders>
              <w:bottom w:val="single" w:sz="4" w:space="0" w:color="auto"/>
            </w:tcBorders>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 xml:space="preserve">Casual </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0.59-1.37</w:t>
            </w:r>
          </w:p>
        </w:tc>
        <w:tc>
          <w:tcPr>
            <w:tcW w:w="300"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0.65</w:t>
            </w:r>
          </w:p>
        </w:tc>
        <w:tc>
          <w:tcPr>
            <w:tcW w:w="397"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0.47-0.91</w:t>
            </w:r>
          </w:p>
        </w:tc>
        <w:tc>
          <w:tcPr>
            <w:tcW w:w="302"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0.67</w:t>
            </w:r>
          </w:p>
        </w:tc>
        <w:tc>
          <w:tcPr>
            <w:tcW w:w="394"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0.47-0.94</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0.74</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0.48-1.13</w:t>
            </w:r>
          </w:p>
        </w:tc>
        <w:tc>
          <w:tcPr>
            <w:tcW w:w="308"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0.49</w:t>
            </w:r>
          </w:p>
        </w:tc>
        <w:tc>
          <w:tcPr>
            <w:tcW w:w="388"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0.35-0.68</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0.98</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0.48-2.00</w:t>
            </w:r>
          </w:p>
        </w:tc>
      </w:tr>
      <w:tr w:rsidR="00D60EB3" w:rsidRPr="003A67CC" w:rsidTr="008F1B6B">
        <w:tc>
          <w:tcPr>
            <w:tcW w:w="1516" w:type="pct"/>
            <w:gridSpan w:val="3"/>
            <w:tcBorders>
              <w:right w:val="nil"/>
            </w:tcBorders>
            <w:shd w:val="clear" w:color="auto" w:fill="808080" w:themeFill="background1" w:themeFillShade="80"/>
          </w:tcPr>
          <w:p w:rsidR="00D60EB3" w:rsidRPr="003A67CC" w:rsidRDefault="00D60EB3" w:rsidP="008F1B6B">
            <w:pPr>
              <w:spacing w:before="20" w:after="20"/>
              <w:rPr>
                <w:rFonts w:cs="Arial"/>
                <w:b/>
                <w:color w:val="FFFFFF" w:themeColor="background1"/>
                <w:sz w:val="18"/>
                <w:szCs w:val="18"/>
              </w:rPr>
            </w:pPr>
            <w:r w:rsidRPr="003A67CC">
              <w:rPr>
                <w:rFonts w:cs="Arial"/>
                <w:b/>
                <w:bCs/>
                <w:color w:val="FFFFFF" w:themeColor="background1"/>
                <w:sz w:val="20"/>
                <w:szCs w:val="20"/>
                <w:lang w:eastAsia="en-AU"/>
              </w:rPr>
              <w:t>Workplace size</w:t>
            </w:r>
          </w:p>
        </w:tc>
        <w:tc>
          <w:tcPr>
            <w:tcW w:w="300"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7"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2"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4"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6"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9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0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88"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11" w:type="pct"/>
            <w:tcBorders>
              <w:top w:val="single" w:sz="4" w:space="0" w:color="auto"/>
              <w:left w:val="nil"/>
              <w:bottom w:val="single" w:sz="4" w:space="0" w:color="auto"/>
              <w:right w:val="nil"/>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c>
          <w:tcPr>
            <w:tcW w:w="387" w:type="pct"/>
            <w:tcBorders>
              <w:top w:val="single" w:sz="4" w:space="0" w:color="auto"/>
              <w:left w:val="nil"/>
              <w:bottom w:val="single" w:sz="4" w:space="0" w:color="auto"/>
            </w:tcBorders>
            <w:shd w:val="clear" w:color="auto" w:fill="808080" w:themeFill="background1" w:themeFillShade="80"/>
            <w:vAlign w:val="center"/>
          </w:tcPr>
          <w:p w:rsidR="00D60EB3" w:rsidRPr="003A67CC" w:rsidRDefault="00D60EB3" w:rsidP="008F1B6B">
            <w:pPr>
              <w:spacing w:before="20" w:after="20"/>
              <w:jc w:val="center"/>
              <w:rPr>
                <w:rFonts w:cs="Arial"/>
                <w:b/>
                <w:color w:val="FFFFFF" w:themeColor="background1"/>
                <w:sz w:val="18"/>
                <w:szCs w:val="18"/>
              </w:rPr>
            </w:pP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Pr>
                <w:rFonts w:cs="Arial"/>
                <w:bCs/>
                <w:color w:val="000000"/>
                <w:sz w:val="20"/>
                <w:szCs w:val="20"/>
                <w:lang w:eastAsia="en-AU"/>
              </w:rPr>
              <w:t>200+ employees</w:t>
            </w:r>
            <w:r w:rsidRPr="00356510">
              <w:rPr>
                <w:rFonts w:cs="Arial"/>
                <w:bCs/>
                <w:color w:val="000000"/>
                <w:sz w:val="20"/>
                <w:szCs w:val="20"/>
                <w:lang w:eastAsia="en-AU"/>
              </w:rPr>
              <w:t xml:space="preserve"> (ref)</w:t>
            </w:r>
          </w:p>
        </w:tc>
        <w:tc>
          <w:tcPr>
            <w:tcW w:w="298" w:type="pct"/>
            <w:tcBorders>
              <w:top w:val="single" w:sz="4"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9"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0"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7"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2"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4"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6"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91"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08"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8" w:type="pct"/>
            <w:tcBorders>
              <w:top w:val="single" w:sz="4" w:space="0" w:color="auto"/>
              <w:left w:val="nil"/>
              <w:bottom w:val="single" w:sz="4"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1.00</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sidRPr="003A67CC">
              <w:rPr>
                <w:rFonts w:cs="Arial"/>
                <w:sz w:val="18"/>
                <w:szCs w:val="18"/>
              </w:rPr>
              <w:t>-</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20-199</w:t>
            </w:r>
            <w:r>
              <w:rPr>
                <w:rFonts w:cs="Arial"/>
                <w:bCs/>
                <w:color w:val="000000"/>
                <w:sz w:val="20"/>
                <w:szCs w:val="20"/>
                <w:lang w:eastAsia="en-AU"/>
              </w:rPr>
              <w:t xml:space="preserve"> employees</w:t>
            </w:r>
          </w:p>
        </w:tc>
        <w:tc>
          <w:tcPr>
            <w:tcW w:w="298" w:type="pct"/>
            <w:tcBorders>
              <w:top w:val="single" w:sz="4"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0.51</w:t>
            </w:r>
          </w:p>
        </w:tc>
        <w:tc>
          <w:tcPr>
            <w:tcW w:w="399"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0.31-0.84</w:t>
            </w:r>
          </w:p>
        </w:tc>
        <w:tc>
          <w:tcPr>
            <w:tcW w:w="300"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0.47</w:t>
            </w:r>
          </w:p>
        </w:tc>
        <w:tc>
          <w:tcPr>
            <w:tcW w:w="397"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0.33-0.68</w:t>
            </w:r>
          </w:p>
        </w:tc>
        <w:tc>
          <w:tcPr>
            <w:tcW w:w="302"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0.60</w:t>
            </w:r>
          </w:p>
        </w:tc>
        <w:tc>
          <w:tcPr>
            <w:tcW w:w="394"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0.40-0.89</w:t>
            </w:r>
          </w:p>
        </w:tc>
        <w:tc>
          <w:tcPr>
            <w:tcW w:w="306"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0.45</w:t>
            </w:r>
          </w:p>
        </w:tc>
        <w:tc>
          <w:tcPr>
            <w:tcW w:w="391"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0.25-0.82</w:t>
            </w:r>
          </w:p>
        </w:tc>
        <w:tc>
          <w:tcPr>
            <w:tcW w:w="308"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0.54</w:t>
            </w:r>
          </w:p>
        </w:tc>
        <w:tc>
          <w:tcPr>
            <w:tcW w:w="388"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0.38-0.76</w:t>
            </w:r>
          </w:p>
        </w:tc>
        <w:tc>
          <w:tcPr>
            <w:tcW w:w="311" w:type="pct"/>
            <w:tcBorders>
              <w:top w:val="single" w:sz="4" w:space="0" w:color="auto"/>
              <w:left w:val="single" w:sz="12" w:space="0" w:color="auto"/>
              <w:bottom w:val="single" w:sz="4" w:space="0" w:color="auto"/>
              <w:right w:val="nil"/>
            </w:tcBorders>
            <w:vAlign w:val="center"/>
          </w:tcPr>
          <w:p w:rsidR="00D60EB3" w:rsidRPr="003A67CC" w:rsidRDefault="00D60EB3" w:rsidP="008F1B6B">
            <w:pPr>
              <w:spacing w:before="20" w:after="20"/>
              <w:jc w:val="center"/>
              <w:rPr>
                <w:rFonts w:cs="Arial"/>
                <w:sz w:val="18"/>
                <w:szCs w:val="18"/>
              </w:rPr>
            </w:pPr>
            <w:r>
              <w:rPr>
                <w:rFonts w:cs="Arial"/>
                <w:sz w:val="18"/>
                <w:szCs w:val="18"/>
              </w:rPr>
              <w:t>2.28</w:t>
            </w:r>
          </w:p>
        </w:tc>
        <w:tc>
          <w:tcPr>
            <w:tcW w:w="387" w:type="pct"/>
            <w:tcBorders>
              <w:top w:val="single" w:sz="4" w:space="0" w:color="auto"/>
              <w:left w:val="nil"/>
              <w:bottom w:val="single" w:sz="4"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0.84-6.23</w:t>
            </w:r>
          </w:p>
        </w:tc>
      </w:tr>
      <w:tr w:rsidR="00D60EB3" w:rsidTr="008F1B6B">
        <w:tc>
          <w:tcPr>
            <w:tcW w:w="819" w:type="pct"/>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5-19</w:t>
            </w:r>
            <w:r>
              <w:rPr>
                <w:rFonts w:cs="Arial"/>
                <w:bCs/>
                <w:color w:val="000000"/>
                <w:sz w:val="20"/>
                <w:szCs w:val="20"/>
                <w:lang w:eastAsia="en-AU"/>
              </w:rPr>
              <w:t xml:space="preserve"> employees</w:t>
            </w:r>
          </w:p>
        </w:tc>
        <w:tc>
          <w:tcPr>
            <w:tcW w:w="298" w:type="pct"/>
            <w:tcBorders>
              <w:top w:val="single" w:sz="4" w:space="0" w:color="auto"/>
              <w:bottom w:val="single" w:sz="4"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0.36</w:t>
            </w:r>
          </w:p>
        </w:tc>
        <w:tc>
          <w:tcPr>
            <w:tcW w:w="399" w:type="pct"/>
            <w:tcBorders>
              <w:top w:val="single" w:sz="4" w:space="0" w:color="auto"/>
              <w:left w:val="nil"/>
              <w:bottom w:val="single" w:sz="4"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0.22-0.61</w:t>
            </w:r>
          </w:p>
        </w:tc>
        <w:tc>
          <w:tcPr>
            <w:tcW w:w="300"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0.21</w:t>
            </w:r>
          </w:p>
        </w:tc>
        <w:tc>
          <w:tcPr>
            <w:tcW w:w="397"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0.14-0.30</w:t>
            </w:r>
          </w:p>
        </w:tc>
        <w:tc>
          <w:tcPr>
            <w:tcW w:w="302" w:type="pct"/>
            <w:tcBorders>
              <w:top w:val="single" w:sz="4" w:space="0" w:color="auto"/>
              <w:left w:val="single" w:sz="12" w:space="0" w:color="auto"/>
              <w:bottom w:val="single" w:sz="4"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0.33</w:t>
            </w:r>
          </w:p>
        </w:tc>
        <w:tc>
          <w:tcPr>
            <w:tcW w:w="394" w:type="pct"/>
            <w:tcBorders>
              <w:top w:val="single" w:sz="4" w:space="0" w:color="auto"/>
              <w:left w:val="nil"/>
              <w:bottom w:val="single" w:sz="4"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0.22-0.49</w:t>
            </w:r>
          </w:p>
        </w:tc>
        <w:tc>
          <w:tcPr>
            <w:tcW w:w="306"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0.27</w:t>
            </w:r>
          </w:p>
        </w:tc>
        <w:tc>
          <w:tcPr>
            <w:tcW w:w="391"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0.15-0.49</w:t>
            </w:r>
          </w:p>
        </w:tc>
        <w:tc>
          <w:tcPr>
            <w:tcW w:w="308" w:type="pct"/>
            <w:tcBorders>
              <w:top w:val="single" w:sz="4" w:space="0" w:color="auto"/>
              <w:left w:val="single" w:sz="12" w:space="0" w:color="auto"/>
              <w:bottom w:val="single" w:sz="4"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0.30</w:t>
            </w:r>
          </w:p>
        </w:tc>
        <w:tc>
          <w:tcPr>
            <w:tcW w:w="388" w:type="pct"/>
            <w:tcBorders>
              <w:top w:val="single" w:sz="4" w:space="0" w:color="auto"/>
              <w:left w:val="nil"/>
              <w:bottom w:val="single" w:sz="4"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0.21-0.43</w:t>
            </w:r>
          </w:p>
        </w:tc>
        <w:tc>
          <w:tcPr>
            <w:tcW w:w="311" w:type="pct"/>
            <w:tcBorders>
              <w:top w:val="single" w:sz="4" w:space="0" w:color="auto"/>
              <w:left w:val="single" w:sz="12" w:space="0" w:color="auto"/>
              <w:bottom w:val="single" w:sz="4" w:space="0" w:color="auto"/>
              <w:right w:val="nil"/>
            </w:tcBorders>
            <w:vAlign w:val="center"/>
          </w:tcPr>
          <w:p w:rsidR="00D60EB3" w:rsidRPr="00F50FB9" w:rsidRDefault="00D60EB3" w:rsidP="008F1B6B">
            <w:pPr>
              <w:spacing w:before="20" w:after="20"/>
              <w:jc w:val="center"/>
              <w:rPr>
                <w:rFonts w:cs="Arial"/>
                <w:b/>
                <w:sz w:val="18"/>
                <w:szCs w:val="18"/>
              </w:rPr>
            </w:pPr>
            <w:r w:rsidRPr="00F50FB9">
              <w:rPr>
                <w:rFonts w:cs="Arial"/>
                <w:b/>
                <w:sz w:val="18"/>
                <w:szCs w:val="18"/>
              </w:rPr>
              <w:t>3.71</w:t>
            </w:r>
          </w:p>
        </w:tc>
        <w:tc>
          <w:tcPr>
            <w:tcW w:w="387" w:type="pct"/>
            <w:tcBorders>
              <w:top w:val="single" w:sz="4" w:space="0" w:color="auto"/>
              <w:left w:val="nil"/>
              <w:bottom w:val="single" w:sz="4" w:space="0" w:color="auto"/>
            </w:tcBorders>
            <w:vAlign w:val="center"/>
          </w:tcPr>
          <w:p w:rsidR="00D60EB3" w:rsidRPr="00F50FB9" w:rsidRDefault="00D60EB3" w:rsidP="008F1B6B">
            <w:pPr>
              <w:spacing w:before="20" w:after="20"/>
              <w:jc w:val="center"/>
              <w:rPr>
                <w:rFonts w:cs="Arial"/>
                <w:b/>
                <w:sz w:val="18"/>
                <w:szCs w:val="18"/>
              </w:rPr>
            </w:pPr>
            <w:r w:rsidRPr="00F50FB9">
              <w:rPr>
                <w:rFonts w:cs="Arial"/>
                <w:b/>
                <w:sz w:val="18"/>
                <w:szCs w:val="18"/>
              </w:rPr>
              <w:t>1.36-10.1</w:t>
            </w:r>
          </w:p>
        </w:tc>
      </w:tr>
      <w:tr w:rsidR="00D60EB3" w:rsidTr="008F1B6B">
        <w:tc>
          <w:tcPr>
            <w:tcW w:w="819" w:type="pct"/>
            <w:tcBorders>
              <w:bottom w:val="double" w:sz="12" w:space="0" w:color="auto"/>
            </w:tcBorders>
          </w:tcPr>
          <w:p w:rsidR="00D60EB3" w:rsidRPr="00356510" w:rsidRDefault="00D60EB3" w:rsidP="008F1B6B">
            <w:pPr>
              <w:spacing w:before="20" w:after="20"/>
              <w:rPr>
                <w:rFonts w:cs="Arial"/>
                <w:bCs/>
                <w:color w:val="000000"/>
                <w:sz w:val="20"/>
                <w:szCs w:val="20"/>
                <w:lang w:eastAsia="en-AU"/>
              </w:rPr>
            </w:pPr>
            <w:r w:rsidRPr="00356510">
              <w:rPr>
                <w:rFonts w:cs="Arial"/>
                <w:bCs/>
                <w:color w:val="000000"/>
                <w:sz w:val="20"/>
                <w:szCs w:val="20"/>
                <w:lang w:eastAsia="en-AU"/>
              </w:rPr>
              <w:t xml:space="preserve">&lt;5 </w:t>
            </w:r>
            <w:r>
              <w:rPr>
                <w:rFonts w:cs="Arial"/>
                <w:bCs/>
                <w:color w:val="000000"/>
                <w:sz w:val="20"/>
                <w:szCs w:val="20"/>
                <w:lang w:eastAsia="en-AU"/>
              </w:rPr>
              <w:t>employees</w:t>
            </w:r>
          </w:p>
        </w:tc>
        <w:tc>
          <w:tcPr>
            <w:tcW w:w="298" w:type="pct"/>
            <w:tcBorders>
              <w:top w:val="single" w:sz="4" w:space="0" w:color="auto"/>
              <w:bottom w:val="double" w:sz="12" w:space="0" w:color="auto"/>
              <w:right w:val="nil"/>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0.38</w:t>
            </w:r>
          </w:p>
        </w:tc>
        <w:tc>
          <w:tcPr>
            <w:tcW w:w="399" w:type="pct"/>
            <w:tcBorders>
              <w:top w:val="single" w:sz="4" w:space="0" w:color="auto"/>
              <w:left w:val="nil"/>
              <w:bottom w:val="double" w:sz="12" w:space="0" w:color="auto"/>
              <w:right w:val="single" w:sz="12" w:space="0" w:color="auto"/>
            </w:tcBorders>
            <w:vAlign w:val="center"/>
          </w:tcPr>
          <w:p w:rsidR="00D60EB3" w:rsidRPr="006F0E44" w:rsidRDefault="00D60EB3" w:rsidP="008F1B6B">
            <w:pPr>
              <w:spacing w:before="20" w:after="20"/>
              <w:jc w:val="center"/>
              <w:rPr>
                <w:rFonts w:cs="Arial"/>
                <w:b/>
                <w:sz w:val="18"/>
                <w:szCs w:val="18"/>
              </w:rPr>
            </w:pPr>
            <w:r w:rsidRPr="006F0E44">
              <w:rPr>
                <w:rFonts w:cs="Arial"/>
                <w:b/>
                <w:sz w:val="18"/>
                <w:szCs w:val="18"/>
              </w:rPr>
              <w:t>0.21-0.69</w:t>
            </w:r>
          </w:p>
        </w:tc>
        <w:tc>
          <w:tcPr>
            <w:tcW w:w="300" w:type="pct"/>
            <w:tcBorders>
              <w:top w:val="single" w:sz="4" w:space="0" w:color="auto"/>
              <w:left w:val="single" w:sz="12" w:space="0" w:color="auto"/>
              <w:bottom w:val="double" w:sz="12"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0.23</w:t>
            </w:r>
          </w:p>
        </w:tc>
        <w:tc>
          <w:tcPr>
            <w:tcW w:w="397" w:type="pct"/>
            <w:tcBorders>
              <w:top w:val="single" w:sz="4" w:space="0" w:color="auto"/>
              <w:left w:val="nil"/>
              <w:bottom w:val="double" w:sz="12"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0.15-0.37</w:t>
            </w:r>
          </w:p>
        </w:tc>
        <w:tc>
          <w:tcPr>
            <w:tcW w:w="302" w:type="pct"/>
            <w:tcBorders>
              <w:top w:val="single" w:sz="4" w:space="0" w:color="auto"/>
              <w:left w:val="single" w:sz="12" w:space="0" w:color="auto"/>
              <w:bottom w:val="double" w:sz="12" w:space="0" w:color="auto"/>
              <w:right w:val="nil"/>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0.24</w:t>
            </w:r>
          </w:p>
        </w:tc>
        <w:tc>
          <w:tcPr>
            <w:tcW w:w="394" w:type="pct"/>
            <w:tcBorders>
              <w:top w:val="single" w:sz="4" w:space="0" w:color="auto"/>
              <w:left w:val="nil"/>
              <w:bottom w:val="double" w:sz="12" w:space="0" w:color="auto"/>
              <w:right w:val="single" w:sz="12" w:space="0" w:color="auto"/>
            </w:tcBorders>
            <w:vAlign w:val="center"/>
          </w:tcPr>
          <w:p w:rsidR="00D60EB3" w:rsidRPr="003E1C73" w:rsidRDefault="00D60EB3" w:rsidP="008F1B6B">
            <w:pPr>
              <w:spacing w:before="20" w:after="20"/>
              <w:jc w:val="center"/>
              <w:rPr>
                <w:rFonts w:cs="Arial"/>
                <w:b/>
                <w:sz w:val="18"/>
                <w:szCs w:val="18"/>
              </w:rPr>
            </w:pPr>
            <w:r w:rsidRPr="003E1C73">
              <w:rPr>
                <w:rFonts w:cs="Arial"/>
                <w:b/>
                <w:sz w:val="18"/>
                <w:szCs w:val="18"/>
              </w:rPr>
              <w:t>0.15-0.39</w:t>
            </w:r>
          </w:p>
        </w:tc>
        <w:tc>
          <w:tcPr>
            <w:tcW w:w="306" w:type="pct"/>
            <w:tcBorders>
              <w:top w:val="single" w:sz="4" w:space="0" w:color="auto"/>
              <w:left w:val="single" w:sz="12" w:space="0" w:color="auto"/>
              <w:bottom w:val="double" w:sz="12"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0.19</w:t>
            </w:r>
          </w:p>
        </w:tc>
        <w:tc>
          <w:tcPr>
            <w:tcW w:w="391" w:type="pct"/>
            <w:tcBorders>
              <w:top w:val="single" w:sz="4" w:space="0" w:color="auto"/>
              <w:left w:val="nil"/>
              <w:bottom w:val="double" w:sz="12"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0.10-0.37</w:t>
            </w:r>
          </w:p>
        </w:tc>
        <w:tc>
          <w:tcPr>
            <w:tcW w:w="308" w:type="pct"/>
            <w:tcBorders>
              <w:top w:val="single" w:sz="4" w:space="0" w:color="auto"/>
              <w:left w:val="single" w:sz="12" w:space="0" w:color="auto"/>
              <w:bottom w:val="double" w:sz="12" w:space="0" w:color="auto"/>
              <w:right w:val="nil"/>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0.29</w:t>
            </w:r>
          </w:p>
        </w:tc>
        <w:tc>
          <w:tcPr>
            <w:tcW w:w="388" w:type="pct"/>
            <w:tcBorders>
              <w:top w:val="single" w:sz="4" w:space="0" w:color="auto"/>
              <w:left w:val="nil"/>
              <w:bottom w:val="double" w:sz="12" w:space="0" w:color="auto"/>
              <w:right w:val="single" w:sz="12" w:space="0" w:color="auto"/>
            </w:tcBorders>
            <w:vAlign w:val="center"/>
          </w:tcPr>
          <w:p w:rsidR="00D60EB3" w:rsidRPr="0002658E" w:rsidRDefault="00D60EB3" w:rsidP="008F1B6B">
            <w:pPr>
              <w:spacing w:before="20" w:after="20"/>
              <w:jc w:val="center"/>
              <w:rPr>
                <w:rFonts w:cs="Arial"/>
                <w:b/>
                <w:sz w:val="18"/>
                <w:szCs w:val="18"/>
              </w:rPr>
            </w:pPr>
            <w:r w:rsidRPr="0002658E">
              <w:rPr>
                <w:rFonts w:cs="Arial"/>
                <w:b/>
                <w:sz w:val="18"/>
                <w:szCs w:val="18"/>
              </w:rPr>
              <w:t>0.19-0.45</w:t>
            </w:r>
          </w:p>
        </w:tc>
        <w:tc>
          <w:tcPr>
            <w:tcW w:w="311" w:type="pct"/>
            <w:tcBorders>
              <w:top w:val="single" w:sz="4" w:space="0" w:color="auto"/>
              <w:left w:val="single" w:sz="12" w:space="0" w:color="auto"/>
              <w:bottom w:val="double" w:sz="12" w:space="0" w:color="auto"/>
              <w:right w:val="nil"/>
            </w:tcBorders>
            <w:vAlign w:val="center"/>
          </w:tcPr>
          <w:p w:rsidR="00D60EB3" w:rsidRPr="00F50FB9" w:rsidRDefault="00D60EB3" w:rsidP="008F1B6B">
            <w:pPr>
              <w:spacing w:before="20" w:after="20"/>
              <w:jc w:val="center"/>
              <w:rPr>
                <w:rFonts w:cs="Arial"/>
                <w:b/>
                <w:sz w:val="18"/>
                <w:szCs w:val="18"/>
              </w:rPr>
            </w:pPr>
            <w:r w:rsidRPr="00F50FB9">
              <w:rPr>
                <w:rFonts w:cs="Arial"/>
                <w:b/>
                <w:sz w:val="18"/>
                <w:szCs w:val="18"/>
              </w:rPr>
              <w:t>4.76</w:t>
            </w:r>
          </w:p>
        </w:tc>
        <w:tc>
          <w:tcPr>
            <w:tcW w:w="387" w:type="pct"/>
            <w:tcBorders>
              <w:top w:val="single" w:sz="4" w:space="0" w:color="auto"/>
              <w:left w:val="nil"/>
              <w:bottom w:val="double" w:sz="12" w:space="0" w:color="auto"/>
            </w:tcBorders>
            <w:vAlign w:val="center"/>
          </w:tcPr>
          <w:p w:rsidR="00D60EB3" w:rsidRPr="00F50FB9" w:rsidRDefault="00D60EB3" w:rsidP="008F1B6B">
            <w:pPr>
              <w:spacing w:before="20" w:after="20"/>
              <w:jc w:val="center"/>
              <w:rPr>
                <w:rFonts w:cs="Arial"/>
                <w:b/>
                <w:sz w:val="18"/>
                <w:szCs w:val="18"/>
              </w:rPr>
            </w:pPr>
            <w:r w:rsidRPr="00F50FB9">
              <w:rPr>
                <w:rFonts w:cs="Arial"/>
                <w:b/>
                <w:sz w:val="18"/>
                <w:szCs w:val="18"/>
              </w:rPr>
              <w:t>1.61-14.1</w:t>
            </w:r>
          </w:p>
        </w:tc>
      </w:tr>
      <w:tr w:rsidR="00D60EB3" w:rsidTr="008F1B6B">
        <w:tc>
          <w:tcPr>
            <w:tcW w:w="819" w:type="pct"/>
            <w:tcBorders>
              <w:bottom w:val="single" w:sz="12" w:space="0" w:color="auto"/>
            </w:tcBorders>
          </w:tcPr>
          <w:p w:rsidR="00D60EB3" w:rsidRPr="00356510" w:rsidRDefault="00D60EB3" w:rsidP="008F1B6B">
            <w:pPr>
              <w:spacing w:before="20" w:after="20"/>
              <w:rPr>
                <w:rFonts w:cs="Arial"/>
                <w:b/>
                <w:bCs/>
                <w:color w:val="000000"/>
                <w:sz w:val="20"/>
                <w:szCs w:val="20"/>
                <w:lang w:eastAsia="en-AU"/>
              </w:rPr>
            </w:pPr>
            <w:r w:rsidRPr="00356510">
              <w:rPr>
                <w:rFonts w:cs="Arial"/>
                <w:b/>
                <w:bCs/>
                <w:color w:val="000000"/>
                <w:sz w:val="20"/>
                <w:szCs w:val="20"/>
                <w:lang w:eastAsia="en-AU"/>
              </w:rPr>
              <w:t>Hosmer-Lemeshow goodness-of-fit</w:t>
            </w:r>
          </w:p>
        </w:tc>
        <w:tc>
          <w:tcPr>
            <w:tcW w:w="697" w:type="pct"/>
            <w:gridSpan w:val="2"/>
            <w:tcBorders>
              <w:top w:val="single" w:sz="4" w:space="0" w:color="auto"/>
              <w:bottom w:val="single" w:sz="12"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0.6582</w:t>
            </w:r>
          </w:p>
        </w:tc>
        <w:tc>
          <w:tcPr>
            <w:tcW w:w="697" w:type="pct"/>
            <w:gridSpan w:val="2"/>
            <w:tcBorders>
              <w:top w:val="single" w:sz="4" w:space="0" w:color="auto"/>
              <w:left w:val="single" w:sz="12" w:space="0" w:color="auto"/>
              <w:bottom w:val="single" w:sz="12"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0.5847</w:t>
            </w:r>
          </w:p>
        </w:tc>
        <w:tc>
          <w:tcPr>
            <w:tcW w:w="696" w:type="pct"/>
            <w:gridSpan w:val="2"/>
            <w:tcBorders>
              <w:top w:val="single" w:sz="4" w:space="0" w:color="auto"/>
              <w:left w:val="single" w:sz="12" w:space="0" w:color="auto"/>
              <w:bottom w:val="single" w:sz="12"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0.5322</w:t>
            </w:r>
          </w:p>
        </w:tc>
        <w:tc>
          <w:tcPr>
            <w:tcW w:w="697" w:type="pct"/>
            <w:gridSpan w:val="2"/>
            <w:tcBorders>
              <w:top w:val="single" w:sz="4" w:space="0" w:color="auto"/>
              <w:left w:val="single" w:sz="12" w:space="0" w:color="auto"/>
              <w:bottom w:val="single" w:sz="12"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0.1865</w:t>
            </w:r>
          </w:p>
        </w:tc>
        <w:tc>
          <w:tcPr>
            <w:tcW w:w="696" w:type="pct"/>
            <w:gridSpan w:val="2"/>
            <w:tcBorders>
              <w:top w:val="single" w:sz="4" w:space="0" w:color="auto"/>
              <w:left w:val="single" w:sz="12" w:space="0" w:color="auto"/>
              <w:bottom w:val="single" w:sz="12" w:space="0" w:color="auto"/>
              <w:right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0.0944</w:t>
            </w:r>
          </w:p>
        </w:tc>
        <w:tc>
          <w:tcPr>
            <w:tcW w:w="698" w:type="pct"/>
            <w:gridSpan w:val="2"/>
            <w:tcBorders>
              <w:top w:val="single" w:sz="4" w:space="0" w:color="auto"/>
              <w:left w:val="single" w:sz="12" w:space="0" w:color="auto"/>
              <w:bottom w:val="single" w:sz="12" w:space="0" w:color="auto"/>
            </w:tcBorders>
            <w:vAlign w:val="center"/>
          </w:tcPr>
          <w:p w:rsidR="00D60EB3" w:rsidRPr="003A67CC" w:rsidRDefault="00D60EB3" w:rsidP="008F1B6B">
            <w:pPr>
              <w:spacing w:before="20" w:after="20"/>
              <w:jc w:val="center"/>
              <w:rPr>
                <w:rFonts w:cs="Arial"/>
                <w:sz w:val="18"/>
                <w:szCs w:val="18"/>
              </w:rPr>
            </w:pPr>
            <w:r>
              <w:rPr>
                <w:rFonts w:cs="Arial"/>
                <w:sz w:val="18"/>
                <w:szCs w:val="18"/>
              </w:rPr>
              <w:t>0.7977</w:t>
            </w:r>
          </w:p>
        </w:tc>
      </w:tr>
    </w:tbl>
    <w:p w:rsidR="00D60EB3" w:rsidRDefault="00D60EB3" w:rsidP="00D60EB3">
      <w:pPr>
        <w:rPr>
          <w:rFonts w:cs="Arial"/>
          <w:sz w:val="20"/>
          <w:szCs w:val="20"/>
        </w:rPr>
        <w:sectPr w:rsidR="00D60EB3" w:rsidSect="007C515D">
          <w:footerReference w:type="default" r:id="rId24"/>
          <w:type w:val="nextColumn"/>
          <w:pgSz w:w="15840" w:h="12240" w:orient="landscape"/>
          <w:pgMar w:top="1440" w:right="1440" w:bottom="1440" w:left="1440" w:header="709" w:footer="709" w:gutter="0"/>
          <w:cols w:space="708"/>
          <w:docGrid w:linePitch="360"/>
        </w:sectPr>
      </w:pPr>
    </w:p>
    <w:p w:rsidR="00A71D3E" w:rsidRPr="00356510" w:rsidRDefault="00A71D3E" w:rsidP="00B2210C">
      <w:pPr>
        <w:pStyle w:val="Heading3"/>
      </w:pPr>
      <w:bookmarkStart w:id="89" w:name="_Toc280100827"/>
      <w:bookmarkStart w:id="90" w:name="_Toc312075714"/>
      <w:r w:rsidRPr="00356510">
        <w:lastRenderedPageBreak/>
        <w:t>Labelling and warning signs</w:t>
      </w:r>
      <w:bookmarkEnd w:id="89"/>
      <w:bookmarkEnd w:id="90"/>
      <w:r w:rsidRPr="00356510">
        <w:t xml:space="preserve"> </w:t>
      </w:r>
    </w:p>
    <w:p w:rsidR="00A71D3E" w:rsidRPr="00356510" w:rsidRDefault="00A71D3E" w:rsidP="00A71D3E">
      <w:pPr>
        <w:rPr>
          <w:rFonts w:cs="Arial"/>
          <w:szCs w:val="22"/>
        </w:rPr>
      </w:pPr>
      <w:r w:rsidRPr="00356510">
        <w:rPr>
          <w:rFonts w:cs="Arial"/>
          <w:szCs w:val="22"/>
        </w:rPr>
        <w:t xml:space="preserve">Labelling and warning signs are important chemical control measures because they provide workers with information about the hazardous properties of specific chemicals being used in the workplace and/or ways to minimise the risks of exposure. In the context of exposure to chemicals, this includes elements such as signs about the appropriate ways to protect skin, labelling of ingredients contained in products to which workers are exposed as part of their work, as well as warnings about the dangers associated with exposure to specific chemicals. </w:t>
      </w:r>
    </w:p>
    <w:p w:rsidR="00A71D3E" w:rsidRPr="00356510" w:rsidRDefault="00A71D3E" w:rsidP="00A71D3E">
      <w:pPr>
        <w:rPr>
          <w:rFonts w:cs="Arial"/>
          <w:szCs w:val="22"/>
        </w:rPr>
      </w:pPr>
      <w:r w:rsidRPr="00356510">
        <w:rPr>
          <w:rFonts w:cs="Arial"/>
          <w:szCs w:val="22"/>
        </w:rPr>
        <w:t>The provision of labelling and warning signs was reported by almost 70% of the NHEWS survey participants who also reported exposure to chemicals</w:t>
      </w:r>
      <w:r w:rsidR="008F1B6B">
        <w:rPr>
          <w:rFonts w:cs="Arial"/>
          <w:szCs w:val="22"/>
        </w:rPr>
        <w:t xml:space="preserve"> (</w:t>
      </w:r>
      <w:r w:rsidR="00AB2546">
        <w:rPr>
          <w:rFonts w:cs="Arial"/>
          <w:szCs w:val="22"/>
        </w:rPr>
        <w:fldChar w:fldCharType="begin"/>
      </w:r>
      <w:r w:rsidR="008F1B6B">
        <w:rPr>
          <w:rFonts w:cs="Arial"/>
          <w:szCs w:val="22"/>
        </w:rPr>
        <w:instrText xml:space="preserve"> REF _Ref311722779 \h </w:instrText>
      </w:r>
      <w:r w:rsidR="00AB2546">
        <w:rPr>
          <w:rFonts w:cs="Arial"/>
          <w:szCs w:val="22"/>
        </w:rPr>
      </w:r>
      <w:r w:rsidR="00AB2546">
        <w:rPr>
          <w:rFonts w:cs="Arial"/>
          <w:szCs w:val="22"/>
        </w:rPr>
        <w:fldChar w:fldCharType="separate"/>
      </w:r>
      <w:r w:rsidR="00266EB2">
        <w:t xml:space="preserve">Table </w:t>
      </w:r>
      <w:r w:rsidR="00266EB2">
        <w:rPr>
          <w:noProof/>
        </w:rPr>
        <w:t>5</w:t>
      </w:r>
      <w:r w:rsidR="00AB2546">
        <w:rPr>
          <w:rFonts w:cs="Arial"/>
          <w:szCs w:val="22"/>
        </w:rPr>
        <w:fldChar w:fldCharType="end"/>
      </w:r>
      <w:r w:rsidR="008F1B6B">
        <w:rPr>
          <w:rFonts w:cs="Arial"/>
          <w:szCs w:val="22"/>
        </w:rPr>
        <w:t>)</w:t>
      </w:r>
      <w:r w:rsidRPr="00356510">
        <w:rPr>
          <w:rFonts w:cs="Arial"/>
          <w:szCs w:val="22"/>
        </w:rPr>
        <w:t xml:space="preserve">. This percentage was higher among workers in industries such as </w:t>
      </w:r>
      <w:r w:rsidRPr="00E555F6">
        <w:rPr>
          <w:rFonts w:cs="Arial"/>
          <w:szCs w:val="22"/>
        </w:rPr>
        <w:t>Mining (91%), Health and community services (80%), Government administration and defence (80%) and Manufacturing (78%)</w:t>
      </w:r>
      <w:r w:rsidRPr="00356510">
        <w:rPr>
          <w:rFonts w:cs="Arial"/>
          <w:szCs w:val="22"/>
        </w:rPr>
        <w:t xml:space="preserve">. Labelling and warning signs were reported by relatively fewer workers in the </w:t>
      </w:r>
      <w:r w:rsidRPr="00E555F6">
        <w:rPr>
          <w:rFonts w:cs="Arial"/>
          <w:szCs w:val="22"/>
        </w:rPr>
        <w:t>Construction i</w:t>
      </w:r>
      <w:r w:rsidRPr="00356510">
        <w:rPr>
          <w:rFonts w:cs="Arial"/>
          <w:szCs w:val="22"/>
        </w:rPr>
        <w:t xml:space="preserve">ndustry, with only 51% reporting labelling and warning signs provided as a control measure. </w:t>
      </w:r>
    </w:p>
    <w:p w:rsidR="00D60EB3" w:rsidRDefault="00E555F6" w:rsidP="008F1B6B">
      <w:pPr>
        <w:spacing w:after="0"/>
        <w:rPr>
          <w:rFonts w:cs="Arial"/>
          <w:szCs w:val="22"/>
        </w:rPr>
      </w:pPr>
      <w:r>
        <w:rPr>
          <w:rFonts w:cs="Arial"/>
          <w:szCs w:val="22"/>
        </w:rPr>
        <w:t>T</w:t>
      </w:r>
      <w:r w:rsidR="00A71D3E" w:rsidRPr="00356510">
        <w:rPr>
          <w:rFonts w:cs="Arial"/>
          <w:szCs w:val="22"/>
        </w:rPr>
        <w:t>he logistic regression model (</w:t>
      </w:r>
      <w:r w:rsidR="00AB2546">
        <w:rPr>
          <w:rFonts w:cs="Arial"/>
          <w:szCs w:val="22"/>
        </w:rPr>
        <w:fldChar w:fldCharType="begin"/>
      </w:r>
      <w:r w:rsidR="008F1B6B">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00A71D3E" w:rsidRPr="00356510">
        <w:rPr>
          <w:rFonts w:cs="Arial"/>
          <w:szCs w:val="22"/>
        </w:rPr>
        <w:t xml:space="preserve">) </w:t>
      </w:r>
      <w:r>
        <w:rPr>
          <w:rFonts w:cs="Arial"/>
          <w:szCs w:val="22"/>
        </w:rPr>
        <w:t xml:space="preserve">that explored the employment and demographic factors associated with the provision of labelling and warning signs revealed that </w:t>
      </w:r>
      <w:r w:rsidR="00A71D3E" w:rsidRPr="00356510">
        <w:rPr>
          <w:rFonts w:cs="Arial"/>
          <w:szCs w:val="22"/>
        </w:rPr>
        <w:t xml:space="preserve">there were a number of groups of workers who had a decreased likelihood of reporting the provision </w:t>
      </w:r>
      <w:r>
        <w:rPr>
          <w:rFonts w:cs="Arial"/>
          <w:szCs w:val="22"/>
        </w:rPr>
        <w:t>this control</w:t>
      </w:r>
      <w:r w:rsidR="00A71D3E" w:rsidRPr="00356510">
        <w:rPr>
          <w:rFonts w:cs="Arial"/>
          <w:szCs w:val="22"/>
        </w:rPr>
        <w:t>. Compared to the largest workplaces (200 or more employees), smaller workplaces were less likely to provide labelling and warning signs. Workplaces with less than five employees (OR 0.24, 95% CI</w:t>
      </w:r>
      <w:r w:rsidR="006A1CC7">
        <w:rPr>
          <w:rFonts w:cs="Arial"/>
          <w:szCs w:val="22"/>
        </w:rPr>
        <w:t xml:space="preserve">: </w:t>
      </w:r>
      <w:r w:rsidR="00A71D3E" w:rsidRPr="00356510">
        <w:rPr>
          <w:rFonts w:cs="Arial"/>
          <w:szCs w:val="22"/>
        </w:rPr>
        <w:t xml:space="preserve">0.15-0.39) and workplaces with between five to 19 employees (OR 0.33, 95% CI: 0.22-0.49) were significantly less likely to report labelling and warning signs. Casual employees were also less likely to report </w:t>
      </w:r>
      <w:r>
        <w:rPr>
          <w:rFonts w:cs="Arial"/>
          <w:szCs w:val="22"/>
        </w:rPr>
        <w:t xml:space="preserve">the provision of </w:t>
      </w:r>
      <w:r w:rsidR="00A71D3E" w:rsidRPr="00356510">
        <w:rPr>
          <w:rFonts w:cs="Arial"/>
          <w:szCs w:val="22"/>
        </w:rPr>
        <w:t xml:space="preserve">labelling and warning signs compared to fixed term and permanent employees. </w:t>
      </w:r>
    </w:p>
    <w:p w:rsidR="00C030C5" w:rsidRPr="00356510" w:rsidRDefault="00D60EB3" w:rsidP="00D60EB3">
      <w:pPr>
        <w:pStyle w:val="Heading3"/>
      </w:pPr>
      <w:bookmarkStart w:id="91" w:name="_Toc312075715"/>
      <w:r>
        <w:rPr>
          <w:szCs w:val="22"/>
        </w:rPr>
        <w:t>W</w:t>
      </w:r>
      <w:r w:rsidR="00C030C5" w:rsidRPr="00356510">
        <w:t>ashing facilities</w:t>
      </w:r>
      <w:bookmarkEnd w:id="91"/>
    </w:p>
    <w:p w:rsidR="00C030C5" w:rsidRPr="004D22FA" w:rsidRDefault="00C030C5" w:rsidP="00C030C5">
      <w:pPr>
        <w:rPr>
          <w:rFonts w:cs="Arial"/>
          <w:szCs w:val="22"/>
        </w:rPr>
      </w:pPr>
      <w:r w:rsidRPr="00356510">
        <w:rPr>
          <w:rFonts w:cs="Arial"/>
          <w:szCs w:val="22"/>
        </w:rPr>
        <w:t>Overall, nearly 85% of workers who reported exposure to chemicals also reported the provision of washing facilities in their workplaces</w:t>
      </w:r>
      <w:r w:rsidR="003B5047">
        <w:rPr>
          <w:rFonts w:cs="Arial"/>
          <w:szCs w:val="22"/>
        </w:rPr>
        <w:t xml:space="preserve"> (</w:t>
      </w:r>
      <w:r w:rsidR="00AB2546">
        <w:rPr>
          <w:rFonts w:cs="Arial"/>
          <w:szCs w:val="22"/>
        </w:rPr>
        <w:fldChar w:fldCharType="begin"/>
      </w:r>
      <w:r w:rsidR="003B5047">
        <w:rPr>
          <w:rFonts w:cs="Arial"/>
          <w:szCs w:val="22"/>
        </w:rPr>
        <w:instrText xml:space="preserve"> REF _Ref311722779 \h </w:instrText>
      </w:r>
      <w:r w:rsidR="00AB2546">
        <w:rPr>
          <w:rFonts w:cs="Arial"/>
          <w:szCs w:val="22"/>
        </w:rPr>
      </w:r>
      <w:r w:rsidR="00AB2546">
        <w:rPr>
          <w:rFonts w:cs="Arial"/>
          <w:szCs w:val="22"/>
        </w:rPr>
        <w:fldChar w:fldCharType="separate"/>
      </w:r>
      <w:r w:rsidR="00266EB2">
        <w:t xml:space="preserve">Table </w:t>
      </w:r>
      <w:r w:rsidR="00266EB2">
        <w:rPr>
          <w:noProof/>
        </w:rPr>
        <w:t>5</w:t>
      </w:r>
      <w:r w:rsidR="00AB2546">
        <w:rPr>
          <w:rFonts w:cs="Arial"/>
          <w:szCs w:val="22"/>
        </w:rPr>
        <w:fldChar w:fldCharType="end"/>
      </w:r>
      <w:r w:rsidR="003B5047">
        <w:rPr>
          <w:rFonts w:cs="Arial"/>
          <w:szCs w:val="22"/>
        </w:rPr>
        <w:t>)</w:t>
      </w:r>
      <w:r w:rsidRPr="00356510">
        <w:rPr>
          <w:rFonts w:cs="Arial"/>
          <w:szCs w:val="22"/>
        </w:rPr>
        <w:t xml:space="preserve">. In some industries, very high percentages of workers reported the provision of washing facilities. For example, </w:t>
      </w:r>
      <w:r w:rsidR="008F1B6B">
        <w:rPr>
          <w:rFonts w:cs="Arial"/>
          <w:szCs w:val="22"/>
        </w:rPr>
        <w:t xml:space="preserve">93% of workers in the </w:t>
      </w:r>
      <w:r w:rsidRPr="004D22FA">
        <w:rPr>
          <w:rFonts w:cs="Arial"/>
          <w:szCs w:val="22"/>
        </w:rPr>
        <w:t xml:space="preserve">Health and community services </w:t>
      </w:r>
      <w:r w:rsidR="008F1B6B">
        <w:rPr>
          <w:rFonts w:cs="Arial"/>
          <w:szCs w:val="22"/>
        </w:rPr>
        <w:t>industry and 73% of workers in the</w:t>
      </w:r>
      <w:r w:rsidRPr="004D22FA">
        <w:rPr>
          <w:rFonts w:cs="Arial"/>
          <w:szCs w:val="22"/>
        </w:rPr>
        <w:t xml:space="preserve"> Government administration and defence </w:t>
      </w:r>
      <w:r w:rsidR="003B5047">
        <w:rPr>
          <w:rFonts w:cs="Arial"/>
          <w:szCs w:val="22"/>
        </w:rPr>
        <w:t>industry reported the provision of this control</w:t>
      </w:r>
      <w:r w:rsidRPr="004D22FA">
        <w:rPr>
          <w:rFonts w:cs="Arial"/>
          <w:szCs w:val="22"/>
        </w:rPr>
        <w:t>. In the highly exposed Construction industry,</w:t>
      </w:r>
      <w:r w:rsidR="00291DBB" w:rsidRPr="004D22FA">
        <w:rPr>
          <w:rFonts w:cs="Arial"/>
          <w:szCs w:val="22"/>
        </w:rPr>
        <w:t xml:space="preserve"> only</w:t>
      </w:r>
      <w:r w:rsidR="004D22FA">
        <w:rPr>
          <w:rFonts w:cs="Arial"/>
          <w:szCs w:val="22"/>
        </w:rPr>
        <w:t xml:space="preserve"> 68% of workers</w:t>
      </w:r>
      <w:r w:rsidRPr="004D22FA">
        <w:rPr>
          <w:rFonts w:cs="Arial"/>
          <w:szCs w:val="22"/>
        </w:rPr>
        <w:t xml:space="preserve"> who reported exposure to chemicals, reported provision of washing facilities. </w:t>
      </w:r>
    </w:p>
    <w:p w:rsidR="00C030C5" w:rsidRPr="00356510" w:rsidRDefault="003B5047" w:rsidP="00C030C5">
      <w:pPr>
        <w:rPr>
          <w:szCs w:val="22"/>
        </w:rPr>
      </w:pPr>
      <w:r>
        <w:rPr>
          <w:rFonts w:cs="Arial"/>
          <w:szCs w:val="22"/>
        </w:rPr>
        <w:t>T</w:t>
      </w:r>
      <w:r w:rsidR="00C030C5" w:rsidRPr="00356510">
        <w:rPr>
          <w:rFonts w:cs="Arial"/>
          <w:szCs w:val="22"/>
        </w:rPr>
        <w:t>he logistic regression model that examined the factors affecting the provision of washing facilities (</w:t>
      </w:r>
      <w:r w:rsidR="00AB2546">
        <w:rPr>
          <w:rFonts w:cs="Arial"/>
          <w:szCs w:val="22"/>
        </w:rPr>
        <w:fldChar w:fldCharType="begin"/>
      </w:r>
      <w:r w:rsidR="00945ED3">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00C030C5" w:rsidRPr="00356510">
        <w:rPr>
          <w:rFonts w:cs="Arial"/>
          <w:szCs w:val="22"/>
        </w:rPr>
        <w:t xml:space="preserve">) </w:t>
      </w:r>
      <w:r>
        <w:rPr>
          <w:rFonts w:cs="Arial"/>
          <w:szCs w:val="22"/>
        </w:rPr>
        <w:t xml:space="preserve">found that </w:t>
      </w:r>
      <w:r w:rsidR="00C030C5" w:rsidRPr="00356510">
        <w:rPr>
          <w:rFonts w:cs="Arial"/>
          <w:szCs w:val="22"/>
        </w:rPr>
        <w:t xml:space="preserve">female workers were significantly more likely to report the provision of washing facilities than male workers. There were </w:t>
      </w:r>
      <w:r>
        <w:rPr>
          <w:rFonts w:cs="Arial"/>
          <w:szCs w:val="22"/>
        </w:rPr>
        <w:t xml:space="preserve">also </w:t>
      </w:r>
      <w:r w:rsidR="00C030C5" w:rsidRPr="00356510">
        <w:rPr>
          <w:rFonts w:cs="Arial"/>
          <w:szCs w:val="22"/>
        </w:rPr>
        <w:t>a few worker groups that were associated with decreased likelihood of reporting the provision of washing facilities. These included people in occupational skill level four (</w:t>
      </w:r>
      <w:r w:rsidR="00C030C5" w:rsidRPr="00356510">
        <w:t>Intermediate clerical, sales or service work and intermediate plant operator/transport work</w:t>
      </w:r>
      <w:r w:rsidR="00C030C5" w:rsidRPr="00356510">
        <w:rPr>
          <w:rFonts w:cs="Arial"/>
          <w:szCs w:val="22"/>
        </w:rPr>
        <w:t>) relative to wor</w:t>
      </w:r>
      <w:r w:rsidR="00945ED3">
        <w:rPr>
          <w:rFonts w:cs="Arial"/>
          <w:szCs w:val="22"/>
        </w:rPr>
        <w:t>kers of the highest skill level. Furthermore, relative to the largest workplaces, the likelihood that washing facilities were provided decreased with decreasing workplace size.</w:t>
      </w:r>
      <w:r w:rsidR="00C030C5" w:rsidRPr="00356510">
        <w:rPr>
          <w:rFonts w:cs="Arial"/>
          <w:szCs w:val="22"/>
        </w:rPr>
        <w:t xml:space="preserve"> Workers from workplaces with between 20-199 employees were about half as likely to report washing facilities </w:t>
      </w:r>
      <w:r w:rsidR="00945ED3">
        <w:rPr>
          <w:rFonts w:cs="Arial"/>
          <w:szCs w:val="22"/>
        </w:rPr>
        <w:t>as</w:t>
      </w:r>
      <w:r w:rsidR="00C030C5" w:rsidRPr="00356510">
        <w:rPr>
          <w:rFonts w:cs="Arial"/>
          <w:szCs w:val="22"/>
        </w:rPr>
        <w:t xml:space="preserve"> work</w:t>
      </w:r>
      <w:r w:rsidR="00945ED3">
        <w:rPr>
          <w:rFonts w:cs="Arial"/>
          <w:szCs w:val="22"/>
        </w:rPr>
        <w:t>ers from the largest workplaces, while w</w:t>
      </w:r>
      <w:r w:rsidR="00C030C5" w:rsidRPr="00356510">
        <w:rPr>
          <w:rFonts w:cs="Arial"/>
          <w:szCs w:val="22"/>
        </w:rPr>
        <w:t xml:space="preserve">orkers from workplaces with between five and 19 employees were about two thirds less likely to report washing facilities and </w:t>
      </w:r>
      <w:r w:rsidR="00641C53" w:rsidRPr="00356510">
        <w:rPr>
          <w:rFonts w:cs="Arial"/>
          <w:szCs w:val="22"/>
        </w:rPr>
        <w:t>workers</w:t>
      </w:r>
      <w:r w:rsidR="00C030C5" w:rsidRPr="00356510">
        <w:rPr>
          <w:rFonts w:cs="Arial"/>
          <w:szCs w:val="22"/>
        </w:rPr>
        <w:t xml:space="preserve"> in workplaces with less than five employees were about 80% less likely to report washing facilities. </w:t>
      </w:r>
    </w:p>
    <w:p w:rsidR="00C030C5" w:rsidRPr="00D60EB3" w:rsidRDefault="00C030C5" w:rsidP="00D60EB3">
      <w:pPr>
        <w:pStyle w:val="Heading3"/>
      </w:pPr>
      <w:bookmarkStart w:id="92" w:name="_Toc280100829"/>
      <w:bookmarkStart w:id="93" w:name="_Toc312075716"/>
      <w:r w:rsidRPr="00D60EB3">
        <w:t xml:space="preserve">Training </w:t>
      </w:r>
      <w:bookmarkEnd w:id="92"/>
      <w:r w:rsidRPr="00D60EB3">
        <w:t>on safe handling of chemicals</w:t>
      </w:r>
      <w:bookmarkEnd w:id="93"/>
    </w:p>
    <w:p w:rsidR="00C030C5" w:rsidRPr="00EF2838" w:rsidRDefault="00C030C5" w:rsidP="00C030C5">
      <w:pPr>
        <w:rPr>
          <w:rFonts w:cs="Arial"/>
          <w:szCs w:val="22"/>
        </w:rPr>
      </w:pPr>
      <w:r w:rsidRPr="00356510">
        <w:rPr>
          <w:rFonts w:cs="Arial"/>
          <w:szCs w:val="22"/>
        </w:rPr>
        <w:t>Training on the safe handling of chemicals was reported by 61% of NHEWS participants who also reported exposure to chemicals</w:t>
      </w:r>
      <w:r w:rsidR="00EF2838">
        <w:rPr>
          <w:rFonts w:cs="Arial"/>
          <w:szCs w:val="22"/>
        </w:rPr>
        <w:t xml:space="preserve"> (</w:t>
      </w:r>
      <w:r w:rsidR="00AB2546">
        <w:rPr>
          <w:rFonts w:cs="Arial"/>
          <w:szCs w:val="22"/>
        </w:rPr>
        <w:fldChar w:fldCharType="begin"/>
      </w:r>
      <w:r w:rsidR="00EF2838">
        <w:rPr>
          <w:rFonts w:cs="Arial"/>
          <w:szCs w:val="22"/>
        </w:rPr>
        <w:instrText xml:space="preserve"> REF _Ref311722779 \h </w:instrText>
      </w:r>
      <w:r w:rsidR="00AB2546">
        <w:rPr>
          <w:rFonts w:cs="Arial"/>
          <w:szCs w:val="22"/>
        </w:rPr>
      </w:r>
      <w:r w:rsidR="00AB2546">
        <w:rPr>
          <w:rFonts w:cs="Arial"/>
          <w:szCs w:val="22"/>
        </w:rPr>
        <w:fldChar w:fldCharType="separate"/>
      </w:r>
      <w:r w:rsidR="00266EB2">
        <w:t xml:space="preserve">Table </w:t>
      </w:r>
      <w:r w:rsidR="00266EB2">
        <w:rPr>
          <w:noProof/>
        </w:rPr>
        <w:t>5</w:t>
      </w:r>
      <w:r w:rsidR="00AB2546">
        <w:rPr>
          <w:rFonts w:cs="Arial"/>
          <w:szCs w:val="22"/>
        </w:rPr>
        <w:fldChar w:fldCharType="end"/>
      </w:r>
      <w:r w:rsidR="00EF2838">
        <w:rPr>
          <w:rFonts w:cs="Arial"/>
          <w:szCs w:val="22"/>
        </w:rPr>
        <w:t>)</w:t>
      </w:r>
      <w:r w:rsidRPr="00356510">
        <w:rPr>
          <w:rFonts w:cs="Arial"/>
          <w:szCs w:val="22"/>
        </w:rPr>
        <w:t xml:space="preserve">. </w:t>
      </w:r>
      <w:r w:rsidRPr="00EF2838">
        <w:rPr>
          <w:rFonts w:cs="Arial"/>
          <w:szCs w:val="22"/>
        </w:rPr>
        <w:t xml:space="preserve">industries </w:t>
      </w:r>
      <w:r w:rsidR="00EF2838">
        <w:rPr>
          <w:rFonts w:cs="Arial"/>
          <w:szCs w:val="22"/>
        </w:rPr>
        <w:t xml:space="preserve">where </w:t>
      </w:r>
      <w:r w:rsidRPr="00EF2838">
        <w:rPr>
          <w:rFonts w:cs="Arial"/>
          <w:szCs w:val="22"/>
        </w:rPr>
        <w:t xml:space="preserve">high percentages </w:t>
      </w:r>
      <w:r w:rsidR="00EF2838">
        <w:rPr>
          <w:rFonts w:cs="Arial"/>
          <w:szCs w:val="22"/>
        </w:rPr>
        <w:t xml:space="preserve">of workers reported the provision </w:t>
      </w:r>
      <w:r w:rsidRPr="00EF2838">
        <w:rPr>
          <w:rFonts w:cs="Arial"/>
          <w:szCs w:val="22"/>
        </w:rPr>
        <w:t xml:space="preserve">of training were Health and community services (75%) and Government administration and defence (73%). This contrasts with workers in the Construction industry where, despite high exposure to chemicals such as </w:t>
      </w:r>
      <w:r w:rsidR="00610AAC" w:rsidRPr="00EF2838">
        <w:rPr>
          <w:rFonts w:cs="Arial"/>
          <w:szCs w:val="22"/>
        </w:rPr>
        <w:t>Cement and lime</w:t>
      </w:r>
      <w:r w:rsidRPr="00EF2838">
        <w:rPr>
          <w:rFonts w:cs="Arial"/>
          <w:szCs w:val="22"/>
        </w:rPr>
        <w:t xml:space="preserve">, the percentage of workers </w:t>
      </w:r>
      <w:r w:rsidR="007834E7" w:rsidRPr="00EF2838">
        <w:rPr>
          <w:rFonts w:cs="Arial"/>
          <w:szCs w:val="22"/>
        </w:rPr>
        <w:t xml:space="preserve">in this industry reporting exposure </w:t>
      </w:r>
      <w:r w:rsidRPr="00EF2838">
        <w:rPr>
          <w:rFonts w:cs="Arial"/>
          <w:szCs w:val="22"/>
        </w:rPr>
        <w:t xml:space="preserve">who reported the provision </w:t>
      </w:r>
      <w:r w:rsidR="00291DBB" w:rsidRPr="00EF2838">
        <w:rPr>
          <w:rFonts w:cs="Arial"/>
          <w:szCs w:val="22"/>
        </w:rPr>
        <w:t xml:space="preserve">of </w:t>
      </w:r>
      <w:r w:rsidRPr="00EF2838">
        <w:rPr>
          <w:rFonts w:cs="Arial"/>
          <w:szCs w:val="22"/>
        </w:rPr>
        <w:t xml:space="preserve">training was 50%. Other industries that reported low percentages of self-reported provision </w:t>
      </w:r>
      <w:r w:rsidRPr="00EF2838">
        <w:rPr>
          <w:rFonts w:cs="Arial"/>
          <w:szCs w:val="22"/>
        </w:rPr>
        <w:lastRenderedPageBreak/>
        <w:t xml:space="preserve">of training included </w:t>
      </w:r>
      <w:r w:rsidR="0022757F" w:rsidRPr="00EF2838">
        <w:rPr>
          <w:rFonts w:cs="Arial"/>
          <w:szCs w:val="22"/>
        </w:rPr>
        <w:t xml:space="preserve">Cultural, recreational and </w:t>
      </w:r>
      <w:r w:rsidR="00EF2838">
        <w:rPr>
          <w:rFonts w:cs="Arial"/>
          <w:szCs w:val="22"/>
        </w:rPr>
        <w:t>p</w:t>
      </w:r>
      <w:r w:rsidRPr="00EF2838">
        <w:rPr>
          <w:rFonts w:cs="Arial"/>
          <w:szCs w:val="22"/>
        </w:rPr>
        <w:t xml:space="preserve">ersonal services (34%), Finance and insurance (29%) and Education (46%).  </w:t>
      </w:r>
    </w:p>
    <w:p w:rsidR="00C030C5" w:rsidRPr="00356510" w:rsidRDefault="00C030C5" w:rsidP="00C030C5">
      <w:pPr>
        <w:rPr>
          <w:rFonts w:cs="Arial"/>
          <w:i/>
          <w:szCs w:val="22"/>
        </w:rPr>
      </w:pPr>
      <w:r w:rsidRPr="00356510">
        <w:rPr>
          <w:rFonts w:cs="Arial"/>
          <w:szCs w:val="22"/>
        </w:rPr>
        <w:t xml:space="preserve">The logistic regression model </w:t>
      </w:r>
      <w:r w:rsidR="00F345F1">
        <w:rPr>
          <w:rFonts w:cs="Arial"/>
          <w:szCs w:val="22"/>
        </w:rPr>
        <w:t xml:space="preserve">that examined the factors affecting the provision of training </w:t>
      </w:r>
      <w:r w:rsidRPr="00356510">
        <w:rPr>
          <w:rFonts w:cs="Arial"/>
          <w:szCs w:val="22"/>
        </w:rPr>
        <w:t>(</w:t>
      </w:r>
      <w:r w:rsidR="00AB2546">
        <w:rPr>
          <w:rFonts w:cs="Arial"/>
          <w:szCs w:val="22"/>
        </w:rPr>
        <w:fldChar w:fldCharType="begin"/>
      </w:r>
      <w:r w:rsidR="00F345F1">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Pr="00356510">
        <w:rPr>
          <w:rFonts w:cs="Arial"/>
          <w:szCs w:val="22"/>
        </w:rPr>
        <w:t>) revealed that there was only one group of workers associated with increased odds for the provision of training on safe handling of chemicals. Compared to workers in occupational skill level one (</w:t>
      </w:r>
      <w:r w:rsidRPr="00356510">
        <w:t>Manager and professional</w:t>
      </w:r>
      <w:r w:rsidRPr="00356510">
        <w:rPr>
          <w:rFonts w:cs="Arial"/>
          <w:szCs w:val="22"/>
        </w:rPr>
        <w:t xml:space="preserve">), workers in Level two </w:t>
      </w:r>
      <w:r w:rsidRPr="00356510">
        <w:t>(Technician and associated professional work)</w:t>
      </w:r>
      <w:r w:rsidRPr="00356510">
        <w:rPr>
          <w:rFonts w:cs="Arial"/>
          <w:szCs w:val="22"/>
        </w:rPr>
        <w:t xml:space="preserve"> were more likely to receive training on safe handling of chemicals. However, there were a number of groups associated with decreased likelihoods of reporting training. Once again this included all workers in workplaces with fewer than 200 employees. Similar to provision of washing facilities, the odds of the provision of training on safe handling of chemicals decreased with decreasing numbers of employees in the workplace. Relative to workers in the largest workplaces (200 or more employees), workers in workplaces </w:t>
      </w:r>
      <w:r w:rsidR="008C1378" w:rsidRPr="00356510">
        <w:rPr>
          <w:rFonts w:cs="Arial"/>
          <w:szCs w:val="22"/>
        </w:rPr>
        <w:t>with 20</w:t>
      </w:r>
      <w:r w:rsidRPr="00356510">
        <w:rPr>
          <w:rFonts w:cs="Arial"/>
          <w:szCs w:val="22"/>
        </w:rPr>
        <w:t>-199 workers were about half as likely to report the provision of training on the sa</w:t>
      </w:r>
      <w:r w:rsidR="00291DBB" w:rsidRPr="00356510">
        <w:rPr>
          <w:rFonts w:cs="Arial"/>
          <w:szCs w:val="22"/>
        </w:rPr>
        <w:t xml:space="preserve">fe handling of chemicals while </w:t>
      </w:r>
      <w:r w:rsidRPr="00356510">
        <w:rPr>
          <w:rFonts w:cs="Arial"/>
          <w:szCs w:val="22"/>
        </w:rPr>
        <w:t xml:space="preserve">workers in workplaces with less than five, or five to 19 employees were more than two thirds less likely. The other group of workers associated with decreased odds of reporting training on the safe handling of chemicals were casual employees. Compared to permanent employees and those on fixed term contracts, casual employees were half as likely to report the provision of training as a control </w:t>
      </w:r>
      <w:r w:rsidR="00F345F1">
        <w:rPr>
          <w:rFonts w:cs="Arial"/>
          <w:szCs w:val="22"/>
        </w:rPr>
        <w:t>measure for chemical exposure.</w:t>
      </w:r>
    </w:p>
    <w:p w:rsidR="00C030C5" w:rsidRPr="00356510" w:rsidRDefault="00C030C5" w:rsidP="00C030C5">
      <w:pPr>
        <w:pStyle w:val="Heading4"/>
        <w:rPr>
          <w:rFonts w:cs="Arial"/>
        </w:rPr>
      </w:pPr>
      <w:bookmarkStart w:id="94" w:name="_Toc280100830"/>
      <w:r w:rsidRPr="00356510">
        <w:rPr>
          <w:rFonts w:cs="Arial"/>
        </w:rPr>
        <w:t>No control measures</w:t>
      </w:r>
      <w:bookmarkEnd w:id="94"/>
    </w:p>
    <w:p w:rsidR="00C030C5" w:rsidRPr="00356510" w:rsidRDefault="00C030C5" w:rsidP="00C030C5">
      <w:pPr>
        <w:rPr>
          <w:rFonts w:cs="Arial"/>
          <w:szCs w:val="22"/>
        </w:rPr>
      </w:pPr>
      <w:r w:rsidRPr="00356510">
        <w:rPr>
          <w:rFonts w:cs="Arial"/>
          <w:szCs w:val="22"/>
        </w:rPr>
        <w:t xml:space="preserve">Overall, only 6% of the 1676 workers in the NHEWS survey who reported some exposure to chemicals reported no control measures at all were provided in their workplaces. However, it is of concern that these workers seem to be overrepresented in specific workplace groups and industries. In the highly exposed </w:t>
      </w:r>
      <w:r w:rsidRPr="000C46C2">
        <w:rPr>
          <w:rFonts w:cs="Arial"/>
          <w:szCs w:val="22"/>
        </w:rPr>
        <w:t>Construction industry</w:t>
      </w:r>
      <w:r w:rsidRPr="00356510">
        <w:rPr>
          <w:rFonts w:cs="Arial"/>
          <w:szCs w:val="22"/>
        </w:rPr>
        <w:t xml:space="preserve">, 11% of workers who reported exposure to chemicals reported they were provided with no control measures. Percentages were also high in </w:t>
      </w:r>
      <w:r w:rsidRPr="000C46C2">
        <w:rPr>
          <w:rFonts w:cs="Arial"/>
          <w:szCs w:val="22"/>
        </w:rPr>
        <w:t>Cultural, r</w:t>
      </w:r>
      <w:r w:rsidR="0022757F" w:rsidRPr="000C46C2">
        <w:rPr>
          <w:rFonts w:cs="Arial"/>
          <w:szCs w:val="22"/>
        </w:rPr>
        <w:t xml:space="preserve">ecreational and </w:t>
      </w:r>
      <w:r w:rsidR="000C46C2">
        <w:rPr>
          <w:rFonts w:cs="Arial"/>
          <w:szCs w:val="22"/>
        </w:rPr>
        <w:t>p</w:t>
      </w:r>
      <w:r w:rsidRPr="000C46C2">
        <w:rPr>
          <w:rFonts w:cs="Arial"/>
          <w:szCs w:val="22"/>
        </w:rPr>
        <w:t>ersonal services (10%), Education (8%) and in the Agriculture, forestry and fishing (7%) industries.</w:t>
      </w:r>
      <w:r w:rsidRPr="00356510">
        <w:rPr>
          <w:rFonts w:cs="Arial"/>
          <w:szCs w:val="22"/>
        </w:rPr>
        <w:t xml:space="preserve"> </w:t>
      </w:r>
    </w:p>
    <w:p w:rsidR="000876E5" w:rsidRDefault="00701CB9" w:rsidP="006925CC">
      <w:pPr>
        <w:spacing w:after="0"/>
        <w:rPr>
          <w:rFonts w:cs="Arial"/>
          <w:szCs w:val="22"/>
        </w:rPr>
      </w:pPr>
      <w:r>
        <w:rPr>
          <w:rFonts w:cs="Arial"/>
          <w:szCs w:val="22"/>
        </w:rPr>
        <w:t>The</w:t>
      </w:r>
      <w:r w:rsidR="00C030C5" w:rsidRPr="00356510">
        <w:rPr>
          <w:rFonts w:cs="Arial"/>
          <w:szCs w:val="22"/>
        </w:rPr>
        <w:t xml:space="preserve"> logistic regression model</w:t>
      </w:r>
      <w:r>
        <w:rPr>
          <w:rFonts w:cs="Arial"/>
          <w:szCs w:val="22"/>
        </w:rPr>
        <w:t xml:space="preserve"> </w:t>
      </w:r>
      <w:r w:rsidR="006925CC">
        <w:rPr>
          <w:rFonts w:cs="Arial"/>
          <w:szCs w:val="22"/>
        </w:rPr>
        <w:t>(</w:t>
      </w:r>
      <w:r w:rsidR="00AB2546">
        <w:rPr>
          <w:rFonts w:cs="Arial"/>
          <w:szCs w:val="22"/>
        </w:rPr>
        <w:fldChar w:fldCharType="begin"/>
      </w:r>
      <w:r w:rsidR="006925CC">
        <w:rPr>
          <w:rFonts w:cs="Arial"/>
          <w:szCs w:val="22"/>
        </w:rPr>
        <w:instrText xml:space="preserve"> REF _Ref311723753 \h </w:instrText>
      </w:r>
      <w:r w:rsidR="00AB2546">
        <w:rPr>
          <w:rFonts w:cs="Arial"/>
          <w:szCs w:val="22"/>
        </w:rPr>
      </w:r>
      <w:r w:rsidR="00AB2546">
        <w:rPr>
          <w:rFonts w:cs="Arial"/>
          <w:szCs w:val="22"/>
        </w:rPr>
        <w:fldChar w:fldCharType="separate"/>
      </w:r>
      <w:r w:rsidR="00266EB2">
        <w:t xml:space="preserve">Table </w:t>
      </w:r>
      <w:r w:rsidR="00266EB2">
        <w:rPr>
          <w:noProof/>
        </w:rPr>
        <w:t>7</w:t>
      </w:r>
      <w:r w:rsidR="00AB2546">
        <w:rPr>
          <w:rFonts w:cs="Arial"/>
          <w:szCs w:val="22"/>
        </w:rPr>
        <w:fldChar w:fldCharType="end"/>
      </w:r>
      <w:r w:rsidR="006925CC">
        <w:rPr>
          <w:rFonts w:cs="Arial"/>
          <w:szCs w:val="22"/>
        </w:rPr>
        <w:t xml:space="preserve">) </w:t>
      </w:r>
      <w:r>
        <w:rPr>
          <w:rFonts w:cs="Arial"/>
          <w:szCs w:val="22"/>
        </w:rPr>
        <w:t>that examined the likelihood that workers reported none of the controls were provided</w:t>
      </w:r>
      <w:r w:rsidR="00C030C5" w:rsidRPr="00356510">
        <w:rPr>
          <w:rFonts w:cs="Arial"/>
          <w:szCs w:val="22"/>
        </w:rPr>
        <w:t xml:space="preserve"> </w:t>
      </w:r>
      <w:r>
        <w:rPr>
          <w:rFonts w:cs="Arial"/>
          <w:szCs w:val="22"/>
        </w:rPr>
        <w:t>shows</w:t>
      </w:r>
      <w:r w:rsidR="00C030C5" w:rsidRPr="00356510">
        <w:rPr>
          <w:rFonts w:cs="Arial"/>
          <w:szCs w:val="22"/>
        </w:rPr>
        <w:t xml:space="preserve"> that compared to workers in workplaces with 200 or more employees, workers in workplaces with fewer than 20 employees were more likely to report no provision of control measures. Specifically, workers in workplaces with between five and 19 employees were almost four times as likely to report no control provision and workers in workplaces with less than five employees were almost five times more likely to report no control provision for chemical exposure. These figures are of even greater concern when considered in relation to the results for chemical exposure showing that workers in small workplaces also have increased odds of reporting exposure to </w:t>
      </w:r>
      <w:r w:rsidR="00610AAC" w:rsidRPr="00356510">
        <w:rPr>
          <w:rFonts w:cs="Arial"/>
          <w:i/>
          <w:szCs w:val="22"/>
        </w:rPr>
        <w:t>Cement and lime</w:t>
      </w:r>
      <w:r w:rsidR="00C030C5" w:rsidRPr="00356510">
        <w:rPr>
          <w:rFonts w:cs="Arial"/>
          <w:szCs w:val="22"/>
        </w:rPr>
        <w:t xml:space="preserve"> (</w:t>
      </w:r>
      <w:r w:rsidR="00AB2546">
        <w:rPr>
          <w:rFonts w:cs="Arial"/>
          <w:szCs w:val="22"/>
        </w:rPr>
        <w:fldChar w:fldCharType="begin"/>
      </w:r>
      <w:r>
        <w:rPr>
          <w:rFonts w:cs="Arial"/>
          <w:szCs w:val="22"/>
        </w:rPr>
        <w:instrText xml:space="preserve"> REF _Ref311554061 \h </w:instrText>
      </w:r>
      <w:r w:rsidR="00AB2546">
        <w:rPr>
          <w:rFonts w:cs="Arial"/>
          <w:szCs w:val="22"/>
        </w:rPr>
      </w:r>
      <w:r w:rsidR="00AB2546">
        <w:rPr>
          <w:rFonts w:cs="Arial"/>
          <w:szCs w:val="22"/>
        </w:rPr>
        <w:fldChar w:fldCharType="separate"/>
      </w:r>
      <w:r w:rsidR="00266EB2">
        <w:t xml:space="preserve">Table </w:t>
      </w:r>
      <w:r w:rsidR="00266EB2">
        <w:rPr>
          <w:noProof/>
        </w:rPr>
        <w:t>4</w:t>
      </w:r>
      <w:r w:rsidR="00AB2546">
        <w:rPr>
          <w:rFonts w:cs="Arial"/>
          <w:szCs w:val="22"/>
        </w:rPr>
        <w:fldChar w:fldCharType="end"/>
      </w:r>
      <w:r w:rsidR="00C030C5" w:rsidRPr="00356510">
        <w:rPr>
          <w:rFonts w:cs="Arial"/>
          <w:szCs w:val="22"/>
        </w:rPr>
        <w:t xml:space="preserve">). Of those reporting exposure to </w:t>
      </w:r>
      <w:r w:rsidR="00610AAC" w:rsidRPr="00356510">
        <w:rPr>
          <w:rFonts w:cs="Arial"/>
          <w:i/>
          <w:szCs w:val="22"/>
        </w:rPr>
        <w:t>Cement and lime</w:t>
      </w:r>
      <w:r w:rsidR="00C030C5" w:rsidRPr="00356510">
        <w:rPr>
          <w:rFonts w:cs="Arial"/>
          <w:szCs w:val="22"/>
        </w:rPr>
        <w:t>, nearly two thirds of workers reporting no control provision were in workplaces with less than five employees and a third were in workplaces with between five to 19 employees (data not shown).</w:t>
      </w:r>
    </w:p>
    <w:p w:rsidR="000876E5" w:rsidRDefault="000876E5">
      <w:pPr>
        <w:spacing w:after="0"/>
        <w:rPr>
          <w:rFonts w:cs="Arial"/>
          <w:szCs w:val="22"/>
        </w:rPr>
      </w:pPr>
      <w:r>
        <w:rPr>
          <w:rFonts w:cs="Arial"/>
          <w:szCs w:val="22"/>
        </w:rPr>
        <w:br w:type="page"/>
      </w:r>
    </w:p>
    <w:p w:rsidR="00784786" w:rsidRPr="00356510" w:rsidRDefault="00784786" w:rsidP="00EC1A4C">
      <w:pPr>
        <w:pStyle w:val="Heading1"/>
      </w:pPr>
      <w:bookmarkStart w:id="95" w:name="_Toc309808256"/>
      <w:bookmarkStart w:id="96" w:name="_Toc312075717"/>
      <w:r w:rsidRPr="00356510">
        <w:lastRenderedPageBreak/>
        <w:t>Discussion</w:t>
      </w:r>
      <w:bookmarkEnd w:id="95"/>
      <w:bookmarkEnd w:id="96"/>
    </w:p>
    <w:p w:rsidR="00784786" w:rsidRPr="00356510" w:rsidRDefault="00784786" w:rsidP="00784786">
      <w:pPr>
        <w:rPr>
          <w:rFonts w:cs="Arial"/>
        </w:rPr>
      </w:pPr>
      <w:r w:rsidRPr="00356510">
        <w:rPr>
          <w:rFonts w:cs="Arial"/>
        </w:rPr>
        <w:t xml:space="preserve">The NHEWS study </w:t>
      </w:r>
      <w:r w:rsidR="00D02903" w:rsidRPr="00356510">
        <w:rPr>
          <w:rFonts w:cs="Arial"/>
        </w:rPr>
        <w:t>re</w:t>
      </w:r>
      <w:r w:rsidRPr="00356510">
        <w:rPr>
          <w:rFonts w:cs="Arial"/>
        </w:rPr>
        <w:t xml:space="preserve">presents a first attempt to obtain information </w:t>
      </w:r>
      <w:r w:rsidR="0006035B" w:rsidRPr="00356510">
        <w:rPr>
          <w:rFonts w:cs="Arial"/>
        </w:rPr>
        <w:t xml:space="preserve">at the Australian national level </w:t>
      </w:r>
      <w:r w:rsidRPr="00356510">
        <w:rPr>
          <w:rFonts w:cs="Arial"/>
        </w:rPr>
        <w:t xml:space="preserve">about the </w:t>
      </w:r>
      <w:r w:rsidR="00F65109" w:rsidRPr="00356510">
        <w:rPr>
          <w:rFonts w:cs="Arial"/>
        </w:rPr>
        <w:t xml:space="preserve">nature and </w:t>
      </w:r>
      <w:r w:rsidRPr="00356510">
        <w:rPr>
          <w:rFonts w:cs="Arial"/>
        </w:rPr>
        <w:t>extent of exposure to chemicals used in the workplace</w:t>
      </w:r>
      <w:r w:rsidR="00661BC5" w:rsidRPr="00356510">
        <w:rPr>
          <w:rFonts w:cs="Arial"/>
        </w:rPr>
        <w:t xml:space="preserve">. </w:t>
      </w:r>
      <w:r w:rsidRPr="00356510">
        <w:rPr>
          <w:rFonts w:cs="Arial"/>
        </w:rPr>
        <w:t>It should be noted that the underlying study sample was not randomly selected and therefore the results for the NHEWS survey cannot be considered as representative of the whole working population</w:t>
      </w:r>
      <w:r w:rsidR="00661BC5" w:rsidRPr="00356510">
        <w:rPr>
          <w:rFonts w:cs="Arial"/>
        </w:rPr>
        <w:t xml:space="preserve">. </w:t>
      </w:r>
      <w:r w:rsidRPr="00356510">
        <w:rPr>
          <w:rFonts w:cs="Arial"/>
        </w:rPr>
        <w:t>However</w:t>
      </w:r>
      <w:r w:rsidR="0006035B">
        <w:rPr>
          <w:rFonts w:cs="Arial"/>
        </w:rPr>
        <w:t>,</w:t>
      </w:r>
      <w:r w:rsidRPr="00356510">
        <w:rPr>
          <w:rFonts w:cs="Arial"/>
        </w:rPr>
        <w:t xml:space="preserve"> because sampling was stratified by industries of particular interest, results within</w:t>
      </w:r>
      <w:r w:rsidR="00641C53" w:rsidRPr="00356510">
        <w:rPr>
          <w:rFonts w:cs="Arial"/>
        </w:rPr>
        <w:t xml:space="preserve"> </w:t>
      </w:r>
      <w:r w:rsidR="0006035B">
        <w:rPr>
          <w:rFonts w:cs="Arial"/>
        </w:rPr>
        <w:t>the p</w:t>
      </w:r>
      <w:r w:rsidR="00641C53" w:rsidRPr="00356510">
        <w:rPr>
          <w:rFonts w:cs="Arial"/>
        </w:rPr>
        <w:t>riority</w:t>
      </w:r>
      <w:r w:rsidRPr="00356510">
        <w:rPr>
          <w:rFonts w:cs="Arial"/>
        </w:rPr>
        <w:t xml:space="preserve"> industry groups</w:t>
      </w:r>
      <w:r w:rsidR="0006035B">
        <w:rPr>
          <w:rFonts w:cs="Arial"/>
        </w:rPr>
        <w:t xml:space="preserve"> (Manufacturing, Agriculture, forestry and fishing, Transport and storage, Construction, and Health and community services)</w:t>
      </w:r>
      <w:r w:rsidRPr="00356510">
        <w:rPr>
          <w:rFonts w:cs="Arial"/>
        </w:rPr>
        <w:t xml:space="preserve"> may be more </w:t>
      </w:r>
      <w:r w:rsidR="0006035B">
        <w:rPr>
          <w:rFonts w:cs="Arial"/>
        </w:rPr>
        <w:t>representative</w:t>
      </w:r>
      <w:r w:rsidRPr="00356510">
        <w:rPr>
          <w:rFonts w:cs="Arial"/>
        </w:rPr>
        <w:t xml:space="preserve"> than results</w:t>
      </w:r>
      <w:r w:rsidR="00641C53" w:rsidRPr="00356510">
        <w:rPr>
          <w:rFonts w:cs="Arial"/>
        </w:rPr>
        <w:t xml:space="preserve"> </w:t>
      </w:r>
      <w:r w:rsidRPr="00356510">
        <w:rPr>
          <w:rFonts w:cs="Arial"/>
        </w:rPr>
        <w:t xml:space="preserve">across </w:t>
      </w:r>
      <w:r w:rsidR="00641C53" w:rsidRPr="00356510">
        <w:rPr>
          <w:rFonts w:cs="Arial"/>
        </w:rPr>
        <w:t xml:space="preserve">all </w:t>
      </w:r>
      <w:r w:rsidRPr="00356510">
        <w:rPr>
          <w:rFonts w:cs="Arial"/>
        </w:rPr>
        <w:t>industries.</w:t>
      </w:r>
    </w:p>
    <w:p w:rsidR="00784786" w:rsidRPr="00356510" w:rsidRDefault="00784786" w:rsidP="00044F55">
      <w:pPr>
        <w:pStyle w:val="Heading2"/>
      </w:pPr>
      <w:bookmarkStart w:id="97" w:name="_Toc309808257"/>
      <w:bookmarkStart w:id="98" w:name="_Toc312075718"/>
      <w:r w:rsidRPr="00356510">
        <w:t>Main findings</w:t>
      </w:r>
      <w:bookmarkEnd w:id="97"/>
      <w:bookmarkEnd w:id="98"/>
    </w:p>
    <w:p w:rsidR="00784786" w:rsidRPr="00356510" w:rsidRDefault="00784786" w:rsidP="00784786">
      <w:pPr>
        <w:rPr>
          <w:rFonts w:cs="Arial"/>
        </w:rPr>
      </w:pPr>
      <w:r w:rsidRPr="00356510">
        <w:rPr>
          <w:rFonts w:cs="Arial"/>
        </w:rPr>
        <w:t xml:space="preserve">1679 </w:t>
      </w:r>
      <w:r w:rsidR="00FF5C94" w:rsidRPr="00356510">
        <w:rPr>
          <w:rFonts w:cs="Arial"/>
        </w:rPr>
        <w:t xml:space="preserve">or </w:t>
      </w:r>
      <w:r w:rsidRPr="00356510">
        <w:rPr>
          <w:rFonts w:cs="Arial"/>
        </w:rPr>
        <w:t xml:space="preserve">37% of workers who participated in the NHEWS survey reported </w:t>
      </w:r>
      <w:r w:rsidR="00FF5C94" w:rsidRPr="00356510">
        <w:rPr>
          <w:rFonts w:cs="Arial"/>
        </w:rPr>
        <w:t>exposure to</w:t>
      </w:r>
      <w:r w:rsidRPr="00356510">
        <w:rPr>
          <w:rFonts w:cs="Arial"/>
        </w:rPr>
        <w:t xml:space="preserve"> chemicals at work in the week preceding the survey</w:t>
      </w:r>
      <w:r w:rsidR="00661BC5" w:rsidRPr="00356510">
        <w:rPr>
          <w:rFonts w:cs="Arial"/>
        </w:rPr>
        <w:t xml:space="preserve">. </w:t>
      </w:r>
      <w:r w:rsidRPr="00356510">
        <w:rPr>
          <w:rFonts w:cs="Arial"/>
        </w:rPr>
        <w:t>Overall</w:t>
      </w:r>
      <w:r w:rsidR="00D02903" w:rsidRPr="00356510">
        <w:rPr>
          <w:rFonts w:cs="Arial"/>
        </w:rPr>
        <w:t>,</w:t>
      </w:r>
      <w:r w:rsidRPr="00356510">
        <w:rPr>
          <w:rFonts w:cs="Arial"/>
        </w:rPr>
        <w:t xml:space="preserve"> a higher percentage of males reported exposure</w:t>
      </w:r>
      <w:r w:rsidR="00D02903" w:rsidRPr="00356510">
        <w:rPr>
          <w:rFonts w:cs="Arial"/>
        </w:rPr>
        <w:t xml:space="preserve"> to chemicals</w:t>
      </w:r>
      <w:r w:rsidRPr="00356510">
        <w:rPr>
          <w:rFonts w:cs="Arial"/>
        </w:rPr>
        <w:t xml:space="preserve"> than females and more workers in the younger age groups reported exposure </w:t>
      </w:r>
      <w:r w:rsidR="00D02903" w:rsidRPr="00356510">
        <w:rPr>
          <w:rFonts w:cs="Arial"/>
        </w:rPr>
        <w:t xml:space="preserve">to chemicals </w:t>
      </w:r>
      <w:r w:rsidRPr="00356510">
        <w:rPr>
          <w:rFonts w:cs="Arial"/>
        </w:rPr>
        <w:t xml:space="preserve">than older workers. </w:t>
      </w:r>
      <w:r w:rsidR="00D02903" w:rsidRPr="00356510">
        <w:rPr>
          <w:rFonts w:cs="Arial"/>
        </w:rPr>
        <w:t xml:space="preserve">In terms of the average </w:t>
      </w:r>
      <w:r w:rsidRPr="00356510">
        <w:rPr>
          <w:rFonts w:cs="Arial"/>
        </w:rPr>
        <w:t xml:space="preserve">duration of exposure, </w:t>
      </w:r>
      <w:r w:rsidR="00D02903" w:rsidRPr="00356510">
        <w:rPr>
          <w:rFonts w:cs="Arial"/>
        </w:rPr>
        <w:t>workers in</w:t>
      </w:r>
      <w:r w:rsidRPr="00356510">
        <w:rPr>
          <w:rFonts w:cs="Arial"/>
        </w:rPr>
        <w:t xml:space="preserve"> the </w:t>
      </w:r>
      <w:r w:rsidRPr="0006035B">
        <w:rPr>
          <w:rFonts w:cs="Arial"/>
        </w:rPr>
        <w:t xml:space="preserve">Construction industry </w:t>
      </w:r>
      <w:r w:rsidR="00D02903" w:rsidRPr="0006035B">
        <w:rPr>
          <w:rFonts w:cs="Arial"/>
        </w:rPr>
        <w:t xml:space="preserve">recorded </w:t>
      </w:r>
      <w:r w:rsidRPr="0006035B">
        <w:rPr>
          <w:rFonts w:cs="Arial"/>
        </w:rPr>
        <w:t xml:space="preserve">the </w:t>
      </w:r>
      <w:r w:rsidR="00D02903" w:rsidRPr="0006035B">
        <w:rPr>
          <w:rFonts w:cs="Arial"/>
        </w:rPr>
        <w:t>longest average</w:t>
      </w:r>
      <w:r w:rsidRPr="0006035B">
        <w:rPr>
          <w:rFonts w:cs="Arial"/>
        </w:rPr>
        <w:t xml:space="preserve"> exposure of over six hours per </w:t>
      </w:r>
      <w:r w:rsidR="00415202" w:rsidRPr="0006035B">
        <w:rPr>
          <w:rFonts w:cs="Arial"/>
        </w:rPr>
        <w:t>week</w:t>
      </w:r>
      <w:r w:rsidRPr="0006035B">
        <w:rPr>
          <w:rFonts w:cs="Arial"/>
        </w:rPr>
        <w:t xml:space="preserve">, followed by workers in the Mining, Manufacturing and Agriculture, forestry and fishing </w:t>
      </w:r>
      <w:r w:rsidR="00D02903" w:rsidRPr="0006035B">
        <w:rPr>
          <w:rFonts w:cs="Arial"/>
        </w:rPr>
        <w:t xml:space="preserve">industries, where the </w:t>
      </w:r>
      <w:r w:rsidRPr="0006035B">
        <w:rPr>
          <w:rFonts w:cs="Arial"/>
        </w:rPr>
        <w:t xml:space="preserve">mean durations of exposure </w:t>
      </w:r>
      <w:r w:rsidR="00D02903" w:rsidRPr="0006035B">
        <w:rPr>
          <w:rFonts w:cs="Arial"/>
        </w:rPr>
        <w:t xml:space="preserve">were </w:t>
      </w:r>
      <w:r w:rsidRPr="0006035B">
        <w:rPr>
          <w:rFonts w:cs="Arial"/>
        </w:rPr>
        <w:t>greater than four hours in each case.</w:t>
      </w:r>
      <w:r w:rsidRPr="00356510">
        <w:rPr>
          <w:rFonts w:cs="Arial"/>
        </w:rPr>
        <w:t xml:space="preserve"> </w:t>
      </w:r>
    </w:p>
    <w:p w:rsidR="00784786" w:rsidRPr="00356510" w:rsidRDefault="00784786" w:rsidP="00784786">
      <w:pPr>
        <w:rPr>
          <w:rFonts w:cs="Arial"/>
        </w:rPr>
      </w:pPr>
      <w:r w:rsidRPr="00356510">
        <w:rPr>
          <w:rFonts w:cs="Arial"/>
        </w:rPr>
        <w:t>In response to the open-ended question regarding what they were exposed to in the workplace, participants in NHEWS</w:t>
      </w:r>
      <w:r w:rsidR="00FD0D12" w:rsidRPr="00356510">
        <w:rPr>
          <w:rFonts w:cs="Arial"/>
        </w:rPr>
        <w:t xml:space="preserve"> study</w:t>
      </w:r>
      <w:r w:rsidRPr="00356510">
        <w:rPr>
          <w:rFonts w:cs="Arial"/>
        </w:rPr>
        <w:t xml:space="preserve"> reported a wide variety of chemicals and substances. The distribution of reported chemical exposures by TOOCS categories </w:t>
      </w:r>
      <w:r w:rsidR="00694BDB" w:rsidRPr="00356510">
        <w:rPr>
          <w:rFonts w:cs="Arial"/>
        </w:rPr>
        <w:t>indicates</w:t>
      </w:r>
      <w:r w:rsidRPr="00356510">
        <w:rPr>
          <w:rFonts w:cs="Arial"/>
        </w:rPr>
        <w:t xml:space="preserve"> that reporting tended to be more by functional groups (and commercial names) than by specific chemicals</w:t>
      </w:r>
      <w:r w:rsidR="00661BC5" w:rsidRPr="00356510">
        <w:rPr>
          <w:rFonts w:cs="Arial"/>
        </w:rPr>
        <w:t xml:space="preserve">. </w:t>
      </w:r>
      <w:r w:rsidR="00FF5C94" w:rsidRPr="00356510">
        <w:rPr>
          <w:rFonts w:cs="Arial"/>
        </w:rPr>
        <w:t xml:space="preserve">This suggests that even among workers who nominated workplace exposures, knowledge of </w:t>
      </w:r>
      <w:r w:rsidR="0006035B">
        <w:rPr>
          <w:rFonts w:cs="Arial"/>
        </w:rPr>
        <w:t>what chemicals they were specifically exposed to may have been</w:t>
      </w:r>
      <w:r w:rsidR="00FF5C94" w:rsidRPr="00356510">
        <w:rPr>
          <w:rFonts w:cs="Arial"/>
        </w:rPr>
        <w:t xml:space="preserve"> limited</w:t>
      </w:r>
      <w:r w:rsidR="00661BC5" w:rsidRPr="00356510">
        <w:rPr>
          <w:rFonts w:cs="Arial"/>
        </w:rPr>
        <w:t xml:space="preserve">. </w:t>
      </w:r>
      <w:r w:rsidRPr="00356510">
        <w:rPr>
          <w:rFonts w:cs="Arial"/>
        </w:rPr>
        <w:t>The small number and highly variable nature of the specifically nominated chemicals would suggest that</w:t>
      </w:r>
      <w:r w:rsidR="00694BDB" w:rsidRPr="00356510">
        <w:rPr>
          <w:rFonts w:cs="Arial"/>
        </w:rPr>
        <w:t xml:space="preserve"> there was</w:t>
      </w:r>
      <w:r w:rsidRPr="00356510">
        <w:rPr>
          <w:rFonts w:cs="Arial"/>
        </w:rPr>
        <w:t xml:space="preserve"> a small proportion of the respondent group who were highly informed about their chemical exposures</w:t>
      </w:r>
      <w:r w:rsidR="00661BC5" w:rsidRPr="00356510">
        <w:rPr>
          <w:rFonts w:cs="Arial"/>
        </w:rPr>
        <w:t xml:space="preserve">. </w:t>
      </w:r>
    </w:p>
    <w:p w:rsidR="00784786" w:rsidRPr="00356510" w:rsidRDefault="00531D2C" w:rsidP="00784786">
      <w:pPr>
        <w:rPr>
          <w:rFonts w:cs="Arial"/>
        </w:rPr>
      </w:pPr>
      <w:r w:rsidRPr="00356510">
        <w:rPr>
          <w:rFonts w:cs="Arial"/>
        </w:rPr>
        <w:t>Reported by over a third of workers, t</w:t>
      </w:r>
      <w:r w:rsidR="00784786" w:rsidRPr="00356510">
        <w:rPr>
          <w:rFonts w:cs="Arial"/>
        </w:rPr>
        <w:t xml:space="preserve">he most commonly </w:t>
      </w:r>
      <w:r w:rsidR="004D7504" w:rsidRPr="00356510">
        <w:rPr>
          <w:rFonts w:cs="Arial"/>
        </w:rPr>
        <w:t xml:space="preserve">nominated </w:t>
      </w:r>
      <w:r w:rsidR="00784786" w:rsidRPr="00356510">
        <w:rPr>
          <w:rFonts w:cs="Arial"/>
        </w:rPr>
        <w:t xml:space="preserve">group of chemical exposures were </w:t>
      </w:r>
      <w:r w:rsidR="00095CDE" w:rsidRPr="00356510">
        <w:rPr>
          <w:rFonts w:cs="Arial"/>
          <w:i/>
        </w:rPr>
        <w:t>Detergents</w:t>
      </w:r>
      <w:r w:rsidRPr="00356510">
        <w:rPr>
          <w:rFonts w:cs="Arial"/>
        </w:rPr>
        <w:t>.</w:t>
      </w:r>
      <w:r w:rsidR="00784786" w:rsidRPr="00356510">
        <w:rPr>
          <w:rFonts w:cs="Arial"/>
        </w:rPr>
        <w:t xml:space="preserve"> About one in four respondents reported </w:t>
      </w:r>
      <w:r w:rsidR="00356D9D" w:rsidRPr="00356510">
        <w:rPr>
          <w:rFonts w:cs="Arial"/>
          <w:i/>
        </w:rPr>
        <w:t>Disinfectants</w:t>
      </w:r>
      <w:r w:rsidR="00784786" w:rsidRPr="00356510">
        <w:rPr>
          <w:rFonts w:cs="Arial"/>
        </w:rPr>
        <w:t xml:space="preserve"> (not elsewhere classified) and it should be noted that this category includes only those disinfectants </w:t>
      </w:r>
      <w:r w:rsidR="0006035B">
        <w:rPr>
          <w:rFonts w:cs="Arial"/>
        </w:rPr>
        <w:t>that</w:t>
      </w:r>
      <w:r w:rsidR="00784786" w:rsidRPr="00356510">
        <w:rPr>
          <w:rFonts w:cs="Arial"/>
        </w:rPr>
        <w:t xml:space="preserve"> could not be classified as </w:t>
      </w:r>
      <w:r w:rsidR="0006035B">
        <w:rPr>
          <w:rFonts w:cs="Arial"/>
        </w:rPr>
        <w:t xml:space="preserve">a </w:t>
      </w:r>
      <w:r w:rsidR="00784786" w:rsidRPr="00356510">
        <w:rPr>
          <w:rFonts w:cs="Arial"/>
        </w:rPr>
        <w:t>solvent or bleach/alkali-based due to insufficient information</w:t>
      </w:r>
      <w:r w:rsidR="00661BC5" w:rsidRPr="00356510">
        <w:rPr>
          <w:rFonts w:cs="Arial"/>
        </w:rPr>
        <w:t xml:space="preserve">. </w:t>
      </w:r>
      <w:r w:rsidR="00784786" w:rsidRPr="00356510">
        <w:rPr>
          <w:rFonts w:cs="Arial"/>
        </w:rPr>
        <w:t>Over a quarter of re</w:t>
      </w:r>
      <w:r w:rsidR="006F23F5" w:rsidRPr="00356510">
        <w:rPr>
          <w:rFonts w:cs="Arial"/>
        </w:rPr>
        <w:t xml:space="preserve">spondents reported exposure to </w:t>
      </w:r>
      <w:r w:rsidR="003517A5" w:rsidRPr="00356510">
        <w:rPr>
          <w:rFonts w:cs="Arial"/>
          <w:i/>
        </w:rPr>
        <w:t>Organic solvents</w:t>
      </w:r>
      <w:r w:rsidR="00784786" w:rsidRPr="00356510">
        <w:rPr>
          <w:rFonts w:cs="Arial"/>
        </w:rPr>
        <w:t xml:space="preserve"> and this group included industrial solvents, such as degreasers, as well as thinners for paints and other purposes (other than hydrocarbons)</w:t>
      </w:r>
      <w:r w:rsidR="00661BC5" w:rsidRPr="00356510">
        <w:rPr>
          <w:rFonts w:cs="Arial"/>
        </w:rPr>
        <w:t xml:space="preserve">. </w:t>
      </w:r>
      <w:r w:rsidR="00784786" w:rsidRPr="00356510">
        <w:rPr>
          <w:rFonts w:cs="Arial"/>
        </w:rPr>
        <w:t xml:space="preserve">This category also </w:t>
      </w:r>
      <w:r w:rsidR="00F65109" w:rsidRPr="00356510">
        <w:rPr>
          <w:rFonts w:cs="Arial"/>
        </w:rPr>
        <w:t xml:space="preserve">includes </w:t>
      </w:r>
      <w:r w:rsidR="00784786" w:rsidRPr="00356510">
        <w:rPr>
          <w:rFonts w:cs="Arial"/>
        </w:rPr>
        <w:t>alcohol-based disinfectant products</w:t>
      </w:r>
      <w:r w:rsidR="00F65109" w:rsidRPr="00356510">
        <w:rPr>
          <w:rFonts w:cs="Arial"/>
        </w:rPr>
        <w:t>,</w:t>
      </w:r>
      <w:r w:rsidR="006F23F5" w:rsidRPr="00356510">
        <w:rPr>
          <w:rFonts w:cs="Arial"/>
        </w:rPr>
        <w:t xml:space="preserve"> </w:t>
      </w:r>
      <w:r w:rsidR="00784786" w:rsidRPr="00356510">
        <w:rPr>
          <w:rFonts w:cs="Arial"/>
        </w:rPr>
        <w:t>particularly disinfectant hand-cleansers commonly used in health-care workplaces</w:t>
      </w:r>
      <w:r w:rsidR="00F65109" w:rsidRPr="00356510">
        <w:rPr>
          <w:rFonts w:cs="Arial"/>
        </w:rPr>
        <w:t xml:space="preserve"> by nursing and other personal care workers</w:t>
      </w:r>
      <w:r w:rsidR="00661BC5" w:rsidRPr="00356510">
        <w:rPr>
          <w:rFonts w:cs="Arial"/>
        </w:rPr>
        <w:t xml:space="preserve">. </w:t>
      </w:r>
      <w:r w:rsidR="00095CDE" w:rsidRPr="00356510">
        <w:rPr>
          <w:rFonts w:cs="Arial"/>
          <w:i/>
        </w:rPr>
        <w:t>Bases and alkalis</w:t>
      </w:r>
      <w:r w:rsidR="00784786" w:rsidRPr="00356510">
        <w:rPr>
          <w:rFonts w:cs="Arial"/>
        </w:rPr>
        <w:t xml:space="preserve"> included mainly bleaches of various types</w:t>
      </w:r>
      <w:r w:rsidRPr="00356510">
        <w:rPr>
          <w:rFonts w:cs="Arial"/>
        </w:rPr>
        <w:t>,</w:t>
      </w:r>
      <w:r w:rsidR="00784786" w:rsidRPr="00356510">
        <w:rPr>
          <w:rFonts w:cs="Arial"/>
        </w:rPr>
        <w:t xml:space="preserve"> </w:t>
      </w:r>
      <w:r w:rsidR="00641C53" w:rsidRPr="00356510">
        <w:rPr>
          <w:rFonts w:cs="Arial"/>
        </w:rPr>
        <w:t>such as</w:t>
      </w:r>
      <w:r w:rsidR="00784786" w:rsidRPr="00356510">
        <w:rPr>
          <w:rFonts w:cs="Arial"/>
        </w:rPr>
        <w:t xml:space="preserve"> bleach-based disinfectants and cleaning products</w:t>
      </w:r>
      <w:r w:rsidR="00661BC5" w:rsidRPr="00356510">
        <w:rPr>
          <w:rFonts w:cs="Arial"/>
        </w:rPr>
        <w:t xml:space="preserve">. </w:t>
      </w:r>
      <w:r w:rsidR="00784786" w:rsidRPr="00356510">
        <w:rPr>
          <w:rFonts w:cs="Arial"/>
        </w:rPr>
        <w:t xml:space="preserve">Industrial caustic alkali products are also included in the </w:t>
      </w:r>
      <w:r w:rsidR="00770452" w:rsidRPr="00356510">
        <w:rPr>
          <w:rFonts w:cs="Arial"/>
        </w:rPr>
        <w:t xml:space="preserve">Bases and alkalis </w:t>
      </w:r>
      <w:r w:rsidR="00784786" w:rsidRPr="00356510">
        <w:rPr>
          <w:rFonts w:cs="Arial"/>
        </w:rPr>
        <w:t>group but were reported less commonly than bleaches etc</w:t>
      </w:r>
      <w:r w:rsidR="00661BC5" w:rsidRPr="00356510">
        <w:rPr>
          <w:rFonts w:cs="Arial"/>
        </w:rPr>
        <w:t xml:space="preserve">. </w:t>
      </w:r>
      <w:r w:rsidR="00610AAC" w:rsidRPr="00356510">
        <w:rPr>
          <w:rFonts w:cs="Arial"/>
          <w:i/>
        </w:rPr>
        <w:t>Cement and lime</w:t>
      </w:r>
      <w:r w:rsidR="00784786" w:rsidRPr="00356510">
        <w:rPr>
          <w:rFonts w:cs="Arial"/>
        </w:rPr>
        <w:t xml:space="preserve"> were reported by approximately 10% of respondents</w:t>
      </w:r>
      <w:r w:rsidR="00661BC5" w:rsidRPr="00356510">
        <w:rPr>
          <w:rFonts w:cs="Arial"/>
        </w:rPr>
        <w:t xml:space="preserve">. </w:t>
      </w:r>
      <w:r w:rsidR="003517A5" w:rsidRPr="00356510">
        <w:rPr>
          <w:rFonts w:cs="Arial"/>
          <w:i/>
        </w:rPr>
        <w:t>Paints, varnishes and inks</w:t>
      </w:r>
      <w:r w:rsidR="00784786" w:rsidRPr="00356510">
        <w:rPr>
          <w:rFonts w:cs="Arial"/>
        </w:rPr>
        <w:t xml:space="preserve"> and related products were reported by over a fifth of respondents</w:t>
      </w:r>
      <w:r w:rsidR="00212BF0" w:rsidRPr="00356510">
        <w:rPr>
          <w:rFonts w:cs="Arial"/>
        </w:rPr>
        <w:t>. Chemicals in this category</w:t>
      </w:r>
      <w:r w:rsidR="00784786" w:rsidRPr="00356510">
        <w:rPr>
          <w:rFonts w:cs="Arial"/>
        </w:rPr>
        <w:t xml:space="preserve"> ranged from industrial surface coatings/treatments, </w:t>
      </w:r>
      <w:r w:rsidR="00EE781A">
        <w:rPr>
          <w:rFonts w:cs="Arial"/>
        </w:rPr>
        <w:t>two</w:t>
      </w:r>
      <w:r w:rsidR="00784786" w:rsidRPr="00356510">
        <w:rPr>
          <w:rFonts w:cs="Arial"/>
        </w:rPr>
        <w:t>-pack automotive paints and wood finishes to artists’ paints</w:t>
      </w:r>
      <w:r w:rsidR="00212BF0" w:rsidRPr="00356510">
        <w:rPr>
          <w:rFonts w:cs="Arial"/>
        </w:rPr>
        <w:t xml:space="preserve">, </w:t>
      </w:r>
      <w:r w:rsidR="00784786" w:rsidRPr="00356510">
        <w:rPr>
          <w:rFonts w:cs="Arial"/>
        </w:rPr>
        <w:t>reported by teachers as well as artists</w:t>
      </w:r>
      <w:r w:rsidR="00212BF0" w:rsidRPr="00356510">
        <w:rPr>
          <w:rFonts w:cs="Arial"/>
        </w:rPr>
        <w:t>,</w:t>
      </w:r>
      <w:r w:rsidR="00784786" w:rsidRPr="00356510">
        <w:rPr>
          <w:rFonts w:cs="Arial"/>
        </w:rPr>
        <w:t xml:space="preserve"> and printing inks</w:t>
      </w:r>
      <w:r w:rsidR="00212BF0" w:rsidRPr="00356510">
        <w:rPr>
          <w:rFonts w:cs="Arial"/>
        </w:rPr>
        <w:t xml:space="preserve"> which were</w:t>
      </w:r>
      <w:r w:rsidR="00784786" w:rsidRPr="00356510">
        <w:rPr>
          <w:rFonts w:cs="Arial"/>
        </w:rPr>
        <w:t xml:space="preserve"> predominantly reported in the context of commercial printing </w:t>
      </w:r>
      <w:r w:rsidR="00694BDB" w:rsidRPr="00356510">
        <w:rPr>
          <w:rFonts w:cs="Arial"/>
        </w:rPr>
        <w:t>operations</w:t>
      </w:r>
      <w:r w:rsidR="00784786" w:rsidRPr="00356510">
        <w:rPr>
          <w:rFonts w:cs="Arial"/>
        </w:rPr>
        <w:t xml:space="preserve">. </w:t>
      </w:r>
      <w:r w:rsidR="003517A5" w:rsidRPr="00356510">
        <w:rPr>
          <w:rFonts w:cs="Arial"/>
          <w:i/>
        </w:rPr>
        <w:t>Non-bituminous hydrocarbon fuels</w:t>
      </w:r>
      <w:r w:rsidR="00784786" w:rsidRPr="00356510">
        <w:rPr>
          <w:rFonts w:cs="Arial"/>
        </w:rPr>
        <w:t xml:space="preserve"> and associated products were reported by nearly 10% of respondents</w:t>
      </w:r>
      <w:r w:rsidR="00661BC5" w:rsidRPr="00356510">
        <w:rPr>
          <w:rFonts w:cs="Arial"/>
        </w:rPr>
        <w:t xml:space="preserve">. </w:t>
      </w:r>
      <w:r w:rsidR="00784786" w:rsidRPr="00356510">
        <w:rPr>
          <w:rFonts w:cs="Arial"/>
        </w:rPr>
        <w:t>This group included aut</w:t>
      </w:r>
      <w:r w:rsidR="00694BDB" w:rsidRPr="00356510">
        <w:rPr>
          <w:rFonts w:cs="Arial"/>
        </w:rPr>
        <w:t>o-</w:t>
      </w:r>
      <w:r w:rsidR="00784786" w:rsidRPr="00356510">
        <w:rPr>
          <w:rFonts w:cs="Arial"/>
        </w:rPr>
        <w:t>mechanical fuels/lubricants as well as metalworking fluids and lubricants</w:t>
      </w:r>
      <w:r w:rsidRPr="00356510">
        <w:rPr>
          <w:rFonts w:cs="Arial"/>
        </w:rPr>
        <w:t>. L</w:t>
      </w:r>
      <w:r w:rsidR="00784786" w:rsidRPr="00356510">
        <w:rPr>
          <w:rFonts w:cs="Arial"/>
        </w:rPr>
        <w:t>iquid hydrocarbons</w:t>
      </w:r>
      <w:r w:rsidRPr="00356510">
        <w:rPr>
          <w:rFonts w:cs="Arial"/>
        </w:rPr>
        <w:t>,</w:t>
      </w:r>
      <w:r w:rsidR="00784786" w:rsidRPr="00356510">
        <w:rPr>
          <w:rFonts w:cs="Arial"/>
        </w:rPr>
        <w:t xml:space="preserve"> such as turpentine and kerosene, </w:t>
      </w:r>
      <w:r w:rsidR="009E38A9" w:rsidRPr="00356510">
        <w:rPr>
          <w:rFonts w:cs="Arial"/>
        </w:rPr>
        <w:t xml:space="preserve">even if </w:t>
      </w:r>
      <w:r w:rsidR="00784786" w:rsidRPr="00356510">
        <w:rPr>
          <w:rFonts w:cs="Arial"/>
        </w:rPr>
        <w:t>used as thinners</w:t>
      </w:r>
      <w:r w:rsidR="009E38A9" w:rsidRPr="00356510">
        <w:rPr>
          <w:rFonts w:cs="Arial"/>
        </w:rPr>
        <w:t>,</w:t>
      </w:r>
      <w:r w:rsidR="00784786" w:rsidRPr="00356510">
        <w:rPr>
          <w:rFonts w:cs="Arial"/>
        </w:rPr>
        <w:t xml:space="preserve"> </w:t>
      </w:r>
      <w:r w:rsidRPr="00356510">
        <w:rPr>
          <w:rFonts w:cs="Arial"/>
        </w:rPr>
        <w:t xml:space="preserve">were </w:t>
      </w:r>
      <w:r w:rsidR="00784786" w:rsidRPr="00356510">
        <w:rPr>
          <w:rFonts w:cs="Arial"/>
        </w:rPr>
        <w:t>also included in this cate</w:t>
      </w:r>
      <w:r w:rsidR="009E38A9" w:rsidRPr="00356510">
        <w:rPr>
          <w:rFonts w:cs="Arial"/>
        </w:rPr>
        <w:t>gory</w:t>
      </w:r>
      <w:r w:rsidR="00784786" w:rsidRPr="00356510">
        <w:rPr>
          <w:rFonts w:cs="Arial"/>
        </w:rPr>
        <w:t>.</w:t>
      </w:r>
    </w:p>
    <w:p w:rsidR="00784786" w:rsidRPr="00356510" w:rsidRDefault="00784786" w:rsidP="00784786">
      <w:pPr>
        <w:rPr>
          <w:rFonts w:cs="Arial"/>
        </w:rPr>
      </w:pPr>
      <w:r w:rsidRPr="00356510">
        <w:rPr>
          <w:rFonts w:cs="Arial"/>
        </w:rPr>
        <w:t xml:space="preserve">A range of controls for occupational chemical exposure were provided </w:t>
      </w:r>
      <w:r w:rsidR="0006035B">
        <w:rPr>
          <w:rFonts w:cs="Arial"/>
        </w:rPr>
        <w:t xml:space="preserve">in workplaces </w:t>
      </w:r>
      <w:r w:rsidRPr="00356510">
        <w:rPr>
          <w:rFonts w:cs="Arial"/>
        </w:rPr>
        <w:t xml:space="preserve">for </w:t>
      </w:r>
      <w:r w:rsidR="0006035B">
        <w:rPr>
          <w:rFonts w:cs="Arial"/>
        </w:rPr>
        <w:t xml:space="preserve">exposed </w:t>
      </w:r>
      <w:r w:rsidRPr="00356510">
        <w:rPr>
          <w:rFonts w:cs="Arial"/>
        </w:rPr>
        <w:t>workers. Chemical control measures information collected by</w:t>
      </w:r>
      <w:r w:rsidR="00531D2C" w:rsidRPr="00356510">
        <w:rPr>
          <w:rFonts w:cs="Arial"/>
        </w:rPr>
        <w:t xml:space="preserve"> the</w:t>
      </w:r>
      <w:r w:rsidRPr="00356510">
        <w:rPr>
          <w:rFonts w:cs="Arial"/>
        </w:rPr>
        <w:t xml:space="preserve"> NHEWS</w:t>
      </w:r>
      <w:r w:rsidR="00531D2C" w:rsidRPr="00356510">
        <w:rPr>
          <w:rFonts w:cs="Arial"/>
        </w:rPr>
        <w:t xml:space="preserve"> survey</w:t>
      </w:r>
      <w:r w:rsidRPr="00356510">
        <w:rPr>
          <w:rFonts w:cs="Arial"/>
        </w:rPr>
        <w:t xml:space="preserve"> included the provision of gloves and protective clothing, the use of labelling and warning </w:t>
      </w:r>
      <w:r w:rsidRPr="00356510">
        <w:rPr>
          <w:rFonts w:cs="Arial"/>
        </w:rPr>
        <w:lastRenderedPageBreak/>
        <w:t xml:space="preserve">signs, provision of washing facilities and the provision of training on the safe handling of chemicals. Some form of chemical exposure control provision was reported by 94% of NHEWS survey participants. Provision of washing facilities and provision of gloves were the most commonly reported control measures. Training on the safe handling of chemicals was reported by 61% of NHEWS survey participants and was one of the least </w:t>
      </w:r>
      <w:r w:rsidR="009E38A9" w:rsidRPr="00356510">
        <w:rPr>
          <w:rFonts w:cs="Arial"/>
        </w:rPr>
        <w:t xml:space="preserve">frequently </w:t>
      </w:r>
      <w:r w:rsidRPr="00356510">
        <w:rPr>
          <w:rFonts w:cs="Arial"/>
        </w:rPr>
        <w:t xml:space="preserve">reported control measures. </w:t>
      </w:r>
    </w:p>
    <w:p w:rsidR="00784786" w:rsidRPr="00356510" w:rsidRDefault="00784786" w:rsidP="00044F55">
      <w:pPr>
        <w:pStyle w:val="Heading3"/>
      </w:pPr>
      <w:bookmarkStart w:id="99" w:name="_Toc309808258"/>
      <w:bookmarkStart w:id="100" w:name="_Toc312075719"/>
      <w:r w:rsidRPr="00356510">
        <w:t>Predictors of most commonly reported exposure categories</w:t>
      </w:r>
      <w:bookmarkEnd w:id="99"/>
      <w:bookmarkEnd w:id="100"/>
    </w:p>
    <w:p w:rsidR="00784786" w:rsidRPr="00356510" w:rsidRDefault="00784786" w:rsidP="00784786">
      <w:pPr>
        <w:rPr>
          <w:rFonts w:cs="Arial"/>
        </w:rPr>
      </w:pPr>
      <w:r w:rsidRPr="00356510">
        <w:rPr>
          <w:rFonts w:cs="Arial"/>
        </w:rPr>
        <w:t xml:space="preserve">There were a number of </w:t>
      </w:r>
      <w:r w:rsidR="00814072" w:rsidRPr="00356510">
        <w:rPr>
          <w:rFonts w:cs="Arial"/>
        </w:rPr>
        <w:t xml:space="preserve">employment and demographic </w:t>
      </w:r>
      <w:r w:rsidRPr="00356510">
        <w:rPr>
          <w:rFonts w:cs="Arial"/>
        </w:rPr>
        <w:t xml:space="preserve">factors that were associated </w:t>
      </w:r>
      <w:r w:rsidR="006F23F5" w:rsidRPr="00356510">
        <w:rPr>
          <w:rFonts w:cs="Arial"/>
        </w:rPr>
        <w:t>with higher</w:t>
      </w:r>
      <w:r w:rsidRPr="00356510">
        <w:rPr>
          <w:rFonts w:cs="Arial"/>
        </w:rPr>
        <w:t xml:space="preserve"> </w:t>
      </w:r>
      <w:r w:rsidR="00814072" w:rsidRPr="00356510">
        <w:rPr>
          <w:rFonts w:cs="Arial"/>
        </w:rPr>
        <w:t xml:space="preserve">likelihoods </w:t>
      </w:r>
      <w:r w:rsidRPr="00356510">
        <w:rPr>
          <w:rFonts w:cs="Arial"/>
        </w:rPr>
        <w:t xml:space="preserve">of </w:t>
      </w:r>
      <w:r w:rsidR="00212BF0" w:rsidRPr="00356510">
        <w:rPr>
          <w:rFonts w:cs="Arial"/>
        </w:rPr>
        <w:t xml:space="preserve">being </w:t>
      </w:r>
      <w:r w:rsidR="006F23F5" w:rsidRPr="00356510">
        <w:rPr>
          <w:rFonts w:cs="Arial"/>
        </w:rPr>
        <w:t>exposed to</w:t>
      </w:r>
      <w:r w:rsidRPr="00356510">
        <w:rPr>
          <w:rFonts w:cs="Arial"/>
        </w:rPr>
        <w:t xml:space="preserve"> the seven most commonly reported </w:t>
      </w:r>
      <w:r w:rsidR="00814072" w:rsidRPr="00356510">
        <w:rPr>
          <w:rFonts w:cs="Arial"/>
        </w:rPr>
        <w:t xml:space="preserve">types </w:t>
      </w:r>
      <w:r w:rsidRPr="00356510">
        <w:rPr>
          <w:rFonts w:cs="Arial"/>
        </w:rPr>
        <w:t>of chemical exposure.</w:t>
      </w:r>
    </w:p>
    <w:p w:rsidR="00784786" w:rsidRPr="00356510" w:rsidRDefault="00784786" w:rsidP="00784786">
      <w:pPr>
        <w:rPr>
          <w:rFonts w:cs="Arial"/>
        </w:rPr>
      </w:pPr>
      <w:r w:rsidRPr="00356510">
        <w:rPr>
          <w:rFonts w:cs="Arial"/>
        </w:rPr>
        <w:t>There was a distinctive pattern of exposure</w:t>
      </w:r>
      <w:r w:rsidR="004D7504" w:rsidRPr="00356510">
        <w:rPr>
          <w:rFonts w:cs="Arial"/>
        </w:rPr>
        <w:t xml:space="preserve"> to chemicals</w:t>
      </w:r>
      <w:r w:rsidRPr="00356510">
        <w:rPr>
          <w:rFonts w:cs="Arial"/>
        </w:rPr>
        <w:t xml:space="preserve"> by </w:t>
      </w:r>
      <w:r w:rsidR="00814072" w:rsidRPr="00356510">
        <w:rPr>
          <w:rFonts w:cs="Arial"/>
        </w:rPr>
        <w:t>worker gender</w:t>
      </w:r>
      <w:r w:rsidRPr="00356510">
        <w:rPr>
          <w:rFonts w:cs="Arial"/>
        </w:rPr>
        <w:t xml:space="preserve">. Female workers were more likely than male workers to report exposure to </w:t>
      </w:r>
      <w:r w:rsidR="00095CDE" w:rsidRPr="00356510">
        <w:rPr>
          <w:rFonts w:cs="Arial"/>
          <w:i/>
        </w:rPr>
        <w:t>Bases and alkalis</w:t>
      </w:r>
      <w:r w:rsidRPr="00356510">
        <w:rPr>
          <w:rFonts w:cs="Arial"/>
        </w:rPr>
        <w:t xml:space="preserve">, </w:t>
      </w:r>
      <w:r w:rsidR="00095CDE" w:rsidRPr="00356510">
        <w:rPr>
          <w:rFonts w:cs="Arial"/>
          <w:i/>
        </w:rPr>
        <w:t>Detergents</w:t>
      </w:r>
      <w:r w:rsidRPr="00356510">
        <w:rPr>
          <w:rFonts w:cs="Arial"/>
        </w:rPr>
        <w:t xml:space="preserve"> and </w:t>
      </w:r>
      <w:r w:rsidR="00356D9D" w:rsidRPr="00356510">
        <w:rPr>
          <w:rFonts w:cs="Arial"/>
          <w:i/>
        </w:rPr>
        <w:t>Disinfectants</w:t>
      </w:r>
      <w:r w:rsidRPr="00356510">
        <w:rPr>
          <w:rFonts w:cs="Arial"/>
        </w:rPr>
        <w:t xml:space="preserve">. </w:t>
      </w:r>
      <w:r w:rsidR="004D7504" w:rsidRPr="00356510">
        <w:rPr>
          <w:rFonts w:cs="Arial"/>
        </w:rPr>
        <w:t>On the other hand,</w:t>
      </w:r>
      <w:r w:rsidR="009B426C" w:rsidRPr="00356510">
        <w:rPr>
          <w:rFonts w:cs="Arial"/>
        </w:rPr>
        <w:t xml:space="preserve"> </w:t>
      </w:r>
      <w:r w:rsidR="004D7504" w:rsidRPr="00356510">
        <w:rPr>
          <w:rFonts w:cs="Arial"/>
        </w:rPr>
        <w:t>m</w:t>
      </w:r>
      <w:r w:rsidRPr="00356510">
        <w:rPr>
          <w:rFonts w:cs="Arial"/>
        </w:rPr>
        <w:t xml:space="preserve">ales were more likely to </w:t>
      </w:r>
      <w:r w:rsidR="004D7504" w:rsidRPr="00356510">
        <w:rPr>
          <w:rFonts w:cs="Arial"/>
        </w:rPr>
        <w:t>report</w:t>
      </w:r>
      <w:r w:rsidRPr="00356510">
        <w:rPr>
          <w:rFonts w:cs="Arial"/>
        </w:rPr>
        <w:t xml:space="preserve"> </w:t>
      </w:r>
      <w:r w:rsidR="004D7504" w:rsidRPr="00356510">
        <w:rPr>
          <w:rFonts w:cs="Arial"/>
        </w:rPr>
        <w:t xml:space="preserve">exposure </w:t>
      </w:r>
      <w:r w:rsidRPr="00356510">
        <w:rPr>
          <w:rFonts w:cs="Arial"/>
        </w:rPr>
        <w:t xml:space="preserve">to </w:t>
      </w:r>
      <w:r w:rsidR="003517A5" w:rsidRPr="00356510">
        <w:rPr>
          <w:i/>
        </w:rPr>
        <w:t>Non-bituminous hydrocarbon fuels</w:t>
      </w:r>
      <w:r w:rsidRPr="00356510">
        <w:rPr>
          <w:rFonts w:cs="Arial"/>
        </w:rPr>
        <w:t xml:space="preserve">, </w:t>
      </w:r>
      <w:r w:rsidR="003517A5" w:rsidRPr="00356510">
        <w:rPr>
          <w:rFonts w:cs="Arial"/>
          <w:i/>
        </w:rPr>
        <w:t>Paints, varnishes and inks</w:t>
      </w:r>
      <w:r w:rsidRPr="00356510">
        <w:rPr>
          <w:rFonts w:cs="Arial"/>
        </w:rPr>
        <w:t xml:space="preserve">, and </w:t>
      </w:r>
      <w:r w:rsidR="00610AAC" w:rsidRPr="00356510">
        <w:rPr>
          <w:rFonts w:cs="Arial"/>
          <w:i/>
        </w:rPr>
        <w:t>Cement and lime</w:t>
      </w:r>
      <w:r w:rsidR="00661BC5" w:rsidRPr="00356510">
        <w:rPr>
          <w:rFonts w:cs="Arial"/>
        </w:rPr>
        <w:t xml:space="preserve">. </w:t>
      </w:r>
      <w:r w:rsidRPr="00356510">
        <w:rPr>
          <w:rFonts w:cs="Arial"/>
        </w:rPr>
        <w:t>The difference between mal</w:t>
      </w:r>
      <w:r w:rsidR="006F23F5" w:rsidRPr="00356510">
        <w:rPr>
          <w:rFonts w:cs="Arial"/>
        </w:rPr>
        <w:t xml:space="preserve">es and females for exposure to </w:t>
      </w:r>
      <w:r w:rsidR="003517A5" w:rsidRPr="00356510">
        <w:rPr>
          <w:rFonts w:cs="Arial"/>
          <w:i/>
        </w:rPr>
        <w:t>Organic solvents</w:t>
      </w:r>
      <w:r w:rsidRPr="00356510">
        <w:rPr>
          <w:rFonts w:cs="Arial"/>
        </w:rPr>
        <w:t xml:space="preserve"> was not statistically significant</w:t>
      </w:r>
      <w:r w:rsidR="004D7504" w:rsidRPr="00356510">
        <w:rPr>
          <w:rFonts w:cs="Arial"/>
        </w:rPr>
        <w:t>.</w:t>
      </w:r>
      <w:r w:rsidRPr="00356510">
        <w:rPr>
          <w:rFonts w:cs="Arial"/>
        </w:rPr>
        <w:t xml:space="preserve"> </w:t>
      </w:r>
      <w:r w:rsidR="004D7504" w:rsidRPr="00356510">
        <w:rPr>
          <w:rFonts w:cs="Arial"/>
        </w:rPr>
        <w:t>H</w:t>
      </w:r>
      <w:r w:rsidRPr="00356510">
        <w:rPr>
          <w:rFonts w:cs="Arial"/>
        </w:rPr>
        <w:t>owever</w:t>
      </w:r>
      <w:r w:rsidR="004D7504" w:rsidRPr="00356510">
        <w:rPr>
          <w:rFonts w:cs="Arial"/>
        </w:rPr>
        <w:t>,</w:t>
      </w:r>
      <w:r w:rsidRPr="00356510">
        <w:rPr>
          <w:rFonts w:cs="Arial"/>
        </w:rPr>
        <w:t xml:space="preserve"> there may have been differences by the types of solvents reported</w:t>
      </w:r>
      <w:r w:rsidR="00661BC5" w:rsidRPr="00356510">
        <w:rPr>
          <w:rFonts w:cs="Arial"/>
        </w:rPr>
        <w:t xml:space="preserve">. </w:t>
      </w:r>
      <w:r w:rsidRPr="00356510">
        <w:rPr>
          <w:rFonts w:cs="Arial"/>
        </w:rPr>
        <w:t xml:space="preserve">Alcohol hand rubs were commonly utilised by workers in </w:t>
      </w:r>
      <w:r w:rsidRPr="00356510">
        <w:rPr>
          <w:rFonts w:cs="Arial"/>
          <w:i/>
        </w:rPr>
        <w:t>Health and community services</w:t>
      </w:r>
      <w:r w:rsidRPr="00356510">
        <w:rPr>
          <w:rFonts w:cs="Arial"/>
        </w:rPr>
        <w:t xml:space="preserve">, an industry </w:t>
      </w:r>
      <w:r w:rsidR="004D7504" w:rsidRPr="00356510">
        <w:rPr>
          <w:rFonts w:cs="Arial"/>
        </w:rPr>
        <w:t xml:space="preserve">that </w:t>
      </w:r>
      <w:r w:rsidRPr="00356510">
        <w:rPr>
          <w:rFonts w:cs="Arial"/>
        </w:rPr>
        <w:t>has a large female working population. Male solvent exposures tended to be characterised by more industrial</w:t>
      </w:r>
      <w:r w:rsidR="0098090B" w:rsidRPr="00356510">
        <w:rPr>
          <w:rFonts w:cs="Arial"/>
        </w:rPr>
        <w:t xml:space="preserve"> and trades-related</w:t>
      </w:r>
      <w:r w:rsidRPr="00356510">
        <w:rPr>
          <w:rFonts w:cs="Arial"/>
        </w:rPr>
        <w:t xml:space="preserve"> solvents</w:t>
      </w:r>
      <w:r w:rsidR="007E320D" w:rsidRPr="00356510">
        <w:rPr>
          <w:rFonts w:cs="Arial"/>
        </w:rPr>
        <w:t xml:space="preserve">. </w:t>
      </w:r>
    </w:p>
    <w:p w:rsidR="00784786" w:rsidRPr="00356510" w:rsidRDefault="00784786" w:rsidP="00784786">
      <w:pPr>
        <w:rPr>
          <w:rFonts w:cs="Arial"/>
        </w:rPr>
      </w:pPr>
      <w:r w:rsidRPr="00356510">
        <w:rPr>
          <w:rFonts w:cs="Arial"/>
        </w:rPr>
        <w:t xml:space="preserve">There were differences by age group for </w:t>
      </w:r>
      <w:r w:rsidR="008C3B32" w:rsidRPr="00356510">
        <w:rPr>
          <w:rFonts w:cs="Arial"/>
        </w:rPr>
        <w:t xml:space="preserve">exposure to </w:t>
      </w:r>
      <w:r w:rsidR="00095CDE" w:rsidRPr="00356510">
        <w:rPr>
          <w:rFonts w:cs="Arial"/>
          <w:i/>
        </w:rPr>
        <w:t>Detergents</w:t>
      </w:r>
      <w:r w:rsidRPr="00356510">
        <w:rPr>
          <w:rFonts w:cs="Arial"/>
        </w:rPr>
        <w:t xml:space="preserve"> and </w:t>
      </w:r>
      <w:r w:rsidR="00356D9D" w:rsidRPr="00356510">
        <w:rPr>
          <w:rFonts w:cs="Arial"/>
          <w:i/>
        </w:rPr>
        <w:t>Disinfectants</w:t>
      </w:r>
      <w:r w:rsidR="00661BC5" w:rsidRPr="00356510">
        <w:rPr>
          <w:rFonts w:cs="Arial"/>
        </w:rPr>
        <w:t xml:space="preserve">. </w:t>
      </w:r>
      <w:r w:rsidRPr="00356510">
        <w:rPr>
          <w:rFonts w:cs="Arial"/>
        </w:rPr>
        <w:t>When compared to the youngest age group</w:t>
      </w:r>
      <w:r w:rsidR="004D7504" w:rsidRPr="00356510">
        <w:rPr>
          <w:rFonts w:cs="Arial"/>
        </w:rPr>
        <w:t xml:space="preserve"> (15-24 years)</w:t>
      </w:r>
      <w:r w:rsidRPr="00356510">
        <w:rPr>
          <w:rFonts w:cs="Arial"/>
        </w:rPr>
        <w:t xml:space="preserve">, workers in all older age groups were less likely to report exposure to </w:t>
      </w:r>
      <w:r w:rsidR="00095CDE" w:rsidRPr="00356510">
        <w:rPr>
          <w:rFonts w:cs="Arial"/>
          <w:i/>
        </w:rPr>
        <w:t>Detergents</w:t>
      </w:r>
      <w:r w:rsidRPr="00356510">
        <w:rPr>
          <w:rFonts w:cs="Arial"/>
        </w:rPr>
        <w:t xml:space="preserve">. </w:t>
      </w:r>
      <w:r w:rsidR="004D7504" w:rsidRPr="00356510">
        <w:rPr>
          <w:rFonts w:cs="Arial"/>
        </w:rPr>
        <w:t>Similarly, w</w:t>
      </w:r>
      <w:r w:rsidRPr="00356510">
        <w:rPr>
          <w:rFonts w:cs="Arial"/>
        </w:rPr>
        <w:t xml:space="preserve">orkers in the 25-34 and the 35-44 year old age groups were less likely to report exposure to </w:t>
      </w:r>
      <w:r w:rsidR="00356D9D" w:rsidRPr="00356510">
        <w:rPr>
          <w:rFonts w:cs="Arial"/>
          <w:i/>
        </w:rPr>
        <w:t>Disinfectants</w:t>
      </w:r>
      <w:r w:rsidRPr="00356510">
        <w:rPr>
          <w:rFonts w:cs="Arial"/>
        </w:rPr>
        <w:t xml:space="preserve"> compared to the youngest age group</w:t>
      </w:r>
      <w:r w:rsidR="00661BC5" w:rsidRPr="00356510">
        <w:rPr>
          <w:rFonts w:cs="Arial"/>
        </w:rPr>
        <w:t xml:space="preserve">. </w:t>
      </w:r>
      <w:r w:rsidRPr="00356510">
        <w:rPr>
          <w:rFonts w:cs="Arial"/>
        </w:rPr>
        <w:t xml:space="preserve">These findings may indicate that younger workers are more likely to be employed in cleaning </w:t>
      </w:r>
      <w:r w:rsidR="00785922" w:rsidRPr="00356510">
        <w:rPr>
          <w:rFonts w:cs="Arial"/>
        </w:rPr>
        <w:t>jobs;</w:t>
      </w:r>
      <w:r w:rsidRPr="00356510">
        <w:rPr>
          <w:rFonts w:cs="Arial"/>
        </w:rPr>
        <w:t xml:space="preserve"> however, it may also indicate that younger workers in any job may be more likely to be assigned cleaning tasks than older workers. This finding is of interest when considered with the occupational skill level findings</w:t>
      </w:r>
      <w:r w:rsidR="004D7504" w:rsidRPr="00356510">
        <w:rPr>
          <w:rFonts w:cs="Arial"/>
        </w:rPr>
        <w:t>,</w:t>
      </w:r>
      <w:r w:rsidRPr="00356510">
        <w:rPr>
          <w:rFonts w:cs="Arial"/>
        </w:rPr>
        <w:t xml:space="preserve"> in which lower skilled workers were also more likely to be exposed to </w:t>
      </w:r>
      <w:r w:rsidR="00095CDE" w:rsidRPr="00356510">
        <w:rPr>
          <w:rFonts w:cs="Arial"/>
          <w:i/>
        </w:rPr>
        <w:t>Detergents</w:t>
      </w:r>
      <w:r w:rsidRPr="00356510">
        <w:rPr>
          <w:rFonts w:cs="Arial"/>
        </w:rPr>
        <w:t xml:space="preserve"> and </w:t>
      </w:r>
      <w:r w:rsidR="00356D9D" w:rsidRPr="00356510">
        <w:rPr>
          <w:rFonts w:cs="Arial"/>
          <w:i/>
        </w:rPr>
        <w:t>Disinfectants</w:t>
      </w:r>
      <w:r w:rsidR="00661BC5" w:rsidRPr="00356510">
        <w:rPr>
          <w:rFonts w:cs="Arial"/>
        </w:rPr>
        <w:t xml:space="preserve">. </w:t>
      </w:r>
      <w:r w:rsidRPr="00356510">
        <w:rPr>
          <w:rFonts w:cs="Arial"/>
        </w:rPr>
        <w:t xml:space="preserve">The </w:t>
      </w:r>
      <w:r w:rsidR="004D7504" w:rsidRPr="00356510">
        <w:rPr>
          <w:rFonts w:cs="Arial"/>
        </w:rPr>
        <w:t xml:space="preserve">multivariate </w:t>
      </w:r>
      <w:r w:rsidRPr="00356510">
        <w:rPr>
          <w:rFonts w:cs="Arial"/>
        </w:rPr>
        <w:t>model</w:t>
      </w:r>
      <w:r w:rsidR="00DB17CF" w:rsidRPr="00356510">
        <w:rPr>
          <w:rFonts w:cs="Arial"/>
        </w:rPr>
        <w:t>s,</w:t>
      </w:r>
      <w:r w:rsidRPr="00356510">
        <w:rPr>
          <w:rFonts w:cs="Arial"/>
        </w:rPr>
        <w:t xml:space="preserve"> </w:t>
      </w:r>
      <w:r w:rsidR="004D7504" w:rsidRPr="00356510">
        <w:rPr>
          <w:rFonts w:cs="Arial"/>
        </w:rPr>
        <w:t xml:space="preserve">which </w:t>
      </w:r>
      <w:r w:rsidRPr="00356510">
        <w:rPr>
          <w:rFonts w:cs="Arial"/>
        </w:rPr>
        <w:t>adjus</w:t>
      </w:r>
      <w:r w:rsidR="004D7504" w:rsidRPr="00356510">
        <w:rPr>
          <w:rFonts w:cs="Arial"/>
        </w:rPr>
        <w:t>t</w:t>
      </w:r>
      <w:r w:rsidRPr="00356510">
        <w:rPr>
          <w:rFonts w:cs="Arial"/>
        </w:rPr>
        <w:t xml:space="preserve"> simultaneously for all factors</w:t>
      </w:r>
      <w:r w:rsidR="00DB17CF" w:rsidRPr="00356510">
        <w:rPr>
          <w:rFonts w:cs="Arial"/>
        </w:rPr>
        <w:t>,</w:t>
      </w:r>
      <w:r w:rsidRPr="00356510">
        <w:rPr>
          <w:rFonts w:cs="Arial"/>
        </w:rPr>
        <w:t xml:space="preserve"> </w:t>
      </w:r>
      <w:r w:rsidR="004D7504" w:rsidRPr="00356510">
        <w:rPr>
          <w:rFonts w:cs="Arial"/>
        </w:rPr>
        <w:t xml:space="preserve">indicated </w:t>
      </w:r>
      <w:r w:rsidRPr="00356510">
        <w:rPr>
          <w:rFonts w:cs="Arial"/>
        </w:rPr>
        <w:t xml:space="preserve">that both age and occupational skill level </w:t>
      </w:r>
      <w:r w:rsidR="004D7504" w:rsidRPr="00356510">
        <w:rPr>
          <w:rFonts w:cs="Arial"/>
        </w:rPr>
        <w:t xml:space="preserve">were </w:t>
      </w:r>
      <w:r w:rsidRPr="00356510">
        <w:rPr>
          <w:rFonts w:cs="Arial"/>
        </w:rPr>
        <w:t xml:space="preserve">both important </w:t>
      </w:r>
      <w:r w:rsidR="006F23F5" w:rsidRPr="00356510">
        <w:rPr>
          <w:rFonts w:cs="Arial"/>
        </w:rPr>
        <w:t>factors in</w:t>
      </w:r>
      <w:r w:rsidR="004D7504" w:rsidRPr="00356510">
        <w:rPr>
          <w:rFonts w:cs="Arial"/>
        </w:rPr>
        <w:t xml:space="preserve"> predicting self-reported</w:t>
      </w:r>
      <w:r w:rsidRPr="00356510">
        <w:rPr>
          <w:rFonts w:cs="Arial"/>
        </w:rPr>
        <w:t xml:space="preserve"> </w:t>
      </w:r>
      <w:r w:rsidR="00095CDE" w:rsidRPr="00356510">
        <w:rPr>
          <w:rFonts w:cs="Arial"/>
          <w:i/>
        </w:rPr>
        <w:t>Detergents</w:t>
      </w:r>
      <w:r w:rsidRPr="00356510">
        <w:rPr>
          <w:rFonts w:cs="Arial"/>
        </w:rPr>
        <w:t xml:space="preserve"> and </w:t>
      </w:r>
      <w:r w:rsidR="00356D9D" w:rsidRPr="00356510">
        <w:rPr>
          <w:rFonts w:cs="Arial"/>
          <w:i/>
        </w:rPr>
        <w:t>Disinfectants</w:t>
      </w:r>
      <w:r w:rsidRPr="00356510">
        <w:rPr>
          <w:rFonts w:cs="Arial"/>
        </w:rPr>
        <w:t xml:space="preserve"> exposure.</w:t>
      </w:r>
      <w:r w:rsidR="004D7504" w:rsidRPr="00356510">
        <w:rPr>
          <w:rFonts w:cs="Arial"/>
        </w:rPr>
        <w:t xml:space="preserve"> Therefore,</w:t>
      </w:r>
      <w:r w:rsidRPr="00356510">
        <w:rPr>
          <w:rFonts w:cs="Arial"/>
        </w:rPr>
        <w:t xml:space="preserve"> </w:t>
      </w:r>
      <w:r w:rsidR="004D7504" w:rsidRPr="00356510">
        <w:rPr>
          <w:rFonts w:cs="Arial"/>
        </w:rPr>
        <w:t>y</w:t>
      </w:r>
      <w:r w:rsidRPr="00356510">
        <w:rPr>
          <w:rFonts w:cs="Arial"/>
        </w:rPr>
        <w:t xml:space="preserve">oung </w:t>
      </w:r>
      <w:r w:rsidR="00641C53" w:rsidRPr="00356510">
        <w:rPr>
          <w:rFonts w:cs="Arial"/>
        </w:rPr>
        <w:t xml:space="preserve">workers in the lowest occupational skill level groups are </w:t>
      </w:r>
      <w:r w:rsidRPr="00356510">
        <w:rPr>
          <w:rFonts w:cs="Arial"/>
        </w:rPr>
        <w:t xml:space="preserve">a population of particular interest in relation to </w:t>
      </w:r>
      <w:r w:rsidR="00095CDE" w:rsidRPr="00356510">
        <w:rPr>
          <w:rFonts w:cs="Arial"/>
          <w:i/>
        </w:rPr>
        <w:t>Detergents</w:t>
      </w:r>
      <w:r w:rsidRPr="00356510">
        <w:rPr>
          <w:rFonts w:cs="Arial"/>
        </w:rPr>
        <w:t xml:space="preserve"> and </w:t>
      </w:r>
      <w:r w:rsidR="00356D9D" w:rsidRPr="00356510">
        <w:rPr>
          <w:rFonts w:cs="Arial"/>
          <w:i/>
        </w:rPr>
        <w:t>Disinfectants</w:t>
      </w:r>
      <w:r w:rsidRPr="00356510">
        <w:rPr>
          <w:rFonts w:cs="Arial"/>
        </w:rPr>
        <w:t xml:space="preserve"> exposure.</w:t>
      </w:r>
    </w:p>
    <w:p w:rsidR="00784786" w:rsidRPr="00356510" w:rsidRDefault="00784786" w:rsidP="00784786">
      <w:pPr>
        <w:rPr>
          <w:rFonts w:cs="Arial"/>
        </w:rPr>
      </w:pPr>
      <w:r w:rsidRPr="00356510">
        <w:rPr>
          <w:rFonts w:cs="Arial"/>
        </w:rPr>
        <w:t xml:space="preserve">Workers in the lowest occupational skill level jobs were </w:t>
      </w:r>
      <w:r w:rsidR="006F23F5" w:rsidRPr="00356510">
        <w:rPr>
          <w:rFonts w:cs="Arial"/>
        </w:rPr>
        <w:t>also associated</w:t>
      </w:r>
      <w:r w:rsidR="004D7504" w:rsidRPr="00356510">
        <w:rPr>
          <w:rFonts w:cs="Arial"/>
        </w:rPr>
        <w:t xml:space="preserve"> with</w:t>
      </w:r>
      <w:r w:rsidRPr="00356510">
        <w:rPr>
          <w:rFonts w:cs="Arial"/>
        </w:rPr>
        <w:t xml:space="preserve"> increased </w:t>
      </w:r>
      <w:r w:rsidR="004D7504" w:rsidRPr="00356510">
        <w:rPr>
          <w:rFonts w:cs="Arial"/>
        </w:rPr>
        <w:t xml:space="preserve">likelihood of reporting </w:t>
      </w:r>
      <w:r w:rsidRPr="00356510">
        <w:rPr>
          <w:rFonts w:cs="Arial"/>
        </w:rPr>
        <w:t xml:space="preserve">exposure to </w:t>
      </w:r>
      <w:r w:rsidR="00095CDE" w:rsidRPr="00356510">
        <w:rPr>
          <w:rFonts w:cs="Arial"/>
          <w:i/>
        </w:rPr>
        <w:t>Bases and alkalis</w:t>
      </w:r>
      <w:r w:rsidRPr="00356510">
        <w:rPr>
          <w:rFonts w:cs="Arial"/>
        </w:rPr>
        <w:t xml:space="preserve"> compared to higher-skilled workers</w:t>
      </w:r>
      <w:r w:rsidR="00661BC5" w:rsidRPr="00356510">
        <w:rPr>
          <w:rFonts w:cs="Arial"/>
        </w:rPr>
        <w:t xml:space="preserve">. </w:t>
      </w:r>
      <w:r w:rsidRPr="00356510">
        <w:rPr>
          <w:rFonts w:cs="Arial"/>
        </w:rPr>
        <w:t>The types of exposures reported by respondents in this category were characterised by bleach-based products, especially cleaners and disinfectant products and other caustic alkali cleaning products such as oven-cleaners</w:t>
      </w:r>
      <w:r w:rsidR="00661BC5" w:rsidRPr="00356510">
        <w:rPr>
          <w:rFonts w:cs="Arial"/>
        </w:rPr>
        <w:t xml:space="preserve">. </w:t>
      </w:r>
      <w:r w:rsidR="004D7504" w:rsidRPr="00356510">
        <w:rPr>
          <w:rFonts w:cs="Arial"/>
        </w:rPr>
        <w:t xml:space="preserve">Exposure to </w:t>
      </w:r>
      <w:r w:rsidR="00095CDE" w:rsidRPr="00356510">
        <w:rPr>
          <w:rFonts w:cs="Arial"/>
          <w:i/>
        </w:rPr>
        <w:t>Bases and alkalis</w:t>
      </w:r>
      <w:r w:rsidR="004D7504" w:rsidRPr="00356510">
        <w:rPr>
          <w:rFonts w:cs="Arial"/>
        </w:rPr>
        <w:t xml:space="preserve"> in relation to o</w:t>
      </w:r>
      <w:r w:rsidRPr="00356510">
        <w:rPr>
          <w:rFonts w:cs="Arial"/>
        </w:rPr>
        <w:t xml:space="preserve">ccupational skill level follows the same pattern as </w:t>
      </w:r>
      <w:r w:rsidR="00095CDE" w:rsidRPr="00356510">
        <w:rPr>
          <w:rFonts w:cs="Arial"/>
          <w:i/>
        </w:rPr>
        <w:t>Detergents</w:t>
      </w:r>
      <w:r w:rsidRPr="00356510">
        <w:rPr>
          <w:rFonts w:cs="Arial"/>
        </w:rPr>
        <w:t xml:space="preserve"> and </w:t>
      </w:r>
      <w:r w:rsidR="00356D9D" w:rsidRPr="00356510">
        <w:rPr>
          <w:rFonts w:cs="Arial"/>
          <w:i/>
        </w:rPr>
        <w:t>Disinfectants</w:t>
      </w:r>
      <w:r w:rsidRPr="00356510">
        <w:rPr>
          <w:rFonts w:cs="Arial"/>
        </w:rPr>
        <w:t xml:space="preserve"> exposure</w:t>
      </w:r>
      <w:r w:rsidR="004D7504" w:rsidRPr="00356510">
        <w:rPr>
          <w:rFonts w:cs="Arial"/>
        </w:rPr>
        <w:t>, with</w:t>
      </w:r>
      <w:r w:rsidRPr="00356510">
        <w:rPr>
          <w:rFonts w:cs="Arial"/>
        </w:rPr>
        <w:t xml:space="preserve"> increased exposure amongst </w:t>
      </w:r>
      <w:r w:rsidR="00641C53" w:rsidRPr="00356510">
        <w:rPr>
          <w:rFonts w:cs="Arial"/>
        </w:rPr>
        <w:t>workers in the lowest occupational skill level groups</w:t>
      </w:r>
      <w:r w:rsidRPr="00356510">
        <w:rPr>
          <w:rFonts w:cs="Arial"/>
        </w:rPr>
        <w:t>. However</w:t>
      </w:r>
      <w:r w:rsidR="004D7504" w:rsidRPr="00356510">
        <w:rPr>
          <w:rFonts w:cs="Arial"/>
        </w:rPr>
        <w:t>,</w:t>
      </w:r>
      <w:r w:rsidRPr="00356510">
        <w:rPr>
          <w:rFonts w:cs="Arial"/>
        </w:rPr>
        <w:t xml:space="preserve"> whilst </w:t>
      </w:r>
      <w:r w:rsidR="00095CDE" w:rsidRPr="00356510">
        <w:rPr>
          <w:rFonts w:cs="Arial"/>
          <w:i/>
        </w:rPr>
        <w:t>Detergents</w:t>
      </w:r>
      <w:r w:rsidRPr="00356510">
        <w:rPr>
          <w:rFonts w:cs="Arial"/>
        </w:rPr>
        <w:t xml:space="preserve"> and </w:t>
      </w:r>
      <w:r w:rsidR="00356D9D" w:rsidRPr="00356510">
        <w:rPr>
          <w:rFonts w:cs="Arial"/>
          <w:i/>
        </w:rPr>
        <w:t>Disinfectants</w:t>
      </w:r>
      <w:r w:rsidRPr="00356510">
        <w:rPr>
          <w:rFonts w:cs="Arial"/>
        </w:rPr>
        <w:t xml:space="preserve"> exposure was associated with the younger age groups, </w:t>
      </w:r>
      <w:r w:rsidR="00095CDE" w:rsidRPr="00356510">
        <w:rPr>
          <w:rFonts w:cs="Arial"/>
          <w:i/>
        </w:rPr>
        <w:t>Bases and alkalis</w:t>
      </w:r>
      <w:r w:rsidRPr="00356510">
        <w:rPr>
          <w:rFonts w:cs="Arial"/>
        </w:rPr>
        <w:t xml:space="preserve"> exposure was not. The </w:t>
      </w:r>
      <w:r w:rsidR="00356D9D" w:rsidRPr="00356510">
        <w:rPr>
          <w:rFonts w:cs="Arial"/>
          <w:i/>
        </w:rPr>
        <w:t>Disinfectants</w:t>
      </w:r>
      <w:r w:rsidRPr="00356510">
        <w:rPr>
          <w:rFonts w:cs="Arial"/>
        </w:rPr>
        <w:t xml:space="preserve"> category represents unspecified disinfectant products for which inadequate detail was provided to classify more specifically. </w:t>
      </w:r>
    </w:p>
    <w:p w:rsidR="00784786" w:rsidRPr="00356510" w:rsidRDefault="00671170" w:rsidP="00784786">
      <w:pPr>
        <w:rPr>
          <w:rFonts w:cs="Arial"/>
        </w:rPr>
      </w:pPr>
      <w:r w:rsidRPr="00356510">
        <w:rPr>
          <w:rFonts w:cs="Arial"/>
        </w:rPr>
        <w:t>The l</w:t>
      </w:r>
      <w:r w:rsidR="00784786" w:rsidRPr="00356510">
        <w:rPr>
          <w:rFonts w:cs="Arial"/>
        </w:rPr>
        <w:t xml:space="preserve">ikelihood of exposure to </w:t>
      </w:r>
      <w:r w:rsidR="00610AAC" w:rsidRPr="00356510">
        <w:rPr>
          <w:rFonts w:cs="Arial"/>
          <w:i/>
        </w:rPr>
        <w:t>Cement and lime</w:t>
      </w:r>
      <w:r w:rsidR="00784786" w:rsidRPr="00356510">
        <w:rPr>
          <w:rFonts w:cs="Arial"/>
        </w:rPr>
        <w:t xml:space="preserve"> was also highest </w:t>
      </w:r>
      <w:r w:rsidRPr="00356510">
        <w:rPr>
          <w:rFonts w:cs="Arial"/>
        </w:rPr>
        <w:t xml:space="preserve">for workers in </w:t>
      </w:r>
      <w:r w:rsidR="00784786" w:rsidRPr="00356510">
        <w:rPr>
          <w:rFonts w:cs="Arial"/>
        </w:rPr>
        <w:t xml:space="preserve">the lowest occupational skill level. The second highest likelihood of exposure </w:t>
      </w:r>
      <w:r w:rsidRPr="00356510">
        <w:rPr>
          <w:rFonts w:cs="Arial"/>
        </w:rPr>
        <w:t>to</w:t>
      </w:r>
      <w:r w:rsidR="00784786" w:rsidRPr="00356510">
        <w:rPr>
          <w:rFonts w:cs="Arial"/>
        </w:rPr>
        <w:t xml:space="preserve"> </w:t>
      </w:r>
      <w:r w:rsidR="00610AAC" w:rsidRPr="00356510">
        <w:rPr>
          <w:rFonts w:cs="Arial"/>
          <w:i/>
        </w:rPr>
        <w:t>Cement and lime</w:t>
      </w:r>
      <w:r w:rsidR="00784786" w:rsidRPr="00356510">
        <w:rPr>
          <w:rFonts w:cs="Arial"/>
        </w:rPr>
        <w:t xml:space="preserve"> was for workers in</w:t>
      </w:r>
      <w:r w:rsidR="006F23F5" w:rsidRPr="00356510">
        <w:rPr>
          <w:rFonts w:cs="Arial"/>
        </w:rPr>
        <w:t xml:space="preserve"> occupational </w:t>
      </w:r>
      <w:r w:rsidR="0066114D">
        <w:rPr>
          <w:rFonts w:cs="Arial"/>
        </w:rPr>
        <w:t>s</w:t>
      </w:r>
      <w:r w:rsidR="006F23F5" w:rsidRPr="00356510">
        <w:rPr>
          <w:rFonts w:cs="Arial"/>
        </w:rPr>
        <w:t xml:space="preserve">kill </w:t>
      </w:r>
      <w:r w:rsidR="0066114D">
        <w:rPr>
          <w:rFonts w:cs="Arial"/>
        </w:rPr>
        <w:t>l</w:t>
      </w:r>
      <w:r w:rsidR="006F23F5" w:rsidRPr="00356510">
        <w:rPr>
          <w:rFonts w:cs="Arial"/>
        </w:rPr>
        <w:t>evel three</w:t>
      </w:r>
      <w:r w:rsidR="00784786" w:rsidRPr="00356510">
        <w:rPr>
          <w:rFonts w:cs="Arial"/>
        </w:rPr>
        <w:t xml:space="preserve"> </w:t>
      </w:r>
      <w:r w:rsidR="006F23F5" w:rsidRPr="00356510">
        <w:rPr>
          <w:rFonts w:cs="Arial"/>
        </w:rPr>
        <w:t>(</w:t>
      </w:r>
      <w:r w:rsidR="0066114D">
        <w:t>t</w:t>
      </w:r>
      <w:r w:rsidR="006F23F5" w:rsidRPr="00356510">
        <w:t>radesperson or related work</w:t>
      </w:r>
      <w:r w:rsidR="0066114D">
        <w:t>ers</w:t>
      </w:r>
      <w:r w:rsidR="006F23F5" w:rsidRPr="00356510">
        <w:t xml:space="preserve"> and advanced clerical or service work)</w:t>
      </w:r>
      <w:r w:rsidR="00661BC5" w:rsidRPr="00356510">
        <w:rPr>
          <w:rFonts w:cs="Arial"/>
        </w:rPr>
        <w:t xml:space="preserve">. </w:t>
      </w:r>
      <w:r w:rsidR="00784786" w:rsidRPr="00356510">
        <w:rPr>
          <w:rFonts w:cs="Arial"/>
        </w:rPr>
        <w:t>This finding is likely</w:t>
      </w:r>
      <w:r w:rsidRPr="00356510">
        <w:rPr>
          <w:rFonts w:cs="Arial"/>
        </w:rPr>
        <w:t xml:space="preserve"> to be</w:t>
      </w:r>
      <w:r w:rsidR="00784786" w:rsidRPr="00356510">
        <w:rPr>
          <w:rFonts w:cs="Arial"/>
        </w:rPr>
        <w:t xml:space="preserve"> related to the predominance of construction trades jobs in </w:t>
      </w:r>
      <w:r w:rsidR="0066114D">
        <w:rPr>
          <w:rFonts w:cs="Arial"/>
        </w:rPr>
        <w:t>s</w:t>
      </w:r>
      <w:r w:rsidRPr="00356510">
        <w:rPr>
          <w:rFonts w:cs="Arial"/>
        </w:rPr>
        <w:t xml:space="preserve">kill </w:t>
      </w:r>
      <w:r w:rsidR="0066114D">
        <w:rPr>
          <w:rFonts w:cs="Arial"/>
        </w:rPr>
        <w:t>l</w:t>
      </w:r>
      <w:r w:rsidR="00784786" w:rsidRPr="00356510">
        <w:rPr>
          <w:rFonts w:cs="Arial"/>
        </w:rPr>
        <w:t xml:space="preserve">evel </w:t>
      </w:r>
      <w:r w:rsidR="0066114D">
        <w:rPr>
          <w:rFonts w:cs="Arial"/>
        </w:rPr>
        <w:t>three</w:t>
      </w:r>
      <w:r w:rsidR="00784786" w:rsidRPr="00356510">
        <w:rPr>
          <w:rFonts w:cs="Arial"/>
        </w:rPr>
        <w:t xml:space="preserve"> and construction-related labourers in </w:t>
      </w:r>
      <w:r w:rsidR="0066114D">
        <w:rPr>
          <w:rFonts w:cs="Arial"/>
        </w:rPr>
        <w:t>l</w:t>
      </w:r>
      <w:r w:rsidR="00784786" w:rsidRPr="00356510">
        <w:rPr>
          <w:rFonts w:cs="Arial"/>
        </w:rPr>
        <w:t xml:space="preserve">evel </w:t>
      </w:r>
      <w:r w:rsidR="0066114D">
        <w:rPr>
          <w:rFonts w:cs="Arial"/>
        </w:rPr>
        <w:t>five</w:t>
      </w:r>
      <w:r w:rsidR="006F23F5" w:rsidRPr="00356510">
        <w:rPr>
          <w:rFonts w:cs="Arial"/>
        </w:rPr>
        <w:t xml:space="preserve"> (</w:t>
      </w:r>
      <w:r w:rsidR="0066114D">
        <w:t>e</w:t>
      </w:r>
      <w:r w:rsidR="006F23F5" w:rsidRPr="00356510">
        <w:t>lementary clerical, sales or service work</w:t>
      </w:r>
      <w:r w:rsidR="0066114D">
        <w:t>ers</w:t>
      </w:r>
      <w:r w:rsidR="006F23F5" w:rsidRPr="00356510">
        <w:t xml:space="preserve"> and labourer or related work</w:t>
      </w:r>
      <w:r w:rsidR="0066114D">
        <w:t>ers</w:t>
      </w:r>
      <w:r w:rsidR="00277826" w:rsidRPr="00356510">
        <w:t>)</w:t>
      </w:r>
      <w:r w:rsidR="00784786" w:rsidRPr="00356510">
        <w:rPr>
          <w:rFonts w:cs="Arial"/>
        </w:rPr>
        <w:t xml:space="preserve">. The association of </w:t>
      </w:r>
      <w:r w:rsidR="00610AAC" w:rsidRPr="00356510">
        <w:rPr>
          <w:rFonts w:cs="Arial"/>
          <w:i/>
        </w:rPr>
        <w:t>Cement and lime</w:t>
      </w:r>
      <w:r w:rsidR="00784786" w:rsidRPr="00356510">
        <w:rPr>
          <w:rFonts w:cs="Arial"/>
        </w:rPr>
        <w:t xml:space="preserve"> with </w:t>
      </w:r>
      <w:r w:rsidR="0066114D">
        <w:rPr>
          <w:rFonts w:cs="Arial"/>
        </w:rPr>
        <w:t>s</w:t>
      </w:r>
      <w:r w:rsidR="00784786" w:rsidRPr="00356510">
        <w:rPr>
          <w:rFonts w:cs="Arial"/>
        </w:rPr>
        <w:t xml:space="preserve">kill </w:t>
      </w:r>
      <w:r w:rsidR="0066114D">
        <w:rPr>
          <w:rFonts w:cs="Arial"/>
        </w:rPr>
        <w:t>l</w:t>
      </w:r>
      <w:r w:rsidR="00784786" w:rsidRPr="00356510">
        <w:rPr>
          <w:rFonts w:cs="Arial"/>
        </w:rPr>
        <w:t xml:space="preserve">evels </w:t>
      </w:r>
      <w:r w:rsidR="0066114D">
        <w:rPr>
          <w:rFonts w:cs="Arial"/>
        </w:rPr>
        <w:t>three</w:t>
      </w:r>
      <w:r w:rsidR="00784786" w:rsidRPr="00356510">
        <w:rPr>
          <w:rFonts w:cs="Arial"/>
        </w:rPr>
        <w:t xml:space="preserve"> and </w:t>
      </w:r>
      <w:r w:rsidR="0066114D">
        <w:rPr>
          <w:rFonts w:cs="Arial"/>
        </w:rPr>
        <w:t>five</w:t>
      </w:r>
      <w:r w:rsidR="00784786" w:rsidRPr="00356510">
        <w:rPr>
          <w:rFonts w:cs="Arial"/>
        </w:rPr>
        <w:t xml:space="preserve"> in this analysis, therefore, can </w:t>
      </w:r>
      <w:r w:rsidR="00784786" w:rsidRPr="00356510">
        <w:rPr>
          <w:rFonts w:cs="Arial"/>
        </w:rPr>
        <w:lastRenderedPageBreak/>
        <w:t xml:space="preserve">be largely attributed to the distribution of </w:t>
      </w:r>
      <w:r w:rsidRPr="00356510">
        <w:rPr>
          <w:rFonts w:cs="Arial"/>
        </w:rPr>
        <w:t xml:space="preserve">workers by </w:t>
      </w:r>
      <w:r w:rsidR="00784786" w:rsidRPr="00356510">
        <w:rPr>
          <w:rFonts w:cs="Arial"/>
        </w:rPr>
        <w:t xml:space="preserve">occupational skill level in </w:t>
      </w:r>
      <w:r w:rsidR="00784786" w:rsidRPr="00356510">
        <w:rPr>
          <w:rFonts w:cs="Arial"/>
          <w:i/>
        </w:rPr>
        <w:t>Construction</w:t>
      </w:r>
      <w:r w:rsidR="00784786" w:rsidRPr="00356510">
        <w:rPr>
          <w:rFonts w:cs="Arial"/>
        </w:rPr>
        <w:t xml:space="preserve"> and related areas. </w:t>
      </w:r>
    </w:p>
    <w:p w:rsidR="00784786" w:rsidRPr="00356510" w:rsidRDefault="00784786" w:rsidP="00784786">
      <w:pPr>
        <w:rPr>
          <w:rFonts w:cs="Arial"/>
        </w:rPr>
      </w:pPr>
      <w:r w:rsidRPr="00356510">
        <w:rPr>
          <w:rFonts w:cs="Arial"/>
        </w:rPr>
        <w:t xml:space="preserve">For </w:t>
      </w:r>
      <w:r w:rsidR="003517A5" w:rsidRPr="00356510">
        <w:rPr>
          <w:i/>
        </w:rPr>
        <w:t>Non-bituminous hydrocarbon fuels</w:t>
      </w:r>
      <w:r w:rsidR="006F23F5" w:rsidRPr="00356510">
        <w:rPr>
          <w:rFonts w:cs="Arial"/>
        </w:rPr>
        <w:t xml:space="preserve">, </w:t>
      </w:r>
      <w:r w:rsidR="003517A5" w:rsidRPr="00356510">
        <w:rPr>
          <w:rFonts w:cs="Arial"/>
          <w:i/>
        </w:rPr>
        <w:t>Organic solvents</w:t>
      </w:r>
      <w:r w:rsidRPr="00356510">
        <w:rPr>
          <w:rFonts w:cs="Arial"/>
        </w:rPr>
        <w:t xml:space="preserve"> and </w:t>
      </w:r>
      <w:r w:rsidR="003517A5" w:rsidRPr="00356510">
        <w:rPr>
          <w:rFonts w:cs="Arial"/>
          <w:i/>
        </w:rPr>
        <w:t>Paints, varnishes and inks</w:t>
      </w:r>
      <w:r w:rsidRPr="00356510">
        <w:rPr>
          <w:rFonts w:cs="Arial"/>
        </w:rPr>
        <w:t xml:space="preserve">, exposure was associated with occupational skill level. For all these exposures, </w:t>
      </w:r>
      <w:r w:rsidR="0046073E">
        <w:rPr>
          <w:rFonts w:cs="Arial"/>
        </w:rPr>
        <w:t>s</w:t>
      </w:r>
      <w:r w:rsidRPr="00356510">
        <w:rPr>
          <w:rFonts w:cs="Arial"/>
        </w:rPr>
        <w:t xml:space="preserve">kill </w:t>
      </w:r>
      <w:r w:rsidR="0046073E">
        <w:rPr>
          <w:rFonts w:cs="Arial"/>
        </w:rPr>
        <w:t>l</w:t>
      </w:r>
      <w:r w:rsidRPr="00356510">
        <w:rPr>
          <w:rFonts w:cs="Arial"/>
        </w:rPr>
        <w:t xml:space="preserve">evel </w:t>
      </w:r>
      <w:r w:rsidR="0046073E">
        <w:rPr>
          <w:rFonts w:cs="Arial"/>
        </w:rPr>
        <w:t>three</w:t>
      </w:r>
      <w:r w:rsidR="00277826" w:rsidRPr="00356510">
        <w:rPr>
          <w:rFonts w:cs="Arial"/>
        </w:rPr>
        <w:t xml:space="preserve"> (</w:t>
      </w:r>
      <w:r w:rsidR="0046073E">
        <w:t>t</w:t>
      </w:r>
      <w:r w:rsidR="00277826" w:rsidRPr="00356510">
        <w:t>radesperson or related work</w:t>
      </w:r>
      <w:r w:rsidR="0046073E">
        <w:t>ers</w:t>
      </w:r>
      <w:r w:rsidR="00277826" w:rsidRPr="00356510">
        <w:t xml:space="preserve"> and advanced clerical or service work</w:t>
      </w:r>
      <w:r w:rsidR="0046073E">
        <w:t>ers</w:t>
      </w:r>
      <w:r w:rsidR="00277826" w:rsidRPr="00356510">
        <w:t>)</w:t>
      </w:r>
      <w:r w:rsidRPr="00356510">
        <w:rPr>
          <w:rFonts w:cs="Arial"/>
        </w:rPr>
        <w:t xml:space="preserve"> was most strongly associated with exposure</w:t>
      </w:r>
      <w:r w:rsidR="00661BC5" w:rsidRPr="00356510">
        <w:rPr>
          <w:rFonts w:cs="Arial"/>
        </w:rPr>
        <w:t xml:space="preserve">. </w:t>
      </w:r>
      <w:r w:rsidRPr="00356510">
        <w:rPr>
          <w:rFonts w:cs="Arial"/>
        </w:rPr>
        <w:t xml:space="preserve">Occupational </w:t>
      </w:r>
      <w:r w:rsidR="0046073E">
        <w:rPr>
          <w:rFonts w:cs="Arial"/>
        </w:rPr>
        <w:t>s</w:t>
      </w:r>
      <w:r w:rsidRPr="00356510">
        <w:rPr>
          <w:rFonts w:cs="Arial"/>
        </w:rPr>
        <w:t xml:space="preserve">kill </w:t>
      </w:r>
      <w:r w:rsidR="0046073E">
        <w:rPr>
          <w:rFonts w:cs="Arial"/>
        </w:rPr>
        <w:t>l</w:t>
      </w:r>
      <w:r w:rsidRPr="00356510">
        <w:rPr>
          <w:rFonts w:cs="Arial"/>
        </w:rPr>
        <w:t xml:space="preserve">evel </w:t>
      </w:r>
      <w:r w:rsidR="0046073E">
        <w:rPr>
          <w:rFonts w:cs="Arial"/>
        </w:rPr>
        <w:t>three</w:t>
      </w:r>
      <w:r w:rsidRPr="00356510">
        <w:rPr>
          <w:rFonts w:cs="Arial"/>
        </w:rPr>
        <w:t>, as previously mentioned, is ch</w:t>
      </w:r>
      <w:r w:rsidR="00A6243E" w:rsidRPr="00356510">
        <w:rPr>
          <w:rFonts w:cs="Arial"/>
        </w:rPr>
        <w:t>a</w:t>
      </w:r>
      <w:r w:rsidRPr="00356510">
        <w:rPr>
          <w:rFonts w:cs="Arial"/>
        </w:rPr>
        <w:t>racterised by trades occupations; including printers, painters, mechanics, plumbers and building trades</w:t>
      </w:r>
      <w:r w:rsidR="00661BC5" w:rsidRPr="00356510">
        <w:rPr>
          <w:rFonts w:cs="Arial"/>
        </w:rPr>
        <w:t xml:space="preserve">. </w:t>
      </w:r>
      <w:r w:rsidRPr="00356510">
        <w:rPr>
          <w:rFonts w:cs="Arial"/>
        </w:rPr>
        <w:t xml:space="preserve">For </w:t>
      </w:r>
      <w:r w:rsidR="003517A5" w:rsidRPr="00356510">
        <w:rPr>
          <w:i/>
        </w:rPr>
        <w:t>Non-bituminous hydrocarbon fuels</w:t>
      </w:r>
      <w:r w:rsidR="006F23F5" w:rsidRPr="00356510">
        <w:rPr>
          <w:rFonts w:cs="Arial"/>
        </w:rPr>
        <w:t xml:space="preserve"> </w:t>
      </w:r>
      <w:r w:rsidRPr="00356510">
        <w:rPr>
          <w:rFonts w:cs="Arial"/>
        </w:rPr>
        <w:t xml:space="preserve">and </w:t>
      </w:r>
      <w:r w:rsidR="003517A5" w:rsidRPr="00356510">
        <w:rPr>
          <w:rFonts w:cs="Arial"/>
          <w:i/>
        </w:rPr>
        <w:t>Organic solvents</w:t>
      </w:r>
      <w:r w:rsidRPr="00356510">
        <w:rPr>
          <w:rFonts w:cs="Arial"/>
        </w:rPr>
        <w:t xml:space="preserve"> there was also increased likelihood of exposure for the lowest occupational skill level group, </w:t>
      </w:r>
      <w:r w:rsidR="0046073E">
        <w:rPr>
          <w:rFonts w:cs="Arial"/>
        </w:rPr>
        <w:t>l</w:t>
      </w:r>
      <w:r w:rsidRPr="00356510">
        <w:rPr>
          <w:rFonts w:cs="Arial"/>
        </w:rPr>
        <w:t xml:space="preserve">evel </w:t>
      </w:r>
      <w:r w:rsidR="0046073E">
        <w:rPr>
          <w:rFonts w:cs="Arial"/>
        </w:rPr>
        <w:t>five</w:t>
      </w:r>
      <w:r w:rsidR="00277826" w:rsidRPr="00356510">
        <w:rPr>
          <w:rFonts w:cs="Arial"/>
        </w:rPr>
        <w:t xml:space="preserve"> (</w:t>
      </w:r>
      <w:r w:rsidR="0046073E">
        <w:rPr>
          <w:rFonts w:cs="Arial"/>
        </w:rPr>
        <w:t>e</w:t>
      </w:r>
      <w:r w:rsidR="00277826" w:rsidRPr="00356510">
        <w:t>lementary clerical, sales or service work</w:t>
      </w:r>
      <w:r w:rsidR="0046073E">
        <w:t>ers</w:t>
      </w:r>
      <w:r w:rsidR="00277826" w:rsidRPr="00356510">
        <w:t xml:space="preserve"> and labourer or related work</w:t>
      </w:r>
      <w:r w:rsidR="0046073E">
        <w:t>ers</w:t>
      </w:r>
      <w:r w:rsidR="00277826" w:rsidRPr="00356510">
        <w:t>)</w:t>
      </w:r>
      <w:r w:rsidR="00277826" w:rsidRPr="00356510">
        <w:rPr>
          <w:rFonts w:cs="Arial"/>
        </w:rPr>
        <w:t>.</w:t>
      </w:r>
      <w:r w:rsidRPr="00356510">
        <w:rPr>
          <w:rFonts w:cs="Arial"/>
        </w:rPr>
        <w:t xml:space="preserve"> This occupational skill level encompasses unskilled labourer jobs, many of which are allied with particular </w:t>
      </w:r>
      <w:r w:rsidR="0046073E">
        <w:rPr>
          <w:rFonts w:cs="Arial"/>
        </w:rPr>
        <w:t>s</w:t>
      </w:r>
      <w:r w:rsidRPr="00356510">
        <w:rPr>
          <w:rFonts w:cs="Arial"/>
        </w:rPr>
        <w:t xml:space="preserve">kill </w:t>
      </w:r>
      <w:r w:rsidR="0046073E">
        <w:rPr>
          <w:rFonts w:cs="Arial"/>
        </w:rPr>
        <w:t>l</w:t>
      </w:r>
      <w:r w:rsidRPr="00356510">
        <w:rPr>
          <w:rFonts w:cs="Arial"/>
        </w:rPr>
        <w:t xml:space="preserve">evel </w:t>
      </w:r>
      <w:r w:rsidR="0046073E">
        <w:rPr>
          <w:rFonts w:cs="Arial"/>
        </w:rPr>
        <w:t>three</w:t>
      </w:r>
      <w:r w:rsidRPr="00356510">
        <w:rPr>
          <w:rFonts w:cs="Arial"/>
        </w:rPr>
        <w:t xml:space="preserve"> trades jobs (working as trades labourers) and sharing similar chemical exposures</w:t>
      </w:r>
      <w:r w:rsidR="00661BC5" w:rsidRPr="00356510">
        <w:rPr>
          <w:rFonts w:cs="Arial"/>
        </w:rPr>
        <w:t xml:space="preserve">. </w:t>
      </w:r>
    </w:p>
    <w:p w:rsidR="00784786" w:rsidRPr="00356510" w:rsidRDefault="00610AAC" w:rsidP="00784786">
      <w:pPr>
        <w:rPr>
          <w:rFonts w:cs="Arial"/>
        </w:rPr>
      </w:pPr>
      <w:r w:rsidRPr="00356510">
        <w:rPr>
          <w:rFonts w:cs="Arial"/>
          <w:i/>
        </w:rPr>
        <w:t>Cement and lime</w:t>
      </w:r>
      <w:r w:rsidR="00784786" w:rsidRPr="00356510">
        <w:rPr>
          <w:rFonts w:cs="Arial"/>
        </w:rPr>
        <w:t xml:space="preserve"> exposure was strongly associated with workplaces where there were less than five employees</w:t>
      </w:r>
      <w:r w:rsidR="00661BC5" w:rsidRPr="00356510">
        <w:rPr>
          <w:rFonts w:cs="Arial"/>
        </w:rPr>
        <w:t xml:space="preserve">. </w:t>
      </w:r>
      <w:r w:rsidR="003517A5" w:rsidRPr="00356510">
        <w:rPr>
          <w:rFonts w:cs="Arial"/>
          <w:i/>
        </w:rPr>
        <w:t>Paints, varnishes and inks</w:t>
      </w:r>
      <w:r w:rsidR="00784786" w:rsidRPr="00356510">
        <w:rPr>
          <w:rFonts w:cs="Arial"/>
        </w:rPr>
        <w:t xml:space="preserve"> exposure was also associated with the smallest workplace size</w:t>
      </w:r>
      <w:r w:rsidR="00661BC5" w:rsidRPr="00356510">
        <w:rPr>
          <w:rFonts w:cs="Arial"/>
        </w:rPr>
        <w:t xml:space="preserve">. </w:t>
      </w:r>
      <w:r w:rsidR="00784786" w:rsidRPr="00356510">
        <w:rPr>
          <w:rFonts w:cs="Arial"/>
        </w:rPr>
        <w:t>For the jobs most associated with these exposures</w:t>
      </w:r>
      <w:r w:rsidR="00A6243E" w:rsidRPr="00356510">
        <w:rPr>
          <w:rFonts w:cs="Arial"/>
        </w:rPr>
        <w:t>,</w:t>
      </w:r>
      <w:r w:rsidR="00784786" w:rsidRPr="00356510">
        <w:rPr>
          <w:rFonts w:cs="Arial"/>
        </w:rPr>
        <w:t xml:space="preserve"> much of their work is site-based rather than workshop based and workplace size may not be clear-cut</w:t>
      </w:r>
      <w:r w:rsidR="00661BC5" w:rsidRPr="00356510">
        <w:rPr>
          <w:rFonts w:cs="Arial"/>
        </w:rPr>
        <w:t xml:space="preserve">. </w:t>
      </w:r>
      <w:r w:rsidR="00784786" w:rsidRPr="00356510">
        <w:rPr>
          <w:rFonts w:cs="Arial"/>
        </w:rPr>
        <w:t>The building trades are most obviously and commonly associated with cement use and paint use. Bric</w:t>
      </w:r>
      <w:r w:rsidR="0046073E">
        <w:rPr>
          <w:rFonts w:cs="Arial"/>
        </w:rPr>
        <w:t>klayers, concreters and painters</w:t>
      </w:r>
      <w:r w:rsidR="00784786" w:rsidRPr="00356510">
        <w:rPr>
          <w:rFonts w:cs="Arial"/>
        </w:rPr>
        <w:t xml:space="preserve"> </w:t>
      </w:r>
      <w:r w:rsidR="00FF5C94" w:rsidRPr="00356510">
        <w:rPr>
          <w:rFonts w:cs="Arial"/>
        </w:rPr>
        <w:t xml:space="preserve">are often </w:t>
      </w:r>
      <w:r w:rsidR="00784786" w:rsidRPr="00356510">
        <w:rPr>
          <w:rFonts w:cs="Arial"/>
        </w:rPr>
        <w:t xml:space="preserve">organised into small business entities but in many instances these businesses operate as subcontractors on larger building sites. Although the question </w:t>
      </w:r>
      <w:r w:rsidR="00FF5C94" w:rsidRPr="00356510">
        <w:rPr>
          <w:rFonts w:cs="Arial"/>
        </w:rPr>
        <w:t>asked</w:t>
      </w:r>
      <w:r w:rsidR="00784786" w:rsidRPr="00356510">
        <w:rPr>
          <w:rFonts w:cs="Arial"/>
        </w:rPr>
        <w:t xml:space="preserve"> the number of employees </w:t>
      </w:r>
      <w:r w:rsidR="00FF5C94" w:rsidRPr="00356510">
        <w:rPr>
          <w:rFonts w:cs="Arial"/>
        </w:rPr>
        <w:t>in the</w:t>
      </w:r>
      <w:r w:rsidR="00784786" w:rsidRPr="00356510">
        <w:rPr>
          <w:rFonts w:cs="Arial"/>
        </w:rPr>
        <w:t xml:space="preserve"> workplace, respondents in these kinds of jobs may have tended to answer the question in relation to </w:t>
      </w:r>
      <w:r w:rsidR="00FF5C94" w:rsidRPr="00356510">
        <w:rPr>
          <w:rFonts w:cs="Arial"/>
        </w:rPr>
        <w:t>smaller</w:t>
      </w:r>
      <w:r w:rsidR="00784786" w:rsidRPr="00356510">
        <w:rPr>
          <w:rFonts w:cs="Arial"/>
        </w:rPr>
        <w:t xml:space="preserve"> business</w:t>
      </w:r>
      <w:r w:rsidR="00FF5C94" w:rsidRPr="00356510">
        <w:rPr>
          <w:rFonts w:cs="Arial"/>
        </w:rPr>
        <w:t xml:space="preserve"> units</w:t>
      </w:r>
      <w:r w:rsidR="00784786" w:rsidRPr="00356510">
        <w:rPr>
          <w:rFonts w:cs="Arial"/>
        </w:rPr>
        <w:t xml:space="preserve"> with which they were associated, </w:t>
      </w:r>
      <w:r w:rsidR="00FF5C94" w:rsidRPr="00356510">
        <w:rPr>
          <w:rFonts w:cs="Arial"/>
        </w:rPr>
        <w:t>even though their work may have included</w:t>
      </w:r>
      <w:r w:rsidR="00784786" w:rsidRPr="00356510">
        <w:rPr>
          <w:rFonts w:cs="Arial"/>
        </w:rPr>
        <w:t xml:space="preserve"> potentially larger worksite</w:t>
      </w:r>
      <w:r w:rsidR="00FF5C94" w:rsidRPr="00356510">
        <w:rPr>
          <w:rFonts w:cs="Arial"/>
        </w:rPr>
        <w:t>s.</w:t>
      </w:r>
    </w:p>
    <w:p w:rsidR="00784786" w:rsidRPr="00356510" w:rsidRDefault="003517A5" w:rsidP="00784786">
      <w:pPr>
        <w:rPr>
          <w:rFonts w:cs="Arial"/>
        </w:rPr>
      </w:pPr>
      <w:r w:rsidRPr="00356510">
        <w:rPr>
          <w:rFonts w:cs="Arial"/>
          <w:i/>
        </w:rPr>
        <w:t>Organic solvents</w:t>
      </w:r>
      <w:r w:rsidR="00784786" w:rsidRPr="00356510">
        <w:rPr>
          <w:rFonts w:cs="Arial"/>
        </w:rPr>
        <w:t xml:space="preserve"> exposure was associated with large workplaces with workers in the smallest workplaces significantly less likely to </w:t>
      </w:r>
      <w:r w:rsidR="00A6243E" w:rsidRPr="00356510">
        <w:rPr>
          <w:rFonts w:cs="Arial"/>
        </w:rPr>
        <w:t xml:space="preserve">report </w:t>
      </w:r>
      <w:r w:rsidR="00784786" w:rsidRPr="00356510">
        <w:rPr>
          <w:rFonts w:cs="Arial"/>
        </w:rPr>
        <w:t>expos</w:t>
      </w:r>
      <w:r w:rsidR="00A6243E" w:rsidRPr="00356510">
        <w:rPr>
          <w:rFonts w:cs="Arial"/>
        </w:rPr>
        <w:t>ure</w:t>
      </w:r>
      <w:r w:rsidR="00661BC5" w:rsidRPr="00356510">
        <w:rPr>
          <w:rFonts w:cs="Arial"/>
        </w:rPr>
        <w:t xml:space="preserve">. </w:t>
      </w:r>
      <w:r w:rsidR="00784786" w:rsidRPr="00356510">
        <w:rPr>
          <w:rFonts w:cs="Arial"/>
        </w:rPr>
        <w:t xml:space="preserve">This may in part be explained by the abundance of alcohol-based hand sanitisers </w:t>
      </w:r>
      <w:r w:rsidR="00A6243E" w:rsidRPr="00356510">
        <w:rPr>
          <w:rFonts w:cs="Arial"/>
        </w:rPr>
        <w:t xml:space="preserve">reported by </w:t>
      </w:r>
      <w:r w:rsidR="00784786" w:rsidRPr="00356510">
        <w:rPr>
          <w:rFonts w:cs="Arial"/>
        </w:rPr>
        <w:t>healthcare workers, especially nurses and carers</w:t>
      </w:r>
      <w:r w:rsidR="00A6243E" w:rsidRPr="00356510">
        <w:rPr>
          <w:rFonts w:cs="Arial"/>
        </w:rPr>
        <w:t>,</w:t>
      </w:r>
      <w:r w:rsidR="00784786" w:rsidRPr="00356510">
        <w:rPr>
          <w:rFonts w:cs="Arial"/>
        </w:rPr>
        <w:t xml:space="preserve"> who are disproportionately associated with hospitals and other care facilities </w:t>
      </w:r>
      <w:r w:rsidR="00A6243E" w:rsidRPr="00356510">
        <w:rPr>
          <w:rFonts w:cs="Arial"/>
        </w:rPr>
        <w:t>that</w:t>
      </w:r>
      <w:r w:rsidR="00784786" w:rsidRPr="00356510">
        <w:rPr>
          <w:rFonts w:cs="Arial"/>
        </w:rPr>
        <w:t xml:space="preserve"> are typically larger workplaces</w:t>
      </w:r>
      <w:r w:rsidR="00661BC5" w:rsidRPr="00356510">
        <w:rPr>
          <w:rFonts w:cs="Arial"/>
        </w:rPr>
        <w:t xml:space="preserve">. </w:t>
      </w:r>
      <w:r w:rsidR="00784786" w:rsidRPr="00356510">
        <w:rPr>
          <w:rFonts w:cs="Arial"/>
        </w:rPr>
        <w:t xml:space="preserve">Likewise </w:t>
      </w:r>
      <w:r w:rsidR="00095CDE" w:rsidRPr="00356510">
        <w:rPr>
          <w:rFonts w:cs="Arial"/>
          <w:i/>
        </w:rPr>
        <w:t>Bases and alkalis</w:t>
      </w:r>
      <w:r w:rsidR="00784786" w:rsidRPr="00356510">
        <w:rPr>
          <w:rFonts w:cs="Arial"/>
        </w:rPr>
        <w:t xml:space="preserve"> exposure tended to be less associated less with smaller workplaces compared with large ones and this may also reflect frequently reported use of bleach-based cleaners in hospitals and other health-care facilities</w:t>
      </w:r>
      <w:r w:rsidR="00661BC5" w:rsidRPr="00356510">
        <w:rPr>
          <w:rFonts w:cs="Arial"/>
        </w:rPr>
        <w:t xml:space="preserve">. </w:t>
      </w:r>
      <w:r w:rsidR="00784786" w:rsidRPr="00356510">
        <w:rPr>
          <w:rFonts w:cs="Arial"/>
        </w:rPr>
        <w:t xml:space="preserve">The </w:t>
      </w:r>
      <w:r w:rsidR="00EE781A">
        <w:rPr>
          <w:rFonts w:cs="Arial"/>
        </w:rPr>
        <w:t>h</w:t>
      </w:r>
      <w:r w:rsidR="00784786" w:rsidRPr="00356510">
        <w:rPr>
          <w:rFonts w:cs="Arial"/>
        </w:rPr>
        <w:t>ealthcare sector was a specific focus of recruitment</w:t>
      </w:r>
      <w:r w:rsidR="002104D5" w:rsidRPr="00356510">
        <w:rPr>
          <w:rFonts w:cs="Arial"/>
        </w:rPr>
        <w:t xml:space="preserve"> </w:t>
      </w:r>
      <w:r w:rsidR="00641C53" w:rsidRPr="00356510">
        <w:rPr>
          <w:rFonts w:cs="Arial"/>
        </w:rPr>
        <w:t>for the NHEWS</w:t>
      </w:r>
      <w:r w:rsidR="002104D5" w:rsidRPr="00356510">
        <w:rPr>
          <w:rFonts w:cs="Arial"/>
        </w:rPr>
        <w:t xml:space="preserve"> survey</w:t>
      </w:r>
      <w:r w:rsidR="00784786" w:rsidRPr="00356510">
        <w:rPr>
          <w:rFonts w:cs="Arial"/>
        </w:rPr>
        <w:t xml:space="preserve"> and so a disproportionate number of healthcare workers in the sample </w:t>
      </w:r>
      <w:r w:rsidR="00A6243E" w:rsidRPr="00356510">
        <w:rPr>
          <w:rFonts w:cs="Arial"/>
        </w:rPr>
        <w:t>are</w:t>
      </w:r>
      <w:r w:rsidR="00784786" w:rsidRPr="00356510">
        <w:rPr>
          <w:rFonts w:cs="Arial"/>
        </w:rPr>
        <w:t xml:space="preserve"> likely to have </w:t>
      </w:r>
      <w:r w:rsidR="00A6243E" w:rsidRPr="00356510">
        <w:rPr>
          <w:rFonts w:cs="Arial"/>
        </w:rPr>
        <w:t xml:space="preserve">had </w:t>
      </w:r>
      <w:r w:rsidR="00784786" w:rsidRPr="00356510">
        <w:rPr>
          <w:rFonts w:cs="Arial"/>
        </w:rPr>
        <w:t xml:space="preserve">an influence on </w:t>
      </w:r>
      <w:r w:rsidR="00A6243E" w:rsidRPr="00356510">
        <w:rPr>
          <w:rFonts w:cs="Arial"/>
        </w:rPr>
        <w:t xml:space="preserve">the </w:t>
      </w:r>
      <w:r w:rsidR="00784786" w:rsidRPr="00356510">
        <w:rPr>
          <w:rFonts w:cs="Arial"/>
        </w:rPr>
        <w:t>results for cleaning and disinfectant products in general.</w:t>
      </w:r>
    </w:p>
    <w:p w:rsidR="00784786" w:rsidRPr="00356510" w:rsidRDefault="00784786" w:rsidP="00044F55">
      <w:pPr>
        <w:pStyle w:val="Heading3"/>
      </w:pPr>
      <w:bookmarkStart w:id="101" w:name="_Toc309808259"/>
      <w:bookmarkStart w:id="102" w:name="_Toc312075720"/>
      <w:r w:rsidRPr="00356510">
        <w:t>Factors predicting reported provision of controls</w:t>
      </w:r>
      <w:bookmarkEnd w:id="101"/>
      <w:bookmarkEnd w:id="102"/>
    </w:p>
    <w:p w:rsidR="00784786" w:rsidRPr="00356510" w:rsidRDefault="00FF5C94" w:rsidP="00784786">
      <w:pPr>
        <w:rPr>
          <w:rFonts w:cs="Arial"/>
        </w:rPr>
      </w:pPr>
      <w:r w:rsidRPr="00356510">
        <w:rPr>
          <w:rFonts w:cs="Arial"/>
        </w:rPr>
        <w:t>While the provision of controls section was intended to collect data on available control measures</w:t>
      </w:r>
      <w:r w:rsidR="00F550EA">
        <w:rPr>
          <w:rFonts w:cs="Arial"/>
        </w:rPr>
        <w:t xml:space="preserve"> for dermal chemical exposure</w:t>
      </w:r>
      <w:r w:rsidRPr="00356510">
        <w:rPr>
          <w:rFonts w:cs="Arial"/>
        </w:rPr>
        <w:t>, responses to these questions are mediated by worker awareness and this should be borne in mind when interpreting the results</w:t>
      </w:r>
      <w:r w:rsidR="00661BC5" w:rsidRPr="00356510">
        <w:rPr>
          <w:rFonts w:cs="Arial"/>
        </w:rPr>
        <w:t xml:space="preserve">. </w:t>
      </w:r>
      <w:r w:rsidR="00784786" w:rsidRPr="00356510">
        <w:rPr>
          <w:rFonts w:cs="Arial"/>
        </w:rPr>
        <w:t>Certain groups of workers may be more or less aware of certain types of control measures available in their workplaces</w:t>
      </w:r>
      <w:r w:rsidR="00661BC5" w:rsidRPr="00356510">
        <w:rPr>
          <w:rFonts w:cs="Arial"/>
        </w:rPr>
        <w:t xml:space="preserve">. </w:t>
      </w:r>
      <w:r w:rsidR="00784786" w:rsidRPr="00356510">
        <w:rPr>
          <w:rFonts w:cs="Arial"/>
        </w:rPr>
        <w:t>For example</w:t>
      </w:r>
      <w:r w:rsidR="00D901BD" w:rsidRPr="00356510">
        <w:rPr>
          <w:rFonts w:cs="Arial"/>
        </w:rPr>
        <w:t>,</w:t>
      </w:r>
      <w:r w:rsidR="00784786" w:rsidRPr="00356510">
        <w:rPr>
          <w:rFonts w:cs="Arial"/>
        </w:rPr>
        <w:t xml:space="preserve"> workers who are new to the workplace, workers who are highly mobile between employers and workers with highly variable workplaces</w:t>
      </w:r>
      <w:r w:rsidR="00D901BD" w:rsidRPr="00356510">
        <w:rPr>
          <w:rFonts w:cs="Arial"/>
        </w:rPr>
        <w:t>,</w:t>
      </w:r>
      <w:r w:rsidR="00784786" w:rsidRPr="00356510">
        <w:rPr>
          <w:rFonts w:cs="Arial"/>
        </w:rPr>
        <w:t xml:space="preserve"> either because of inherently changeable environments or because the nature of the work takes them to different, unfamiliar sites</w:t>
      </w:r>
      <w:r w:rsidR="00F550EA">
        <w:rPr>
          <w:rFonts w:cs="Arial"/>
        </w:rPr>
        <w:t>,</w:t>
      </w:r>
      <w:r w:rsidRPr="00356510">
        <w:rPr>
          <w:rFonts w:cs="Arial"/>
        </w:rPr>
        <w:t xml:space="preserve"> may be less aware of control measures available</w:t>
      </w:r>
      <w:r w:rsidR="00661BC5" w:rsidRPr="00356510">
        <w:rPr>
          <w:rFonts w:cs="Arial"/>
        </w:rPr>
        <w:t xml:space="preserve">. </w:t>
      </w:r>
      <w:r w:rsidR="00784786" w:rsidRPr="00356510">
        <w:rPr>
          <w:rFonts w:cs="Arial"/>
        </w:rPr>
        <w:t>Conversely sole-traders and small business owners can be expected to have high awareness</w:t>
      </w:r>
      <w:r w:rsidR="00661BC5" w:rsidRPr="00356510">
        <w:rPr>
          <w:rFonts w:cs="Arial"/>
        </w:rPr>
        <w:t xml:space="preserve">. </w:t>
      </w:r>
      <w:r w:rsidRPr="00356510">
        <w:rPr>
          <w:rFonts w:cs="Arial"/>
        </w:rPr>
        <w:t>Because the survey question was limited to control measures low on the hierarchy of controls, the particular controls included</w:t>
      </w:r>
      <w:r w:rsidR="00784786" w:rsidRPr="00356510">
        <w:rPr>
          <w:rFonts w:cs="Arial"/>
        </w:rPr>
        <w:t xml:space="preserve"> </w:t>
      </w:r>
      <w:r w:rsidRPr="00356510">
        <w:rPr>
          <w:rFonts w:cs="Arial"/>
        </w:rPr>
        <w:t>all require at least some worker engagement for effectiveness so the results are likely to be informative even if highly influenced by worker awareness</w:t>
      </w:r>
      <w:r w:rsidR="00661BC5" w:rsidRPr="00356510">
        <w:rPr>
          <w:rFonts w:cs="Arial"/>
        </w:rPr>
        <w:t xml:space="preserve">. </w:t>
      </w:r>
      <w:r w:rsidR="00C558E2" w:rsidRPr="00356510">
        <w:rPr>
          <w:rFonts w:cs="Arial"/>
        </w:rPr>
        <w:t xml:space="preserve">For example, if a worker is unaware of chemical </w:t>
      </w:r>
      <w:r w:rsidR="00F550EA" w:rsidRPr="00356510">
        <w:rPr>
          <w:rFonts w:cs="Arial"/>
        </w:rPr>
        <w:t>labelling</w:t>
      </w:r>
      <w:r w:rsidR="00C558E2" w:rsidRPr="00356510">
        <w:rPr>
          <w:rFonts w:cs="Arial"/>
        </w:rPr>
        <w:t xml:space="preserve"> and warning signs, they are unlikely to have seen these control measures in the workplace. </w:t>
      </w:r>
      <w:r w:rsidR="00784786" w:rsidRPr="00356510">
        <w:rPr>
          <w:rFonts w:cs="Arial"/>
        </w:rPr>
        <w:t xml:space="preserve">Non-provision of controls (ie negative associations in the models) or the </w:t>
      </w:r>
      <w:r w:rsidR="007E6AF2" w:rsidRPr="00356510">
        <w:rPr>
          <w:rFonts w:cs="Arial"/>
        </w:rPr>
        <w:t>prevalence</w:t>
      </w:r>
      <w:r w:rsidR="00784786" w:rsidRPr="00356510">
        <w:rPr>
          <w:rFonts w:cs="Arial"/>
        </w:rPr>
        <w:t xml:space="preserve"> estimates for “no control provision” are of particular interest.</w:t>
      </w:r>
    </w:p>
    <w:p w:rsidR="00F550EA" w:rsidRPr="00356510" w:rsidRDefault="00784786" w:rsidP="00F550EA">
      <w:pPr>
        <w:rPr>
          <w:rFonts w:cs="Arial"/>
        </w:rPr>
      </w:pPr>
      <w:r w:rsidRPr="00356510">
        <w:rPr>
          <w:rFonts w:cs="Arial"/>
        </w:rPr>
        <w:lastRenderedPageBreak/>
        <w:t xml:space="preserve">There were some groups of workers who were less likely to report </w:t>
      </w:r>
      <w:r w:rsidR="00D901BD" w:rsidRPr="00356510">
        <w:rPr>
          <w:rFonts w:cs="Arial"/>
        </w:rPr>
        <w:t xml:space="preserve">the </w:t>
      </w:r>
      <w:r w:rsidRPr="00356510">
        <w:rPr>
          <w:rFonts w:cs="Arial"/>
        </w:rPr>
        <w:t xml:space="preserve">provision of controls. Compared to workers in </w:t>
      </w:r>
      <w:r w:rsidR="00F550EA">
        <w:rPr>
          <w:rFonts w:cs="Arial"/>
        </w:rPr>
        <w:t xml:space="preserve">largest </w:t>
      </w:r>
      <w:r w:rsidRPr="00356510">
        <w:rPr>
          <w:rFonts w:cs="Arial"/>
        </w:rPr>
        <w:t xml:space="preserve">workplaces </w:t>
      </w:r>
      <w:r w:rsidR="00F550EA">
        <w:rPr>
          <w:rFonts w:cs="Arial"/>
        </w:rPr>
        <w:t>(</w:t>
      </w:r>
      <w:r w:rsidR="00D901BD" w:rsidRPr="00356510">
        <w:rPr>
          <w:rFonts w:cs="Arial"/>
        </w:rPr>
        <w:t xml:space="preserve">200 or </w:t>
      </w:r>
      <w:r w:rsidRPr="00356510">
        <w:rPr>
          <w:rFonts w:cs="Arial"/>
        </w:rPr>
        <w:t>more employees</w:t>
      </w:r>
      <w:r w:rsidR="00F550EA">
        <w:rPr>
          <w:rFonts w:cs="Arial"/>
        </w:rPr>
        <w:t>)</w:t>
      </w:r>
      <w:r w:rsidRPr="00356510">
        <w:rPr>
          <w:rFonts w:cs="Arial"/>
        </w:rPr>
        <w:t>, workers in smaller workplaces were less likely to report provision of the range of individual control measures: gloves, protective clothing, labelling and warning signs, washing facilities and training in the safe use of chemicals</w:t>
      </w:r>
      <w:r w:rsidR="00661BC5" w:rsidRPr="00356510">
        <w:rPr>
          <w:rFonts w:cs="Arial"/>
        </w:rPr>
        <w:t xml:space="preserve">. </w:t>
      </w:r>
      <w:r w:rsidR="00F550EA" w:rsidRPr="00356510">
        <w:rPr>
          <w:rFonts w:cs="Arial"/>
        </w:rPr>
        <w:t xml:space="preserve">The industries in which workers were most likely to report that no controls were provided were </w:t>
      </w:r>
      <w:r w:rsidR="00F550EA" w:rsidRPr="00F550EA">
        <w:rPr>
          <w:rFonts w:cs="Arial"/>
        </w:rPr>
        <w:t>Construction and Cultural, recreational</w:t>
      </w:r>
      <w:r w:rsidR="00F550EA">
        <w:rPr>
          <w:rFonts w:cs="Arial"/>
        </w:rPr>
        <w:t xml:space="preserve"> and personal</w:t>
      </w:r>
      <w:r w:rsidR="00F550EA" w:rsidRPr="00F550EA">
        <w:rPr>
          <w:rFonts w:cs="Arial"/>
        </w:rPr>
        <w:t xml:space="preserve"> services.</w:t>
      </w:r>
      <w:r w:rsidR="00F550EA" w:rsidRPr="00356510">
        <w:rPr>
          <w:rFonts w:cs="Arial"/>
        </w:rPr>
        <w:t xml:space="preserve"> This is of concern because both of these industries were characterised by high levels of chemical exposure. </w:t>
      </w:r>
    </w:p>
    <w:p w:rsidR="00784786" w:rsidRPr="00356510" w:rsidRDefault="00784786" w:rsidP="00784786">
      <w:pPr>
        <w:rPr>
          <w:rFonts w:cs="Arial"/>
        </w:rPr>
      </w:pPr>
      <w:r w:rsidRPr="00356510">
        <w:rPr>
          <w:rFonts w:cs="Arial"/>
        </w:rPr>
        <w:t xml:space="preserve">As discussed above, training on </w:t>
      </w:r>
      <w:r w:rsidR="00D901BD" w:rsidRPr="00356510">
        <w:rPr>
          <w:rFonts w:cs="Arial"/>
        </w:rPr>
        <w:t xml:space="preserve">the </w:t>
      </w:r>
      <w:r w:rsidRPr="00356510">
        <w:rPr>
          <w:rFonts w:cs="Arial"/>
        </w:rPr>
        <w:t xml:space="preserve">safe use of chemicals appears to be an under-utilised control measure. </w:t>
      </w:r>
      <w:r w:rsidR="00F550EA">
        <w:rPr>
          <w:rFonts w:cs="Arial"/>
        </w:rPr>
        <w:t>Industries in which workers</w:t>
      </w:r>
      <w:r w:rsidRPr="00F550EA">
        <w:rPr>
          <w:rFonts w:cs="Arial"/>
        </w:rPr>
        <w:t xml:space="preserve"> infrequently reported training provision were Property and business services, </w:t>
      </w:r>
      <w:r w:rsidR="00F550EA">
        <w:rPr>
          <w:rFonts w:cs="Arial"/>
        </w:rPr>
        <w:t xml:space="preserve">Education, </w:t>
      </w:r>
      <w:r w:rsidR="0022757F" w:rsidRPr="00F550EA">
        <w:rPr>
          <w:rFonts w:cs="Arial"/>
        </w:rPr>
        <w:t xml:space="preserve">Cultural, </w:t>
      </w:r>
      <w:r w:rsidRPr="00F550EA">
        <w:rPr>
          <w:rFonts w:cs="Arial"/>
        </w:rPr>
        <w:t>recreational</w:t>
      </w:r>
      <w:r w:rsidR="00F550EA">
        <w:rPr>
          <w:rFonts w:cs="Arial"/>
        </w:rPr>
        <w:t xml:space="preserve"> and personal</w:t>
      </w:r>
      <w:r w:rsidRPr="00F550EA">
        <w:rPr>
          <w:rFonts w:cs="Arial"/>
        </w:rPr>
        <w:t xml:space="preserve"> services and Construction</w:t>
      </w:r>
      <w:r w:rsidR="00661BC5" w:rsidRPr="00F550EA">
        <w:rPr>
          <w:rFonts w:cs="Arial"/>
        </w:rPr>
        <w:t xml:space="preserve">. </w:t>
      </w:r>
      <w:r w:rsidRPr="00F550EA">
        <w:rPr>
          <w:rFonts w:cs="Arial"/>
        </w:rPr>
        <w:t>Exposures in these industries do include significant chemical hazards</w:t>
      </w:r>
      <w:r w:rsidR="00661BC5" w:rsidRPr="00F550EA">
        <w:rPr>
          <w:rFonts w:cs="Arial"/>
        </w:rPr>
        <w:t xml:space="preserve">. </w:t>
      </w:r>
      <w:r w:rsidRPr="00F550EA">
        <w:rPr>
          <w:rFonts w:cs="Arial"/>
        </w:rPr>
        <w:t xml:space="preserve">Education workers reporting chemical exposures were predominantly science and art teachers and the </w:t>
      </w:r>
      <w:r w:rsidR="0022757F" w:rsidRPr="00F550EA">
        <w:rPr>
          <w:rFonts w:cs="Arial"/>
        </w:rPr>
        <w:t xml:space="preserve">Cultural, </w:t>
      </w:r>
      <w:r w:rsidRPr="00F550EA">
        <w:rPr>
          <w:rFonts w:cs="Arial"/>
        </w:rPr>
        <w:t xml:space="preserve">recreational </w:t>
      </w:r>
      <w:r w:rsidR="00F550EA">
        <w:rPr>
          <w:rFonts w:cs="Arial"/>
        </w:rPr>
        <w:t xml:space="preserve">and personal </w:t>
      </w:r>
      <w:r w:rsidRPr="00F550EA">
        <w:rPr>
          <w:rFonts w:cs="Arial"/>
        </w:rPr>
        <w:t>services industry includes beauticians and nail technicians</w:t>
      </w:r>
      <w:r w:rsidR="00661BC5" w:rsidRPr="00F550EA">
        <w:rPr>
          <w:rFonts w:cs="Arial"/>
        </w:rPr>
        <w:t xml:space="preserve">. </w:t>
      </w:r>
      <w:r w:rsidRPr="00F550EA">
        <w:rPr>
          <w:rFonts w:cs="Arial"/>
        </w:rPr>
        <w:t xml:space="preserve">Lack of training </w:t>
      </w:r>
      <w:r w:rsidR="00D901BD" w:rsidRPr="00F550EA">
        <w:rPr>
          <w:rFonts w:cs="Arial"/>
        </w:rPr>
        <w:t xml:space="preserve">provision </w:t>
      </w:r>
      <w:r w:rsidRPr="00F550EA">
        <w:rPr>
          <w:rFonts w:cs="Arial"/>
        </w:rPr>
        <w:t xml:space="preserve">in these industries </w:t>
      </w:r>
      <w:r w:rsidR="00D901BD" w:rsidRPr="00F550EA">
        <w:rPr>
          <w:rFonts w:cs="Arial"/>
        </w:rPr>
        <w:t xml:space="preserve">may </w:t>
      </w:r>
      <w:r w:rsidR="007834E7" w:rsidRPr="00F550EA">
        <w:rPr>
          <w:rFonts w:cs="Arial"/>
        </w:rPr>
        <w:t>be of</w:t>
      </w:r>
      <w:r w:rsidRPr="00F550EA">
        <w:rPr>
          <w:rFonts w:cs="Arial"/>
        </w:rPr>
        <w:t xml:space="preserve"> concern.</w:t>
      </w:r>
    </w:p>
    <w:p w:rsidR="00784786" w:rsidRPr="00356510" w:rsidRDefault="00784786" w:rsidP="00784786">
      <w:pPr>
        <w:rPr>
          <w:rFonts w:cs="Arial"/>
        </w:rPr>
      </w:pPr>
      <w:r w:rsidRPr="00356510">
        <w:rPr>
          <w:rFonts w:cs="Arial"/>
        </w:rPr>
        <w:t xml:space="preserve">Compared to workers in permanent or contract positions, workers in casual or temporary positions were less likely to report </w:t>
      </w:r>
      <w:r w:rsidR="00D901BD" w:rsidRPr="00356510">
        <w:rPr>
          <w:rFonts w:cs="Arial"/>
        </w:rPr>
        <w:t xml:space="preserve">the provision of </w:t>
      </w:r>
      <w:r w:rsidR="00F550EA">
        <w:rPr>
          <w:rFonts w:cs="Arial"/>
        </w:rPr>
        <w:t>l</w:t>
      </w:r>
      <w:r w:rsidRPr="00356510">
        <w:rPr>
          <w:rFonts w:cs="Arial"/>
        </w:rPr>
        <w:t>abelling and warning signs, protective clothing and training on the safe use of chemicals in the workplace</w:t>
      </w:r>
      <w:r w:rsidR="00661BC5" w:rsidRPr="00356510">
        <w:rPr>
          <w:rFonts w:cs="Arial"/>
        </w:rPr>
        <w:t xml:space="preserve">. </w:t>
      </w:r>
      <w:r w:rsidRPr="00356510">
        <w:rPr>
          <w:rFonts w:cs="Arial"/>
        </w:rPr>
        <w:t>This may reflect reduced awareness of available controls among a more transitory segment of the workforce. However</w:t>
      </w:r>
      <w:r w:rsidR="00D901BD" w:rsidRPr="00356510">
        <w:rPr>
          <w:rFonts w:cs="Arial"/>
        </w:rPr>
        <w:t>,</w:t>
      </w:r>
      <w:r w:rsidRPr="00356510">
        <w:rPr>
          <w:rFonts w:cs="Arial"/>
        </w:rPr>
        <w:t xml:space="preserve"> casual employees (especially in the </w:t>
      </w:r>
      <w:r w:rsidRPr="00F550EA">
        <w:rPr>
          <w:rFonts w:cs="Arial"/>
        </w:rPr>
        <w:t xml:space="preserve">Health and </w:t>
      </w:r>
      <w:r w:rsidR="00F550EA">
        <w:rPr>
          <w:rFonts w:cs="Arial"/>
        </w:rPr>
        <w:t>c</w:t>
      </w:r>
      <w:r w:rsidRPr="00F550EA">
        <w:rPr>
          <w:rFonts w:cs="Arial"/>
        </w:rPr>
        <w:t>ommunity services</w:t>
      </w:r>
      <w:r w:rsidRPr="00356510">
        <w:rPr>
          <w:rFonts w:cs="Arial"/>
        </w:rPr>
        <w:t xml:space="preserve"> </w:t>
      </w:r>
      <w:r w:rsidR="00F550EA">
        <w:rPr>
          <w:rFonts w:cs="Arial"/>
        </w:rPr>
        <w:t>industry</w:t>
      </w:r>
      <w:r w:rsidRPr="00356510">
        <w:rPr>
          <w:rFonts w:cs="Arial"/>
        </w:rPr>
        <w:t>) may also include significant numbers of long-term employees, often working variable hours. Future interventions and further research about the relationships between chemical exposure, casual workers and the provision of control measures is also necessary to better understand this phenomenon in Australian workplaces.</w:t>
      </w:r>
    </w:p>
    <w:p w:rsidR="00784786" w:rsidRPr="00356510" w:rsidRDefault="00784786" w:rsidP="00784786">
      <w:pPr>
        <w:rPr>
          <w:rFonts w:cs="Arial"/>
        </w:rPr>
      </w:pPr>
      <w:r w:rsidRPr="00356510">
        <w:rPr>
          <w:rFonts w:cs="Arial"/>
        </w:rPr>
        <w:t>Some of the groups</w:t>
      </w:r>
      <w:r w:rsidR="00D901BD" w:rsidRPr="00356510">
        <w:rPr>
          <w:rFonts w:cs="Arial"/>
        </w:rPr>
        <w:t xml:space="preserve"> of workers</w:t>
      </w:r>
      <w:r w:rsidRPr="00356510">
        <w:rPr>
          <w:rFonts w:cs="Arial"/>
        </w:rPr>
        <w:t xml:space="preserve"> who reported lower provision of controls also reported a higher likelihood of exposure to the most commonly reported chemicals</w:t>
      </w:r>
      <w:r w:rsidR="00661BC5" w:rsidRPr="00356510">
        <w:rPr>
          <w:rFonts w:cs="Arial"/>
        </w:rPr>
        <w:t xml:space="preserve">. </w:t>
      </w:r>
      <w:r w:rsidR="00F550EA">
        <w:rPr>
          <w:rFonts w:cs="Arial"/>
        </w:rPr>
        <w:t>Workers in workplaces with fewer</w:t>
      </w:r>
      <w:r w:rsidRPr="00356510">
        <w:rPr>
          <w:rFonts w:cs="Arial"/>
        </w:rPr>
        <w:t xml:space="preserve"> than five employees were more likely to report exposure to </w:t>
      </w:r>
      <w:r w:rsidR="003517A5" w:rsidRPr="00356510">
        <w:rPr>
          <w:rFonts w:cs="Arial"/>
          <w:i/>
        </w:rPr>
        <w:t>Paints, varnishes and inks</w:t>
      </w:r>
      <w:r w:rsidRPr="00356510">
        <w:rPr>
          <w:rFonts w:cs="Arial"/>
        </w:rPr>
        <w:t xml:space="preserve"> as well as </w:t>
      </w:r>
      <w:r w:rsidR="00610AAC" w:rsidRPr="00356510">
        <w:rPr>
          <w:rFonts w:cs="Arial"/>
          <w:i/>
        </w:rPr>
        <w:t>Cement and lime</w:t>
      </w:r>
      <w:r w:rsidR="00661BC5" w:rsidRPr="00356510">
        <w:rPr>
          <w:rFonts w:cs="Arial"/>
        </w:rPr>
        <w:t xml:space="preserve">. </w:t>
      </w:r>
      <w:r w:rsidRPr="00356510">
        <w:rPr>
          <w:rFonts w:cs="Arial"/>
        </w:rPr>
        <w:t>Of particular concern</w:t>
      </w:r>
      <w:r w:rsidR="00D901BD" w:rsidRPr="00356510">
        <w:rPr>
          <w:rFonts w:cs="Arial"/>
        </w:rPr>
        <w:t xml:space="preserve"> is the finding that</w:t>
      </w:r>
      <w:r w:rsidRPr="00356510">
        <w:rPr>
          <w:rFonts w:cs="Arial"/>
        </w:rPr>
        <w:t xml:space="preserve"> these workers were also almost five times </w:t>
      </w:r>
      <w:r w:rsidR="00550BFC">
        <w:rPr>
          <w:rFonts w:cs="Arial"/>
        </w:rPr>
        <w:t>more</w:t>
      </w:r>
      <w:r w:rsidRPr="00356510">
        <w:rPr>
          <w:rFonts w:cs="Arial"/>
        </w:rPr>
        <w:t xml:space="preserve"> likely</w:t>
      </w:r>
      <w:r w:rsidR="00550BFC">
        <w:rPr>
          <w:rFonts w:cs="Arial"/>
        </w:rPr>
        <w:t xml:space="preserve"> than workers from the largest workplaces</w:t>
      </w:r>
      <w:r w:rsidRPr="00356510">
        <w:rPr>
          <w:rFonts w:cs="Arial"/>
        </w:rPr>
        <w:t xml:space="preserve"> to report no provision of controls. </w:t>
      </w:r>
      <w:r w:rsidR="00D901BD" w:rsidRPr="00356510">
        <w:rPr>
          <w:rFonts w:cs="Arial"/>
        </w:rPr>
        <w:t>The p</w:t>
      </w:r>
      <w:r w:rsidRPr="00356510">
        <w:rPr>
          <w:rFonts w:cs="Arial"/>
        </w:rPr>
        <w:t xml:space="preserve">rovision of controls in small workplaces and small trades businesses </w:t>
      </w:r>
      <w:r w:rsidR="00D901BD" w:rsidRPr="00356510">
        <w:rPr>
          <w:rFonts w:cs="Arial"/>
        </w:rPr>
        <w:t xml:space="preserve">is </w:t>
      </w:r>
      <w:r w:rsidRPr="00356510">
        <w:rPr>
          <w:rFonts w:cs="Arial"/>
        </w:rPr>
        <w:t xml:space="preserve">an important target for </w:t>
      </w:r>
      <w:r w:rsidR="00D901BD" w:rsidRPr="00356510">
        <w:rPr>
          <w:rFonts w:cs="Arial"/>
        </w:rPr>
        <w:t xml:space="preserve">policy and </w:t>
      </w:r>
      <w:r w:rsidRPr="00356510">
        <w:rPr>
          <w:rFonts w:cs="Arial"/>
        </w:rPr>
        <w:t>further research</w:t>
      </w:r>
      <w:r w:rsidR="00661BC5" w:rsidRPr="00356510">
        <w:rPr>
          <w:rFonts w:cs="Arial"/>
        </w:rPr>
        <w:t xml:space="preserve">. </w:t>
      </w:r>
      <w:r w:rsidR="00D901BD" w:rsidRPr="00356510">
        <w:rPr>
          <w:rFonts w:cs="Arial"/>
        </w:rPr>
        <w:t>Chemical e</w:t>
      </w:r>
      <w:r w:rsidRPr="00356510">
        <w:rPr>
          <w:rFonts w:cs="Arial"/>
        </w:rPr>
        <w:t xml:space="preserve">xposures in these contexts </w:t>
      </w:r>
      <w:r w:rsidR="00633BAC" w:rsidRPr="00356510">
        <w:rPr>
          <w:rFonts w:cs="Arial"/>
        </w:rPr>
        <w:t>may</w:t>
      </w:r>
      <w:r w:rsidRPr="00356510">
        <w:rPr>
          <w:rFonts w:cs="Arial"/>
        </w:rPr>
        <w:t xml:space="preserve"> be better managed through increased provision of control measures and </w:t>
      </w:r>
      <w:r w:rsidR="00633BAC" w:rsidRPr="00356510">
        <w:rPr>
          <w:rFonts w:cs="Arial"/>
        </w:rPr>
        <w:t xml:space="preserve">the </w:t>
      </w:r>
      <w:r w:rsidRPr="00356510">
        <w:rPr>
          <w:rFonts w:cs="Arial"/>
        </w:rPr>
        <w:t xml:space="preserve">potential benefits for </w:t>
      </w:r>
      <w:r w:rsidR="00633BAC" w:rsidRPr="00356510">
        <w:rPr>
          <w:rFonts w:cs="Arial"/>
        </w:rPr>
        <w:t xml:space="preserve">these </w:t>
      </w:r>
      <w:r w:rsidRPr="00356510">
        <w:rPr>
          <w:rFonts w:cs="Arial"/>
        </w:rPr>
        <w:t>workers may be substantial.</w:t>
      </w:r>
    </w:p>
    <w:p w:rsidR="00784786" w:rsidRPr="00356510" w:rsidRDefault="00784786" w:rsidP="00044F55">
      <w:pPr>
        <w:pStyle w:val="Heading2"/>
      </w:pPr>
      <w:bookmarkStart w:id="103" w:name="_Toc309808260"/>
      <w:bookmarkStart w:id="104" w:name="_Toc312075721"/>
      <w:r w:rsidRPr="00356510">
        <w:t>Strengths and weaknesses</w:t>
      </w:r>
      <w:bookmarkEnd w:id="103"/>
      <w:bookmarkEnd w:id="104"/>
    </w:p>
    <w:p w:rsidR="00784786" w:rsidRPr="00356510" w:rsidRDefault="00913310" w:rsidP="00784786">
      <w:pPr>
        <w:rPr>
          <w:rFonts w:cs="Arial"/>
        </w:rPr>
      </w:pPr>
      <w:bookmarkStart w:id="105" w:name="_GoBack"/>
      <w:bookmarkEnd w:id="105"/>
      <w:r w:rsidRPr="00356510">
        <w:rPr>
          <w:rFonts w:cs="Arial"/>
        </w:rPr>
        <w:t>Participants in</w:t>
      </w:r>
      <w:r w:rsidR="00784786" w:rsidRPr="00356510">
        <w:rPr>
          <w:rFonts w:cs="Arial"/>
        </w:rPr>
        <w:t xml:space="preserve"> the NHEWS survey typically reported multiple chemical exposures, but duration of exposure was only asked once</w:t>
      </w:r>
      <w:r w:rsidR="00FE12C2" w:rsidRPr="00356510">
        <w:rPr>
          <w:rFonts w:cs="Arial"/>
        </w:rPr>
        <w:t xml:space="preserve"> and</w:t>
      </w:r>
      <w:r w:rsidR="00784786" w:rsidRPr="00356510">
        <w:rPr>
          <w:rFonts w:cs="Arial"/>
        </w:rPr>
        <w:t xml:space="preserve"> in relation to all chemical exposures. </w:t>
      </w:r>
      <w:r w:rsidRPr="00356510">
        <w:rPr>
          <w:rFonts w:cs="Arial"/>
        </w:rPr>
        <w:t>Therefore, i</w:t>
      </w:r>
      <w:r w:rsidR="00784786" w:rsidRPr="00356510">
        <w:rPr>
          <w:rFonts w:cs="Arial"/>
        </w:rPr>
        <w:t xml:space="preserve">t </w:t>
      </w:r>
      <w:r w:rsidRPr="00356510">
        <w:rPr>
          <w:rFonts w:cs="Arial"/>
        </w:rPr>
        <w:t>wa</w:t>
      </w:r>
      <w:r w:rsidR="00784786" w:rsidRPr="00356510">
        <w:rPr>
          <w:rFonts w:cs="Arial"/>
        </w:rPr>
        <w:t xml:space="preserve">s not possible to </w:t>
      </w:r>
      <w:r w:rsidRPr="00356510">
        <w:rPr>
          <w:rFonts w:cs="Arial"/>
        </w:rPr>
        <w:t xml:space="preserve">examine </w:t>
      </w:r>
      <w:r w:rsidR="008B64A7">
        <w:rPr>
          <w:rFonts w:cs="Arial"/>
        </w:rPr>
        <w:t xml:space="preserve">the </w:t>
      </w:r>
      <w:r w:rsidR="00784786" w:rsidRPr="00356510">
        <w:rPr>
          <w:rFonts w:cs="Arial"/>
        </w:rPr>
        <w:t xml:space="preserve">duration of </w:t>
      </w:r>
      <w:r w:rsidR="00FF5C94" w:rsidRPr="00356510">
        <w:rPr>
          <w:rFonts w:cs="Arial"/>
        </w:rPr>
        <w:t>exposure to specific chemicals.</w:t>
      </w:r>
      <w:r w:rsidR="00784786" w:rsidRPr="00356510">
        <w:rPr>
          <w:rFonts w:cs="Arial"/>
        </w:rPr>
        <w:t xml:space="preserve"> Duration of exposure is of vital importance for chemical exposure, as the relationship between exposure time and health outcomes differs with specific chemical exposures</w:t>
      </w:r>
      <w:r w:rsidR="00FF5C94" w:rsidRPr="00356510">
        <w:rPr>
          <w:rFonts w:cs="Arial"/>
        </w:rPr>
        <w:t xml:space="preserve"> and particular health outcomes.</w:t>
      </w:r>
      <w:r w:rsidR="00784786" w:rsidRPr="00356510">
        <w:rPr>
          <w:rFonts w:cs="Arial"/>
        </w:rPr>
        <w:t xml:space="preserve"> Future </w:t>
      </w:r>
      <w:r w:rsidR="00FE12C2" w:rsidRPr="00356510">
        <w:rPr>
          <w:rFonts w:cs="Arial"/>
        </w:rPr>
        <w:t>surveys</w:t>
      </w:r>
      <w:r w:rsidR="00FF5C94" w:rsidRPr="00356510">
        <w:rPr>
          <w:rFonts w:cs="Arial"/>
        </w:rPr>
        <w:t xml:space="preserve"> should give</w:t>
      </w:r>
      <w:r w:rsidR="00784786" w:rsidRPr="00356510">
        <w:rPr>
          <w:rFonts w:cs="Arial"/>
        </w:rPr>
        <w:t xml:space="preserve"> consideration to </w:t>
      </w:r>
      <w:r w:rsidR="00FE12C2" w:rsidRPr="00356510">
        <w:rPr>
          <w:rFonts w:cs="Arial"/>
        </w:rPr>
        <w:t>collecting information that better integrates information on specific chemicals worked with and the length of time they are used.</w:t>
      </w:r>
    </w:p>
    <w:p w:rsidR="00784786" w:rsidRPr="00356510" w:rsidRDefault="00784786" w:rsidP="00784786">
      <w:pPr>
        <w:rPr>
          <w:rFonts w:cs="Arial"/>
        </w:rPr>
      </w:pPr>
      <w:r w:rsidRPr="00356510">
        <w:rPr>
          <w:rFonts w:cs="Arial"/>
        </w:rPr>
        <w:t>Due to the unstructured nature of the question about specific exposures and the self-reported nature of the data, the data may be subject to some degree of misclassification</w:t>
      </w:r>
      <w:r w:rsidR="00661BC5" w:rsidRPr="00356510">
        <w:rPr>
          <w:rFonts w:cs="Arial"/>
        </w:rPr>
        <w:t xml:space="preserve">. </w:t>
      </w:r>
      <w:r w:rsidRPr="00356510">
        <w:rPr>
          <w:rFonts w:cs="Arial"/>
        </w:rPr>
        <w:t>However, the classification coding was undertaken by specialist occupational health researchers with wide experience of occupational exposures in different workplaces and also experienced in coding imperfect data</w:t>
      </w:r>
      <w:r w:rsidR="00661BC5" w:rsidRPr="00356510">
        <w:rPr>
          <w:rFonts w:cs="Arial"/>
        </w:rPr>
        <w:t xml:space="preserve">. </w:t>
      </w:r>
      <w:r w:rsidRPr="00356510">
        <w:rPr>
          <w:rFonts w:cs="Arial"/>
        </w:rPr>
        <w:t>The coders approached the classification task conservatively and systematically and therefore misclassification is likely to be minimal.</w:t>
      </w:r>
    </w:p>
    <w:p w:rsidR="00784786" w:rsidRPr="00356510" w:rsidRDefault="00784786" w:rsidP="00784786">
      <w:pPr>
        <w:rPr>
          <w:rFonts w:cs="Arial"/>
        </w:rPr>
      </w:pPr>
      <w:r w:rsidRPr="00356510">
        <w:rPr>
          <w:rFonts w:cs="Arial"/>
        </w:rPr>
        <w:t>Another important consideration with the exposure data is that it may be affected by the recall bias of the individual study participants. This recall bias may also be different with different chemical exposures</w:t>
      </w:r>
      <w:r w:rsidR="00913310" w:rsidRPr="00356510">
        <w:rPr>
          <w:rFonts w:cs="Arial"/>
        </w:rPr>
        <w:t>.</w:t>
      </w:r>
      <w:r w:rsidRPr="00356510">
        <w:rPr>
          <w:rFonts w:cs="Arial"/>
        </w:rPr>
        <w:t xml:space="preserve"> Also, it is plausible that particular groups of workers are better </w:t>
      </w:r>
      <w:r w:rsidRPr="00356510">
        <w:rPr>
          <w:rFonts w:cs="Arial"/>
        </w:rPr>
        <w:lastRenderedPageBreak/>
        <w:t>informed about their exposures and therefore better able to describe them accurately and specifically</w:t>
      </w:r>
      <w:r w:rsidR="00661BC5" w:rsidRPr="00356510">
        <w:rPr>
          <w:rFonts w:cs="Arial"/>
        </w:rPr>
        <w:t xml:space="preserve">. </w:t>
      </w:r>
      <w:r w:rsidRPr="00356510">
        <w:rPr>
          <w:rFonts w:cs="Arial"/>
        </w:rPr>
        <w:t>For example higher skilled workers or workers with more experience</w:t>
      </w:r>
      <w:r w:rsidR="00FF5C94" w:rsidRPr="00356510">
        <w:rPr>
          <w:rFonts w:cs="Arial"/>
        </w:rPr>
        <w:t xml:space="preserve"> or particular technical knowledge</w:t>
      </w:r>
      <w:r w:rsidRPr="00356510">
        <w:rPr>
          <w:rFonts w:cs="Arial"/>
        </w:rPr>
        <w:t xml:space="preserve"> may be more knowledgeable about products they use and are exposed to</w:t>
      </w:r>
      <w:r w:rsidR="00661BC5" w:rsidRPr="00356510">
        <w:rPr>
          <w:rFonts w:cs="Arial"/>
        </w:rPr>
        <w:t xml:space="preserve">. </w:t>
      </w:r>
      <w:r w:rsidRPr="00356510">
        <w:rPr>
          <w:rFonts w:cs="Arial"/>
        </w:rPr>
        <w:t xml:space="preserve">It was outside the scope of the NHEWS survey to perform objective exposure assessment but some form of validation of the self-reported exposure data to </w:t>
      </w:r>
      <w:r w:rsidR="00FF5C94" w:rsidRPr="00356510">
        <w:rPr>
          <w:rFonts w:cs="Arial"/>
        </w:rPr>
        <w:t>assess</w:t>
      </w:r>
      <w:r w:rsidRPr="00356510">
        <w:rPr>
          <w:rFonts w:cs="Arial"/>
        </w:rPr>
        <w:t xml:space="preserve"> its </w:t>
      </w:r>
      <w:r w:rsidR="00FF5C94" w:rsidRPr="00356510">
        <w:rPr>
          <w:rFonts w:cs="Arial"/>
        </w:rPr>
        <w:t xml:space="preserve">likely </w:t>
      </w:r>
      <w:r w:rsidRPr="00356510">
        <w:rPr>
          <w:rFonts w:cs="Arial"/>
        </w:rPr>
        <w:t>accuracy would be highly informative for future surveys, as well as for interpretation of the present dataset.</w:t>
      </w:r>
    </w:p>
    <w:p w:rsidR="00784786" w:rsidRPr="00356510" w:rsidRDefault="00784786" w:rsidP="00784786">
      <w:pPr>
        <w:rPr>
          <w:rFonts w:cs="Arial"/>
        </w:rPr>
      </w:pPr>
      <w:r w:rsidRPr="00356510">
        <w:rPr>
          <w:rFonts w:cs="Arial"/>
        </w:rPr>
        <w:t xml:space="preserve">The number of participants surveyed </w:t>
      </w:r>
      <w:r w:rsidR="00913310" w:rsidRPr="00356510">
        <w:rPr>
          <w:rFonts w:cs="Arial"/>
        </w:rPr>
        <w:t xml:space="preserve">in </w:t>
      </w:r>
      <w:r w:rsidRPr="00356510">
        <w:rPr>
          <w:rFonts w:cs="Arial"/>
        </w:rPr>
        <w:t xml:space="preserve">the NHEWS </w:t>
      </w:r>
      <w:r w:rsidR="00913310" w:rsidRPr="00356510">
        <w:rPr>
          <w:rFonts w:cs="Arial"/>
        </w:rPr>
        <w:t>study was</w:t>
      </w:r>
      <w:r w:rsidRPr="00356510">
        <w:rPr>
          <w:rFonts w:cs="Arial"/>
        </w:rPr>
        <w:t xml:space="preserve"> large and this </w:t>
      </w:r>
      <w:r w:rsidR="00913310" w:rsidRPr="00356510">
        <w:rPr>
          <w:rFonts w:cs="Arial"/>
        </w:rPr>
        <w:t xml:space="preserve">conveys </w:t>
      </w:r>
      <w:r w:rsidRPr="00356510">
        <w:rPr>
          <w:rFonts w:cs="Arial"/>
        </w:rPr>
        <w:t>comparatively high statistical power to detect patterns</w:t>
      </w:r>
      <w:r w:rsidR="00661BC5" w:rsidRPr="00356510">
        <w:rPr>
          <w:rFonts w:cs="Arial"/>
        </w:rPr>
        <w:t xml:space="preserve">. </w:t>
      </w:r>
      <w:r w:rsidRPr="00356510">
        <w:rPr>
          <w:rFonts w:cs="Arial"/>
        </w:rPr>
        <w:t>The large sample size also enables examination of certain exposures which are particular to small portions of the workforce, particularly in the industries targeted in the stratified sampling strategy</w:t>
      </w:r>
      <w:r w:rsidR="00661BC5" w:rsidRPr="00356510">
        <w:rPr>
          <w:rFonts w:cs="Arial"/>
        </w:rPr>
        <w:t xml:space="preserve">. </w:t>
      </w:r>
      <w:r w:rsidRPr="00356510">
        <w:rPr>
          <w:rFonts w:cs="Arial"/>
        </w:rPr>
        <w:t>The sampling frame has also captured certain typically hard-to reach workers such as casuals and those in smaller workplaces. Participation of these workers is often under-represented in workplace-based occupational health studies because of the practical difficulties such as gaining access to multiple small businesses.</w:t>
      </w:r>
    </w:p>
    <w:p w:rsidR="00784786" w:rsidRPr="00356510" w:rsidRDefault="00784786" w:rsidP="00784786">
      <w:pPr>
        <w:rPr>
          <w:rFonts w:cs="Arial"/>
        </w:rPr>
      </w:pPr>
      <w:r w:rsidRPr="00356510">
        <w:rPr>
          <w:rFonts w:cs="Arial"/>
        </w:rPr>
        <w:t>The semi-stratified sample selection by priority industries is both a strength and a weakness</w:t>
      </w:r>
      <w:r w:rsidR="00661BC5" w:rsidRPr="00356510">
        <w:rPr>
          <w:rFonts w:cs="Arial"/>
        </w:rPr>
        <w:t xml:space="preserve">. </w:t>
      </w:r>
      <w:r w:rsidRPr="00356510">
        <w:rPr>
          <w:rFonts w:cs="Arial"/>
        </w:rPr>
        <w:t xml:space="preserve">It limits </w:t>
      </w:r>
      <w:r w:rsidR="008B64A7">
        <w:rPr>
          <w:rFonts w:cs="Arial"/>
        </w:rPr>
        <w:t xml:space="preserve">the </w:t>
      </w:r>
      <w:r w:rsidRPr="00356510">
        <w:rPr>
          <w:rFonts w:cs="Arial"/>
        </w:rPr>
        <w:t xml:space="preserve">generalisability of results to the Australian population, although this is likely less the case for results within </w:t>
      </w:r>
      <w:r w:rsidR="00C558E2" w:rsidRPr="00356510">
        <w:rPr>
          <w:rFonts w:cs="Arial"/>
        </w:rPr>
        <w:t xml:space="preserve">the </w:t>
      </w:r>
      <w:r w:rsidR="00806E6F">
        <w:rPr>
          <w:rFonts w:cs="Arial"/>
        </w:rPr>
        <w:t>p</w:t>
      </w:r>
      <w:r w:rsidR="00C558E2" w:rsidRPr="00356510">
        <w:rPr>
          <w:rFonts w:cs="Arial"/>
        </w:rPr>
        <w:t xml:space="preserve">riority </w:t>
      </w:r>
      <w:r w:rsidRPr="00356510">
        <w:rPr>
          <w:rFonts w:cs="Arial"/>
        </w:rPr>
        <w:t>industry groups</w:t>
      </w:r>
      <w:r w:rsidR="00661BC5" w:rsidRPr="00356510">
        <w:rPr>
          <w:rFonts w:cs="Arial"/>
        </w:rPr>
        <w:t xml:space="preserve">. </w:t>
      </w:r>
      <w:r w:rsidRPr="00356510">
        <w:rPr>
          <w:rFonts w:cs="Arial"/>
        </w:rPr>
        <w:t xml:space="preserve">However, it does potentially enable enhanced insight into the industries which </w:t>
      </w:r>
      <w:r w:rsidR="00806E6F">
        <w:rPr>
          <w:rFonts w:cs="Arial"/>
        </w:rPr>
        <w:t xml:space="preserve">were selectively over-sampled: </w:t>
      </w:r>
      <w:r w:rsidRPr="00806E6F">
        <w:rPr>
          <w:rFonts w:cs="Arial"/>
          <w:lang w:bidi="en-US"/>
        </w:rPr>
        <w:t>Manufacturing, Transport and storage, Construction, Health and community services and Agriculture, forestry and fishing</w:t>
      </w:r>
      <w:r w:rsidRPr="00356510">
        <w:rPr>
          <w:rFonts w:cs="Arial"/>
          <w:lang w:bidi="en-US"/>
        </w:rPr>
        <w:t>.</w:t>
      </w:r>
      <w:r w:rsidRPr="00356510">
        <w:rPr>
          <w:rFonts w:cs="Arial"/>
        </w:rPr>
        <w:t xml:space="preserve"> </w:t>
      </w:r>
    </w:p>
    <w:p w:rsidR="00784786" w:rsidRPr="00356510" w:rsidRDefault="00784786" w:rsidP="00044F55">
      <w:pPr>
        <w:pStyle w:val="Heading2"/>
        <w:rPr>
          <w:i/>
        </w:rPr>
      </w:pPr>
      <w:bookmarkStart w:id="106" w:name="_Toc309808261"/>
      <w:bookmarkStart w:id="107" w:name="_Toc312075722"/>
      <w:r w:rsidRPr="00356510">
        <w:t>Policy implications</w:t>
      </w:r>
      <w:bookmarkEnd w:id="106"/>
      <w:bookmarkEnd w:id="107"/>
    </w:p>
    <w:p w:rsidR="00784786" w:rsidRPr="00356510" w:rsidRDefault="00784786" w:rsidP="00FF5C94">
      <w:pPr>
        <w:rPr>
          <w:rFonts w:cs="Arial"/>
        </w:rPr>
      </w:pPr>
      <w:r w:rsidRPr="00356510">
        <w:rPr>
          <w:rFonts w:cs="Arial"/>
        </w:rPr>
        <w:t>From the raw verbatim data collected from the NHEWS survey participants, it is evident that a number of workers who reported working in occupations known to have high exposure to chemicals, did not report exposure to these chemicals</w:t>
      </w:r>
      <w:r w:rsidR="00661BC5" w:rsidRPr="00356510">
        <w:rPr>
          <w:rFonts w:cs="Arial"/>
        </w:rPr>
        <w:t xml:space="preserve">. </w:t>
      </w:r>
      <w:r w:rsidRPr="00356510">
        <w:rPr>
          <w:rFonts w:cs="Arial"/>
        </w:rPr>
        <w:t>As an example</w:t>
      </w:r>
      <w:r w:rsidR="00806E6F">
        <w:rPr>
          <w:rFonts w:cs="Arial"/>
        </w:rPr>
        <w:t>,</w:t>
      </w:r>
      <w:r w:rsidRPr="00356510">
        <w:rPr>
          <w:rFonts w:cs="Arial"/>
        </w:rPr>
        <w:t xml:space="preserve"> none of the beauticians/nail technicians participating in NHEWS reported exposure to acrylates or solvents</w:t>
      </w:r>
      <w:r w:rsidR="00661BC5" w:rsidRPr="00356510">
        <w:rPr>
          <w:rFonts w:cs="Arial"/>
        </w:rPr>
        <w:t xml:space="preserve">. </w:t>
      </w:r>
      <w:r w:rsidRPr="00356510">
        <w:rPr>
          <w:rFonts w:cs="Arial"/>
        </w:rPr>
        <w:t>Closer examination of the raw NHEWS data and comparison with objective occupational data from a source such as a Job Exposure Matrix would provide useful information about the extent to which workers in specific contexts have awareness of the chemicals to which they are exposed</w:t>
      </w:r>
      <w:r w:rsidR="00661BC5" w:rsidRPr="00356510">
        <w:rPr>
          <w:rFonts w:cs="Arial"/>
        </w:rPr>
        <w:t xml:space="preserve">. </w:t>
      </w:r>
      <w:r w:rsidRPr="00356510">
        <w:rPr>
          <w:rFonts w:cs="Arial"/>
        </w:rPr>
        <w:t>Validation of the self-reported exposure data is important for understanding its accuracy and would also provide insight into patterns of exposure reporting among Australian workers.</w:t>
      </w:r>
    </w:p>
    <w:p w:rsidR="00784786" w:rsidRPr="00356510" w:rsidRDefault="00784786" w:rsidP="00FF5C94">
      <w:pPr>
        <w:rPr>
          <w:rFonts w:cs="Arial"/>
        </w:rPr>
      </w:pPr>
      <w:r w:rsidRPr="00356510">
        <w:rPr>
          <w:rFonts w:cs="Arial"/>
        </w:rPr>
        <w:t>Training in the safe use of chemicals appears to be under-utilised as a control measure for chemical exposure. Of particular concern are temporary and casual employees who were less likely to be provided with training than permanent or contract employees</w:t>
      </w:r>
      <w:r w:rsidR="00661BC5" w:rsidRPr="00356510">
        <w:rPr>
          <w:rFonts w:cs="Arial"/>
        </w:rPr>
        <w:t xml:space="preserve">. </w:t>
      </w:r>
      <w:r w:rsidRPr="00356510">
        <w:rPr>
          <w:rFonts w:cs="Arial"/>
        </w:rPr>
        <w:t>Further research in this group with a view to intervention is warranted, particularly given the apparent trend towards increasing casual employment and labour hire.</w:t>
      </w:r>
    </w:p>
    <w:p w:rsidR="00784786" w:rsidRPr="00356510" w:rsidRDefault="00784786" w:rsidP="00FF5C94">
      <w:pPr>
        <w:rPr>
          <w:rFonts w:cs="Arial"/>
        </w:rPr>
      </w:pPr>
      <w:r w:rsidRPr="00356510">
        <w:rPr>
          <w:rFonts w:cs="Arial"/>
        </w:rPr>
        <w:t>Targeted policies and education packages are required to guide intervention on exposure to chemicals within specific workplace contexts</w:t>
      </w:r>
      <w:r w:rsidR="00661BC5" w:rsidRPr="00356510">
        <w:rPr>
          <w:rFonts w:cs="Arial"/>
        </w:rPr>
        <w:t xml:space="preserve">. </w:t>
      </w:r>
      <w:r w:rsidRPr="00356510">
        <w:rPr>
          <w:rFonts w:cs="Arial"/>
        </w:rPr>
        <w:t>Workers in workplaces with fewer employees were more likely to report they were not provided with any controls in their workplaces</w:t>
      </w:r>
      <w:r w:rsidR="00661BC5" w:rsidRPr="00356510">
        <w:rPr>
          <w:rFonts w:cs="Arial"/>
        </w:rPr>
        <w:t xml:space="preserve">. </w:t>
      </w:r>
      <w:r w:rsidRPr="00356510">
        <w:rPr>
          <w:rFonts w:cs="Arial"/>
        </w:rPr>
        <w:t xml:space="preserve">These workers were also more likely to report exposure to </w:t>
      </w:r>
      <w:r w:rsidR="003517A5" w:rsidRPr="00356510">
        <w:rPr>
          <w:rFonts w:cs="Arial"/>
          <w:i/>
        </w:rPr>
        <w:t>Paints, varnishes and inks</w:t>
      </w:r>
      <w:r w:rsidRPr="00356510">
        <w:rPr>
          <w:rFonts w:cs="Arial"/>
        </w:rPr>
        <w:t xml:space="preserve"> and </w:t>
      </w:r>
      <w:r w:rsidR="00610AAC" w:rsidRPr="00356510">
        <w:rPr>
          <w:rFonts w:cs="Arial"/>
          <w:i/>
        </w:rPr>
        <w:t>Cement and lime</w:t>
      </w:r>
      <w:r w:rsidR="00661BC5" w:rsidRPr="00356510">
        <w:rPr>
          <w:rFonts w:cs="Arial"/>
        </w:rPr>
        <w:t xml:space="preserve">. </w:t>
      </w:r>
      <w:r w:rsidRPr="00356510">
        <w:rPr>
          <w:rFonts w:cs="Arial"/>
        </w:rPr>
        <w:t xml:space="preserve">Policy suitable to the context of small businesses, particularly within the </w:t>
      </w:r>
      <w:r w:rsidRPr="00474FFF">
        <w:rPr>
          <w:rFonts w:cs="Arial"/>
        </w:rPr>
        <w:t xml:space="preserve">Construction </w:t>
      </w:r>
      <w:r w:rsidRPr="00356510">
        <w:rPr>
          <w:rFonts w:cs="Arial"/>
        </w:rPr>
        <w:t xml:space="preserve">industry is urgently required. </w:t>
      </w:r>
    </w:p>
    <w:p w:rsidR="00784786" w:rsidRPr="00356510" w:rsidRDefault="00784786" w:rsidP="00044F55">
      <w:pPr>
        <w:pStyle w:val="Heading2"/>
        <w:rPr>
          <w:i/>
        </w:rPr>
      </w:pPr>
      <w:bookmarkStart w:id="108" w:name="_Toc309808262"/>
      <w:bookmarkStart w:id="109" w:name="_Toc312075723"/>
      <w:r w:rsidRPr="00356510">
        <w:t>Further research</w:t>
      </w:r>
      <w:bookmarkEnd w:id="108"/>
      <w:bookmarkEnd w:id="109"/>
    </w:p>
    <w:p w:rsidR="00C558E2" w:rsidRPr="00356510" w:rsidRDefault="00784786" w:rsidP="00FF5C94">
      <w:pPr>
        <w:rPr>
          <w:rFonts w:cs="Arial"/>
        </w:rPr>
      </w:pPr>
      <w:r w:rsidRPr="00356510">
        <w:rPr>
          <w:rFonts w:cs="Arial"/>
        </w:rPr>
        <w:t>Validation of the NHEWS self-reported data would be a worthwhile avenue of research. A number of methods might be used for this validation including expert assessment of the raw NHEWS data by an experienced occupational hygienist or expert exposure panel, validation by occupation/industry using a Job Exposure Matrix approach or direct observ</w:t>
      </w:r>
      <w:r w:rsidR="00C558E2" w:rsidRPr="00356510">
        <w:rPr>
          <w:rFonts w:cs="Arial"/>
        </w:rPr>
        <w:t>ation/measurement in workplaces</w:t>
      </w:r>
      <w:r w:rsidR="00EE781A">
        <w:rPr>
          <w:rFonts w:cs="Arial"/>
        </w:rPr>
        <w:t>.</w:t>
      </w:r>
    </w:p>
    <w:p w:rsidR="00784786" w:rsidRPr="00356510" w:rsidRDefault="00806E6F" w:rsidP="00FF5C94">
      <w:pPr>
        <w:rPr>
          <w:rFonts w:cs="Arial"/>
        </w:rPr>
      </w:pPr>
      <w:r>
        <w:rPr>
          <w:rFonts w:cs="Arial"/>
        </w:rPr>
        <w:lastRenderedPageBreak/>
        <w:t xml:space="preserve">For future NHEWS style surveillance research it is recommended that </w:t>
      </w:r>
      <w:r w:rsidR="00C558E2" w:rsidRPr="00356510">
        <w:rPr>
          <w:rFonts w:cs="Arial"/>
        </w:rPr>
        <w:t>focus</w:t>
      </w:r>
      <w:r>
        <w:rPr>
          <w:rFonts w:cs="Arial"/>
        </w:rPr>
        <w:t>sing</w:t>
      </w:r>
      <w:r w:rsidR="00C558E2" w:rsidRPr="00356510">
        <w:rPr>
          <w:rFonts w:cs="Arial"/>
        </w:rPr>
        <w:t xml:space="preserve"> on specific nominated chemicals in particular conte</w:t>
      </w:r>
      <w:r w:rsidR="008D187D" w:rsidRPr="00356510">
        <w:rPr>
          <w:rFonts w:cs="Arial"/>
        </w:rPr>
        <w:t>x</w:t>
      </w:r>
      <w:r w:rsidR="00C558E2" w:rsidRPr="00356510">
        <w:rPr>
          <w:rFonts w:cs="Arial"/>
        </w:rPr>
        <w:t xml:space="preserve">ts or workplace settings of interest might </w:t>
      </w:r>
      <w:r w:rsidR="008D187D" w:rsidRPr="00356510">
        <w:rPr>
          <w:rFonts w:cs="Arial"/>
        </w:rPr>
        <w:t xml:space="preserve">provide </w:t>
      </w:r>
      <w:r>
        <w:rPr>
          <w:rFonts w:cs="Arial"/>
        </w:rPr>
        <w:t xml:space="preserve">the most </w:t>
      </w:r>
      <w:r w:rsidR="00C558E2" w:rsidRPr="00356510">
        <w:rPr>
          <w:rFonts w:cs="Arial"/>
        </w:rPr>
        <w:t xml:space="preserve">useful </w:t>
      </w:r>
      <w:r w:rsidR="008D187D" w:rsidRPr="00356510">
        <w:rPr>
          <w:rFonts w:cs="Arial"/>
        </w:rPr>
        <w:t xml:space="preserve">exposure surveillance information. </w:t>
      </w:r>
    </w:p>
    <w:p w:rsidR="00784786" w:rsidRPr="00356510" w:rsidRDefault="00784786" w:rsidP="00FF5C94">
      <w:pPr>
        <w:rPr>
          <w:rFonts w:cs="Arial"/>
        </w:rPr>
      </w:pPr>
      <w:r w:rsidRPr="00356510">
        <w:rPr>
          <w:rFonts w:cs="Arial"/>
        </w:rPr>
        <w:t>Small and medium-sized businesses are unique environments that require specifically tailored interventions best developed in collaboration with the small and medium business sector</w:t>
      </w:r>
      <w:r w:rsidR="00661BC5" w:rsidRPr="00356510">
        <w:rPr>
          <w:rFonts w:cs="Arial"/>
        </w:rPr>
        <w:t xml:space="preserve">. </w:t>
      </w:r>
      <w:r w:rsidRPr="00356510">
        <w:rPr>
          <w:rFonts w:cs="Arial"/>
        </w:rPr>
        <w:t>Future intervention research might focus on the development of tailored interventions, which will be acceptable (and successful) within the small business context</w:t>
      </w:r>
      <w:r w:rsidR="00661BC5" w:rsidRPr="00356510">
        <w:rPr>
          <w:rFonts w:cs="Arial"/>
        </w:rPr>
        <w:t xml:space="preserve">. </w:t>
      </w:r>
      <w:r w:rsidRPr="00356510">
        <w:rPr>
          <w:rFonts w:cs="Arial"/>
        </w:rPr>
        <w:t xml:space="preserve">Research investigating in more detail what types of small businesses are likely to provide inadequate controls and the factors </w:t>
      </w:r>
      <w:r w:rsidR="00806E6F">
        <w:rPr>
          <w:rFonts w:cs="Arial"/>
        </w:rPr>
        <w:t>that</w:t>
      </w:r>
      <w:r w:rsidRPr="00356510">
        <w:rPr>
          <w:rFonts w:cs="Arial"/>
        </w:rPr>
        <w:t xml:space="preserve"> influence control provision and use would also be a useful extension of the NHEWS program since this cannot be discerned from the present survey data and it is unlikely that all small businesses are homogeneous in terms of control provisions as they are variable in terms of chemical exposures</w:t>
      </w:r>
      <w:r w:rsidR="00661BC5" w:rsidRPr="00356510">
        <w:rPr>
          <w:rFonts w:cs="Arial"/>
        </w:rPr>
        <w:t xml:space="preserve">. </w:t>
      </w:r>
    </w:p>
    <w:p w:rsidR="00784786" w:rsidRPr="00356510" w:rsidRDefault="00784786" w:rsidP="00FF5C94">
      <w:pPr>
        <w:rPr>
          <w:rFonts w:cs="Arial"/>
        </w:rPr>
      </w:pPr>
      <w:r w:rsidRPr="00356510">
        <w:rPr>
          <w:rFonts w:cs="Arial"/>
        </w:rPr>
        <w:t xml:space="preserve">A number of the industries with high exposures for chemicals were not </w:t>
      </w:r>
      <w:r w:rsidR="00806E6F">
        <w:rPr>
          <w:rFonts w:cs="Arial"/>
        </w:rPr>
        <w:t>n</w:t>
      </w:r>
      <w:r w:rsidRPr="00356510">
        <w:rPr>
          <w:rFonts w:cs="Arial"/>
        </w:rPr>
        <w:t xml:space="preserve">ational </w:t>
      </w:r>
      <w:r w:rsidR="00806E6F">
        <w:rPr>
          <w:rFonts w:cs="Arial"/>
        </w:rPr>
        <w:t>p</w:t>
      </w:r>
      <w:r w:rsidRPr="00356510">
        <w:rPr>
          <w:rFonts w:cs="Arial"/>
        </w:rPr>
        <w:t xml:space="preserve">riority </w:t>
      </w:r>
      <w:r w:rsidR="00806E6F">
        <w:rPr>
          <w:rFonts w:cs="Arial"/>
        </w:rPr>
        <w:t>i</w:t>
      </w:r>
      <w:r w:rsidRPr="00356510">
        <w:rPr>
          <w:rFonts w:cs="Arial"/>
        </w:rPr>
        <w:t>ndustries</w:t>
      </w:r>
      <w:r w:rsidR="00661BC5" w:rsidRPr="00356510">
        <w:rPr>
          <w:rFonts w:cs="Arial"/>
        </w:rPr>
        <w:t xml:space="preserve">. </w:t>
      </w:r>
      <w:r w:rsidRPr="00356510">
        <w:rPr>
          <w:rFonts w:cs="Arial"/>
        </w:rPr>
        <w:t xml:space="preserve">In future surveys, a larger sample of workers from high risk industries such as </w:t>
      </w:r>
      <w:r w:rsidRPr="00806E6F">
        <w:rPr>
          <w:rFonts w:cs="Arial"/>
        </w:rPr>
        <w:t>Accommodation, cafes and restaurants and Mining</w:t>
      </w:r>
      <w:r w:rsidRPr="00356510">
        <w:rPr>
          <w:rFonts w:cs="Arial"/>
          <w:i/>
        </w:rPr>
        <w:t xml:space="preserve"> </w:t>
      </w:r>
      <w:r w:rsidRPr="00356510">
        <w:rPr>
          <w:rFonts w:cs="Arial"/>
        </w:rPr>
        <w:t>would provide a clearer indication of specific groups of workers who may be at risk of exposure to chemicals, thereby providing more complete information for effective policy intervention.</w:t>
      </w:r>
    </w:p>
    <w:p w:rsidR="00417465" w:rsidRPr="00806E6F" w:rsidRDefault="00806E6F" w:rsidP="006809DA">
      <w:pPr>
        <w:rPr>
          <w:rFonts w:cs="Arial"/>
        </w:rPr>
      </w:pPr>
      <w:r>
        <w:rPr>
          <w:rFonts w:cs="Arial"/>
        </w:rPr>
        <w:t>Skin contact with chemicals</w:t>
      </w:r>
      <w:r w:rsidR="00784786" w:rsidRPr="00356510">
        <w:rPr>
          <w:rFonts w:cs="Arial"/>
        </w:rPr>
        <w:t xml:space="preserve"> is one of the main </w:t>
      </w:r>
      <w:r>
        <w:rPr>
          <w:rFonts w:cs="Arial"/>
        </w:rPr>
        <w:t>causes of or contributors</w:t>
      </w:r>
      <w:r w:rsidR="00784786" w:rsidRPr="00356510">
        <w:rPr>
          <w:rFonts w:cs="Arial"/>
        </w:rPr>
        <w:t xml:space="preserve"> </w:t>
      </w:r>
      <w:r>
        <w:rPr>
          <w:rFonts w:cs="Arial"/>
        </w:rPr>
        <w:t>to</w:t>
      </w:r>
      <w:r w:rsidR="00784786" w:rsidRPr="00356510">
        <w:rPr>
          <w:rFonts w:cs="Arial"/>
        </w:rPr>
        <w:t xml:space="preserve"> occupational contact dermatitis</w:t>
      </w:r>
      <w:r w:rsidR="00661BC5" w:rsidRPr="00356510">
        <w:rPr>
          <w:rFonts w:cs="Arial"/>
        </w:rPr>
        <w:t xml:space="preserve">. </w:t>
      </w:r>
      <w:r w:rsidR="00784786" w:rsidRPr="00356510">
        <w:rPr>
          <w:rFonts w:cs="Arial"/>
        </w:rPr>
        <w:t>Whil</w:t>
      </w:r>
      <w:r w:rsidR="00EE781A">
        <w:rPr>
          <w:rFonts w:cs="Arial"/>
        </w:rPr>
        <w:t>e</w:t>
      </w:r>
      <w:r w:rsidR="00784786" w:rsidRPr="00356510">
        <w:rPr>
          <w:rFonts w:cs="Arial"/>
        </w:rPr>
        <w:t xml:space="preserve"> this report provides details of workplace settings where </w:t>
      </w:r>
      <w:r w:rsidR="002D4779" w:rsidRPr="00356510">
        <w:rPr>
          <w:rFonts w:cs="Arial"/>
        </w:rPr>
        <w:t xml:space="preserve">dermal </w:t>
      </w:r>
      <w:r w:rsidR="00784786" w:rsidRPr="00356510">
        <w:rPr>
          <w:rFonts w:cs="Arial"/>
        </w:rPr>
        <w:t>exposures to chemicals are high, it does not provide information regarding settings with high rates of diagnosed occupational contact dermatitis, nor does it provide information regarding successful workers’ compensation claims for occupationally-induced dermatitis</w:t>
      </w:r>
      <w:r w:rsidR="00661BC5" w:rsidRPr="00356510">
        <w:rPr>
          <w:rFonts w:cs="Arial"/>
        </w:rPr>
        <w:t xml:space="preserve">. </w:t>
      </w:r>
      <w:r w:rsidR="00784786" w:rsidRPr="00356510">
        <w:rPr>
          <w:rFonts w:cs="Arial"/>
        </w:rPr>
        <w:t>Previous studies have found large discrepancies between the numbers of workers diagnosed with occupational contact dermatitis and successful workers’ compensation claims for occupationally-induced dermatitis</w:t>
      </w:r>
      <w:r w:rsidR="006A1CC7">
        <w:rPr>
          <w:rFonts w:cs="Arial"/>
        </w:rPr>
        <w:t xml:space="preserve"> </w:t>
      </w:r>
      <w:r w:rsidR="00AB2546">
        <w:rPr>
          <w:rFonts w:cs="Arial"/>
        </w:rPr>
        <w:fldChar w:fldCharType="begin">
          <w:fldData xml:space="preserve">PEVuZE5vdGU+PENpdGU+PEF1dGhvcj5Sb3NlbjwvQXV0aG9yPjxZZWFyPjE5OTI8L1llYXI+PFJl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</w:fldData>
        </w:fldChar>
      </w:r>
      <w:r w:rsidR="006A1CC7">
        <w:rPr>
          <w:rFonts w:cs="Arial"/>
        </w:rPr>
        <w:instrText xml:space="preserve"> ADDIN EN.CITE </w:instrText>
      </w:r>
      <w:r w:rsidR="00AB2546">
        <w:rPr>
          <w:rFonts w:cs="Arial"/>
        </w:rPr>
        <w:fldChar w:fldCharType="begin">
          <w:fldData xml:space="preserve">PEVuZE5vdGU+PENpdGU+PEF1dGhvcj5Sb3NlbjwvQXV0aG9yPjxZZWFyPjE5OTI8L1llYXI+PFJl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</w:fldData>
        </w:fldChar>
      </w:r>
      <w:r w:rsidR="006A1CC7">
        <w:rPr>
          <w:rFonts w:cs="Arial"/>
        </w:rPr>
        <w:instrText xml:space="preserve"> ADDIN EN.CITE.DATA </w:instrText>
      </w:r>
      <w:r w:rsidR="00AB2546">
        <w:rPr>
          <w:rFonts w:cs="Arial"/>
        </w:rPr>
      </w:r>
      <w:r w:rsidR="00AB2546">
        <w:rPr>
          <w:rFonts w:cs="Arial"/>
        </w:rPr>
        <w:fldChar w:fldCharType="end"/>
      </w:r>
      <w:r w:rsidR="00AB2546">
        <w:rPr>
          <w:rFonts w:cs="Arial"/>
        </w:rPr>
      </w:r>
      <w:r w:rsidR="00AB2546">
        <w:rPr>
          <w:rFonts w:cs="Arial"/>
        </w:rPr>
        <w:fldChar w:fldCharType="separate"/>
      </w:r>
      <w:r w:rsidR="006A1CC7">
        <w:rPr>
          <w:rFonts w:cs="Arial"/>
          <w:noProof/>
        </w:rPr>
        <w:t>(</w:t>
      </w:r>
      <w:hyperlink w:anchor="_ENREF_12" w:tooltip="Keegel, 2005 #337" w:history="1">
        <w:r w:rsidR="008E2C8E">
          <w:rPr>
            <w:rFonts w:cs="Arial"/>
            <w:noProof/>
          </w:rPr>
          <w:t>Keegel et al. 2005</w:t>
        </w:r>
      </w:hyperlink>
      <w:r w:rsidR="006A1CC7">
        <w:rPr>
          <w:rFonts w:cs="Arial"/>
          <w:noProof/>
        </w:rPr>
        <w:t xml:space="preserve">; </w:t>
      </w:r>
      <w:hyperlink w:anchor="_ENREF_13" w:tooltip="Keegel, 2007 #364" w:history="1">
        <w:r w:rsidR="008E2C8E">
          <w:rPr>
            <w:rFonts w:cs="Arial"/>
            <w:noProof/>
          </w:rPr>
          <w:t>Keegel et al. 2007</w:t>
        </w:r>
      </w:hyperlink>
      <w:r w:rsidR="006A1CC7">
        <w:rPr>
          <w:rFonts w:cs="Arial"/>
          <w:noProof/>
        </w:rPr>
        <w:t xml:space="preserve">; </w:t>
      </w:r>
      <w:hyperlink w:anchor="_ENREF_31" w:tooltip="Rosen, 1992 #460" w:history="1">
        <w:r w:rsidR="008E2C8E">
          <w:rPr>
            <w:rFonts w:cs="Arial"/>
            <w:noProof/>
          </w:rPr>
          <w:t>Rosen &amp; Freeman 1992</w:t>
        </w:r>
      </w:hyperlink>
      <w:r w:rsidR="006A1CC7">
        <w:rPr>
          <w:rFonts w:cs="Arial"/>
          <w:noProof/>
        </w:rPr>
        <w:t>)</w:t>
      </w:r>
      <w:r w:rsidR="00AB2546">
        <w:rPr>
          <w:rFonts w:cs="Arial"/>
        </w:rPr>
        <w:fldChar w:fldCharType="end"/>
      </w:r>
      <w:r w:rsidR="00E731E7">
        <w:rPr>
          <w:rFonts w:cs="Arial"/>
        </w:rPr>
        <w:t xml:space="preserve">. </w:t>
      </w:r>
      <w:r w:rsidR="00F4591E" w:rsidRPr="00356510">
        <w:rPr>
          <w:rFonts w:cs="Arial"/>
        </w:rPr>
        <w:t>P</w:t>
      </w:r>
      <w:r w:rsidR="00784786" w:rsidRPr="00356510">
        <w:rPr>
          <w:rFonts w:cs="Arial"/>
        </w:rPr>
        <w:t xml:space="preserve">arallel studies to identify industries and workplace settings with elevated rates of diagnosed occupational contact dermatitis and compensated occupational dermatitis disease claims would confirm and extend the NHEWS </w:t>
      </w:r>
      <w:r>
        <w:rPr>
          <w:rFonts w:cs="Arial"/>
        </w:rPr>
        <w:t>s</w:t>
      </w:r>
      <w:r w:rsidR="00784786" w:rsidRPr="00356510">
        <w:rPr>
          <w:rFonts w:cs="Arial"/>
        </w:rPr>
        <w:t>urvey findings. Existing Australian data sources could be used for this purpose</w:t>
      </w:r>
      <w:r w:rsidR="00661BC5" w:rsidRPr="00356510">
        <w:rPr>
          <w:rFonts w:cs="Arial"/>
        </w:rPr>
        <w:t xml:space="preserve">. </w:t>
      </w:r>
      <w:r w:rsidR="00784786" w:rsidRPr="00356510">
        <w:rPr>
          <w:rFonts w:cs="Arial"/>
        </w:rPr>
        <w:t>Occupational dermatitis disease outcome data is collected by the NSW and Victorian Skin and Cancer Foundations</w:t>
      </w:r>
      <w:r w:rsidR="006A1CC7">
        <w:rPr>
          <w:rFonts w:cs="Arial"/>
        </w:rPr>
        <w:t xml:space="preserve"> </w:t>
      </w:r>
      <w:r w:rsidR="00AB2546">
        <w:rPr>
          <w:rFonts w:cs="Arial"/>
        </w:rPr>
        <w:fldChar w:fldCharType="begin">
          <w:fldData xml:space="preserve">PEVuZE5vdGU+PENpdGU+PEF1dGhvcj5Sb3NlbjwvQXV0aG9yPjxZZWFyPjE5OTM8L1llYXI+PFJl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</w:fldData>
        </w:fldChar>
      </w:r>
      <w:r w:rsidR="006A1CC7">
        <w:rPr>
          <w:rFonts w:cs="Arial"/>
        </w:rPr>
        <w:instrText xml:space="preserve"> ADDIN EN.CITE </w:instrText>
      </w:r>
      <w:r w:rsidR="00AB2546">
        <w:rPr>
          <w:rFonts w:cs="Arial"/>
        </w:rPr>
        <w:fldChar w:fldCharType="begin">
          <w:fldData xml:space="preserve">PEVuZE5vdGU+PENpdGU+PEF1dGhvcj5Sb3NlbjwvQXV0aG9yPjxZZWFyPjE5OTM8L1llYXI+PFJl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</w:fldData>
        </w:fldChar>
      </w:r>
      <w:r w:rsidR="006A1CC7">
        <w:rPr>
          <w:rFonts w:cs="Arial"/>
        </w:rPr>
        <w:instrText xml:space="preserve"> ADDIN EN.CITE.DATA </w:instrText>
      </w:r>
      <w:r w:rsidR="00AB2546">
        <w:rPr>
          <w:rFonts w:cs="Arial"/>
        </w:rPr>
      </w:r>
      <w:r w:rsidR="00AB2546">
        <w:rPr>
          <w:rFonts w:cs="Arial"/>
        </w:rPr>
        <w:fldChar w:fldCharType="end"/>
      </w:r>
      <w:r w:rsidR="00AB2546">
        <w:rPr>
          <w:rFonts w:cs="Arial"/>
        </w:rPr>
      </w:r>
      <w:r w:rsidR="00AB2546">
        <w:rPr>
          <w:rFonts w:cs="Arial"/>
        </w:rPr>
        <w:fldChar w:fldCharType="separate"/>
      </w:r>
      <w:r w:rsidR="006A1CC7">
        <w:rPr>
          <w:rFonts w:cs="Arial"/>
          <w:noProof/>
        </w:rPr>
        <w:t>(</w:t>
      </w:r>
      <w:hyperlink w:anchor="_ENREF_31" w:tooltip="Rosen, 1992 #460" w:history="1">
        <w:r w:rsidR="008E2C8E">
          <w:rPr>
            <w:rFonts w:cs="Arial"/>
            <w:noProof/>
          </w:rPr>
          <w:t>Rosen &amp; Freeman 1992</w:t>
        </w:r>
      </w:hyperlink>
      <w:r w:rsidR="006A1CC7">
        <w:rPr>
          <w:rFonts w:cs="Arial"/>
          <w:noProof/>
        </w:rPr>
        <w:t xml:space="preserve">; </w:t>
      </w:r>
      <w:hyperlink w:anchor="_ENREF_32" w:tooltip="Rosen, 1993 #425" w:history="1">
        <w:r w:rsidR="008E2C8E">
          <w:rPr>
            <w:rFonts w:cs="Arial"/>
            <w:noProof/>
          </w:rPr>
          <w:t>1993</w:t>
        </w:r>
      </w:hyperlink>
      <w:r w:rsidR="006A1CC7">
        <w:rPr>
          <w:rFonts w:cs="Arial"/>
          <w:noProof/>
        </w:rPr>
        <w:t xml:space="preserve">; </w:t>
      </w:r>
      <w:hyperlink w:anchor="_ENREF_35" w:tooltip="Williams, 2008 #462" w:history="1">
        <w:r w:rsidR="008E2C8E">
          <w:rPr>
            <w:rFonts w:cs="Arial"/>
            <w:noProof/>
          </w:rPr>
          <w:t>Williams et al. 2008</w:t>
        </w:r>
      </w:hyperlink>
      <w:r w:rsidR="006A1CC7">
        <w:rPr>
          <w:rFonts w:cs="Arial"/>
          <w:noProof/>
        </w:rPr>
        <w:t>)</w:t>
      </w:r>
      <w:r w:rsidR="00AB2546">
        <w:rPr>
          <w:rFonts w:cs="Arial"/>
        </w:rPr>
        <w:fldChar w:fldCharType="end"/>
      </w:r>
      <w:r w:rsidR="00784786" w:rsidRPr="00356510">
        <w:rPr>
          <w:rFonts w:cs="Arial"/>
        </w:rPr>
        <w:t xml:space="preserve"> and national data regarding successful Australian workers’ compensation claims is collated by Safe Work Australia.</w:t>
      </w:r>
      <w:r w:rsidR="00F4591E" w:rsidRPr="00356510">
        <w:rPr>
          <w:rFonts w:cs="Arial"/>
        </w:rPr>
        <w:t xml:space="preserve"> </w:t>
      </w:r>
      <w:r w:rsidR="00784786" w:rsidRPr="00356510">
        <w:rPr>
          <w:rFonts w:cs="Arial"/>
        </w:rPr>
        <w:t xml:space="preserve"> </w:t>
      </w:r>
    </w:p>
    <w:p w:rsidR="00417465" w:rsidRPr="00356510" w:rsidRDefault="00417465" w:rsidP="00302E73">
      <w:pPr>
        <w:pStyle w:val="Heading1"/>
      </w:pPr>
      <w:r w:rsidRPr="00356510">
        <w:br w:type="page"/>
      </w:r>
      <w:bookmarkStart w:id="110" w:name="_Toc309808263"/>
      <w:bookmarkStart w:id="111" w:name="_Toc312075724"/>
      <w:r w:rsidRPr="00356510">
        <w:lastRenderedPageBreak/>
        <w:t>References</w:t>
      </w:r>
      <w:bookmarkEnd w:id="110"/>
      <w:bookmarkEnd w:id="111"/>
    </w:p>
    <w:p w:rsidR="008E2C8E" w:rsidRPr="008E2C8E" w:rsidRDefault="00AB2546" w:rsidP="008E2C8E">
      <w:pPr>
        <w:pStyle w:val="Heading1"/>
        <w:spacing w:after="0"/>
        <w:ind w:left="720" w:hanging="720"/>
        <w:rPr>
          <w:rFonts w:cs="Arial"/>
          <w:b w:val="0"/>
          <w:noProof/>
          <w:sz w:val="22"/>
        </w:rPr>
      </w:pPr>
      <w:r w:rsidRPr="00AB2546">
        <w:rPr>
          <w:b w:val="0"/>
          <w:bCs w:val="0"/>
          <w:kern w:val="0"/>
          <w:sz w:val="22"/>
          <w:szCs w:val="24"/>
        </w:rPr>
        <w:fldChar w:fldCharType="begin"/>
      </w:r>
      <w:r w:rsidR="00417465" w:rsidRPr="00806A25">
        <w:rPr>
          <w:b w:val="0"/>
        </w:rPr>
        <w:instrText xml:space="preserve"> ADDIN EN.REFLIST </w:instrText>
      </w:r>
      <w:r w:rsidRPr="00AB2546">
        <w:rPr>
          <w:b w:val="0"/>
          <w:bCs w:val="0"/>
          <w:kern w:val="0"/>
          <w:sz w:val="22"/>
          <w:szCs w:val="24"/>
        </w:rPr>
        <w:fldChar w:fldCharType="separate"/>
      </w:r>
      <w:bookmarkStart w:id="112" w:name="_ENREF_1"/>
      <w:r w:rsidR="008E2C8E" w:rsidRPr="008E2C8E">
        <w:rPr>
          <w:rFonts w:cs="Arial"/>
          <w:b w:val="0"/>
          <w:noProof/>
          <w:sz w:val="22"/>
        </w:rPr>
        <w:t>Arial M, Wild P, Vernez D &amp; Danuser B (2011). Association of working conditions with self-reported work-related symptoms: results from the Swiss dataset of the European Working Conditions Survey. The Open Occupational Health and Safety Journal 3:1-7.</w:t>
      </w:r>
      <w:bookmarkEnd w:id="112"/>
    </w:p>
    <w:p w:rsidR="008E2C8E" w:rsidRPr="008E2C8E" w:rsidRDefault="008E2C8E" w:rsidP="008E2C8E">
      <w:pPr>
        <w:pStyle w:val="Heading1"/>
        <w:spacing w:after="0"/>
        <w:ind w:left="720" w:hanging="720"/>
        <w:rPr>
          <w:rFonts w:cs="Arial"/>
          <w:b w:val="0"/>
          <w:noProof/>
          <w:sz w:val="22"/>
        </w:rPr>
      </w:pPr>
      <w:bookmarkStart w:id="113" w:name="_ENREF_2"/>
      <w:r w:rsidRPr="008E2C8E">
        <w:rPr>
          <w:rFonts w:cs="Arial"/>
          <w:b w:val="0"/>
          <w:noProof/>
          <w:sz w:val="22"/>
        </w:rPr>
        <w:t>ASCC (2005). Guidance on the prevention of dermatitis caused by wet work: Australian Government: Australian Safety and Compensation Council.</w:t>
      </w:r>
      <w:bookmarkEnd w:id="113"/>
    </w:p>
    <w:p w:rsidR="008E2C8E" w:rsidRPr="008E2C8E" w:rsidRDefault="008E2C8E" w:rsidP="008E2C8E">
      <w:pPr>
        <w:pStyle w:val="Heading1"/>
        <w:spacing w:after="0"/>
        <w:ind w:left="720" w:hanging="720"/>
        <w:rPr>
          <w:rFonts w:cs="Arial"/>
          <w:b w:val="0"/>
          <w:noProof/>
          <w:sz w:val="22"/>
        </w:rPr>
      </w:pPr>
      <w:bookmarkStart w:id="114" w:name="_ENREF_3"/>
      <w:r w:rsidRPr="008E2C8E">
        <w:rPr>
          <w:rFonts w:cs="Arial"/>
          <w:b w:val="0"/>
          <w:noProof/>
          <w:sz w:val="22"/>
        </w:rPr>
        <w:t xml:space="preserve">ASCC (2008). National Hazard Exposure Worker Surveillance (NHEWS) Survey: 2008 Results. Canberra: Australian Government </w:t>
      </w:r>
      <w:bookmarkEnd w:id="114"/>
    </w:p>
    <w:p w:rsidR="008E2C8E" w:rsidRPr="008E2C8E" w:rsidRDefault="008E2C8E" w:rsidP="008E2C8E">
      <w:pPr>
        <w:pStyle w:val="Heading1"/>
        <w:spacing w:after="0"/>
        <w:ind w:left="720" w:hanging="720"/>
        <w:rPr>
          <w:rFonts w:cs="Arial"/>
          <w:b w:val="0"/>
          <w:noProof/>
          <w:sz w:val="22"/>
        </w:rPr>
      </w:pPr>
      <w:bookmarkStart w:id="115" w:name="_ENREF_4"/>
      <w:r w:rsidRPr="008E2C8E">
        <w:rPr>
          <w:rFonts w:cs="Arial"/>
          <w:b w:val="0"/>
          <w:noProof/>
          <w:sz w:val="22"/>
        </w:rPr>
        <w:t>BAuA (2008). Technical Rules for Hazardous Substances: Risks resulting from skin contact - identification, assessment, measures (June 2008). TRGS 401.</w:t>
      </w:r>
      <w:bookmarkEnd w:id="115"/>
    </w:p>
    <w:p w:rsidR="008E2C8E" w:rsidRPr="008E2C8E" w:rsidRDefault="008E2C8E" w:rsidP="008E2C8E">
      <w:pPr>
        <w:pStyle w:val="Heading1"/>
        <w:spacing w:after="0"/>
        <w:ind w:left="720" w:hanging="720"/>
        <w:rPr>
          <w:rFonts w:cs="Arial"/>
          <w:b w:val="0"/>
          <w:noProof/>
          <w:sz w:val="22"/>
        </w:rPr>
      </w:pPr>
      <w:bookmarkStart w:id="116" w:name="_ENREF_5"/>
      <w:r w:rsidRPr="008E2C8E">
        <w:rPr>
          <w:rFonts w:cs="Arial"/>
          <w:b w:val="0"/>
          <w:noProof/>
          <w:sz w:val="22"/>
        </w:rPr>
        <w:t>Benke G, Sim M, Forbes A &amp; Salzberg M (1997). Retrospective assessment of occupational exposure to chemicals in community-based studies: validity and repeatability of industrial hygiene panel ratings. Int J Epidemiol, 26(3):635-42.</w:t>
      </w:r>
      <w:bookmarkEnd w:id="116"/>
    </w:p>
    <w:p w:rsidR="008E2C8E" w:rsidRPr="008E2C8E" w:rsidRDefault="008E2C8E" w:rsidP="008E2C8E">
      <w:pPr>
        <w:pStyle w:val="Heading1"/>
        <w:spacing w:after="0"/>
        <w:ind w:left="720" w:hanging="720"/>
        <w:rPr>
          <w:rFonts w:cs="Arial"/>
          <w:b w:val="0"/>
          <w:noProof/>
          <w:sz w:val="22"/>
        </w:rPr>
      </w:pPr>
      <w:bookmarkStart w:id="117" w:name="_ENREF_6"/>
      <w:r w:rsidRPr="008E2C8E">
        <w:rPr>
          <w:rFonts w:cs="Arial"/>
          <w:b w:val="0"/>
          <w:noProof/>
          <w:sz w:val="22"/>
        </w:rPr>
        <w:t xml:space="preserve">Brooke D, Cowley S, Else D &amp; Leggett S (2005). International Review of Surveillance and Control of Workplace Exposures: Commonwealth of Australia </w:t>
      </w:r>
      <w:bookmarkEnd w:id="117"/>
    </w:p>
    <w:p w:rsidR="008E2C8E" w:rsidRPr="008E2C8E" w:rsidRDefault="008E2C8E" w:rsidP="008E2C8E">
      <w:pPr>
        <w:pStyle w:val="Heading1"/>
        <w:spacing w:after="0"/>
        <w:ind w:left="720" w:hanging="720"/>
        <w:rPr>
          <w:rFonts w:cs="Arial"/>
          <w:b w:val="0"/>
          <w:noProof/>
          <w:sz w:val="22"/>
        </w:rPr>
      </w:pPr>
      <w:bookmarkStart w:id="118" w:name="_ENREF_7"/>
      <w:r w:rsidRPr="008E2C8E">
        <w:rPr>
          <w:rFonts w:cs="Arial"/>
          <w:b w:val="0"/>
          <w:noProof/>
          <w:sz w:val="22"/>
        </w:rPr>
        <w:t>Burnett CA, Lushniak BD, McCarthy W &amp; Kaufman J (1998). Occupational dermatitis causing days away from work in US private industry, 1993. American Journal of Industrial Medicine, 34(6):568-573.</w:t>
      </w:r>
      <w:bookmarkEnd w:id="118"/>
    </w:p>
    <w:p w:rsidR="008E2C8E" w:rsidRPr="008E2C8E" w:rsidRDefault="008E2C8E" w:rsidP="008E2C8E">
      <w:pPr>
        <w:pStyle w:val="Heading1"/>
        <w:spacing w:after="0"/>
        <w:ind w:left="720" w:hanging="720"/>
        <w:rPr>
          <w:rFonts w:cs="Arial"/>
          <w:b w:val="0"/>
          <w:noProof/>
          <w:sz w:val="22"/>
        </w:rPr>
      </w:pPr>
      <w:bookmarkStart w:id="119" w:name="_ENREF_8"/>
      <w:r w:rsidRPr="008E2C8E">
        <w:rPr>
          <w:rFonts w:cs="Arial"/>
          <w:b w:val="0"/>
          <w:noProof/>
          <w:sz w:val="22"/>
        </w:rPr>
        <w:t>Gallup Europe (2006). European Working Conditions Survey 2005: Technical Fieldwork and Methodology Report:1-105.</w:t>
      </w:r>
      <w:bookmarkEnd w:id="119"/>
    </w:p>
    <w:p w:rsidR="008E2C8E" w:rsidRPr="008E2C8E" w:rsidRDefault="008E2C8E" w:rsidP="008E2C8E">
      <w:pPr>
        <w:pStyle w:val="Heading1"/>
        <w:spacing w:after="0"/>
        <w:ind w:left="720" w:hanging="720"/>
        <w:rPr>
          <w:rFonts w:cs="Arial"/>
          <w:b w:val="0"/>
          <w:noProof/>
          <w:sz w:val="22"/>
        </w:rPr>
      </w:pPr>
      <w:bookmarkStart w:id="120" w:name="_ENREF_9"/>
      <w:r w:rsidRPr="008E2C8E">
        <w:rPr>
          <w:rFonts w:cs="Arial"/>
          <w:b w:val="0"/>
          <w:noProof/>
          <w:sz w:val="22"/>
        </w:rPr>
        <w:t>Hendrie L &amp; Driscoll T (2003). Work-related presentations to general practitoners in Australia. Journal of Occupational Health and Safety- Australia and New Zealand, 19:133-143.</w:t>
      </w:r>
      <w:bookmarkEnd w:id="120"/>
    </w:p>
    <w:p w:rsidR="008E2C8E" w:rsidRPr="008E2C8E" w:rsidRDefault="008E2C8E" w:rsidP="008E2C8E">
      <w:pPr>
        <w:pStyle w:val="Heading1"/>
        <w:spacing w:after="0"/>
        <w:ind w:left="720" w:hanging="720"/>
        <w:rPr>
          <w:rFonts w:cs="Arial"/>
          <w:b w:val="0"/>
          <w:noProof/>
          <w:sz w:val="22"/>
        </w:rPr>
      </w:pPr>
      <w:bookmarkStart w:id="121" w:name="_ENREF_10"/>
      <w:r w:rsidRPr="008E2C8E">
        <w:rPr>
          <w:rFonts w:cs="Arial"/>
          <w:b w:val="0"/>
          <w:noProof/>
          <w:sz w:val="22"/>
        </w:rPr>
        <w:t>Holness DL (2001). Results of a quality of life questionnaire in a patch test clinic population. Contact Dermatitis, 44(2):80-4.</w:t>
      </w:r>
      <w:bookmarkEnd w:id="121"/>
    </w:p>
    <w:p w:rsidR="008E2C8E" w:rsidRPr="008E2C8E" w:rsidRDefault="008E2C8E" w:rsidP="008E2C8E">
      <w:pPr>
        <w:pStyle w:val="Heading1"/>
        <w:spacing w:after="0"/>
        <w:ind w:left="720" w:hanging="720"/>
        <w:rPr>
          <w:rFonts w:cs="Arial"/>
          <w:b w:val="0"/>
          <w:noProof/>
          <w:sz w:val="22"/>
        </w:rPr>
      </w:pPr>
      <w:bookmarkStart w:id="122" w:name="_ENREF_11"/>
      <w:r w:rsidRPr="008E2C8E">
        <w:rPr>
          <w:rFonts w:cs="Arial"/>
          <w:b w:val="0"/>
          <w:noProof/>
          <w:sz w:val="22"/>
        </w:rPr>
        <w:t>Holness DL (2004). Health care services use by workers with work-related contact dermatitis. Dermatitis, 15(1):18-24.</w:t>
      </w:r>
      <w:bookmarkEnd w:id="122"/>
    </w:p>
    <w:p w:rsidR="008E2C8E" w:rsidRPr="008E2C8E" w:rsidRDefault="008E2C8E" w:rsidP="008E2C8E">
      <w:pPr>
        <w:pStyle w:val="Heading1"/>
        <w:spacing w:after="0"/>
        <w:ind w:left="720" w:hanging="720"/>
        <w:rPr>
          <w:rFonts w:cs="Arial"/>
          <w:b w:val="0"/>
          <w:noProof/>
          <w:sz w:val="22"/>
        </w:rPr>
      </w:pPr>
      <w:bookmarkStart w:id="123" w:name="_ENREF_12"/>
      <w:r w:rsidRPr="008E2C8E">
        <w:rPr>
          <w:rFonts w:cs="Arial"/>
          <w:b w:val="0"/>
          <w:noProof/>
          <w:sz w:val="22"/>
        </w:rPr>
        <w:t>Keegel T, Cahill J, Noonan A, Dharmage S, Saunders H, Frowen K, et al. (2005). Incidence and prevalence rates for occupational contact dermatitis in an Australian suburban area. Contact Dermatitis, 52(5):254-9.</w:t>
      </w:r>
      <w:bookmarkEnd w:id="123"/>
    </w:p>
    <w:p w:rsidR="008E2C8E" w:rsidRPr="008E2C8E" w:rsidRDefault="008E2C8E" w:rsidP="008E2C8E">
      <w:pPr>
        <w:pStyle w:val="Heading1"/>
        <w:spacing w:after="0"/>
        <w:ind w:left="720" w:hanging="720"/>
        <w:rPr>
          <w:rFonts w:cs="Arial"/>
          <w:b w:val="0"/>
          <w:noProof/>
          <w:sz w:val="22"/>
        </w:rPr>
      </w:pPr>
      <w:bookmarkStart w:id="124" w:name="_ENREF_13"/>
      <w:r w:rsidRPr="008E2C8E">
        <w:rPr>
          <w:rFonts w:cs="Arial"/>
          <w:b w:val="0"/>
          <w:noProof/>
          <w:sz w:val="22"/>
        </w:rPr>
        <w:t>Keegel T, Erbas B, Cahill J, Noonan A, Dharmage S &amp; Nixon R (2007). Occupational contact dermatitis in Australia: diagnostic and management practices, and severity of worker impairment. Contact Dermatitis, 56(6):318-324.</w:t>
      </w:r>
      <w:bookmarkEnd w:id="124"/>
    </w:p>
    <w:p w:rsidR="008E2C8E" w:rsidRPr="008E2C8E" w:rsidRDefault="008E2C8E" w:rsidP="008E2C8E">
      <w:pPr>
        <w:pStyle w:val="Heading1"/>
        <w:spacing w:after="0"/>
        <w:ind w:left="720" w:hanging="720"/>
        <w:rPr>
          <w:rFonts w:cs="Arial"/>
          <w:b w:val="0"/>
          <w:noProof/>
          <w:sz w:val="22"/>
        </w:rPr>
      </w:pPr>
      <w:bookmarkStart w:id="125" w:name="_ENREF_14"/>
      <w:r w:rsidRPr="008E2C8E">
        <w:rPr>
          <w:rFonts w:cs="Arial"/>
          <w:b w:val="0"/>
          <w:noProof/>
          <w:sz w:val="22"/>
        </w:rPr>
        <w:t>Keegel T, Moyle M, Dharmage S, Frowen K &amp; Nixon R (2009). The epidemiology of occupational contact dermatitis (1990-2007): a systematic review. Int J Dermatol, 48(6):571-8.</w:t>
      </w:r>
      <w:bookmarkEnd w:id="125"/>
    </w:p>
    <w:p w:rsidR="008E2C8E" w:rsidRPr="008E2C8E" w:rsidRDefault="008E2C8E" w:rsidP="008E2C8E">
      <w:pPr>
        <w:pStyle w:val="Heading1"/>
        <w:spacing w:after="0"/>
        <w:ind w:left="720" w:hanging="720"/>
        <w:rPr>
          <w:rFonts w:cs="Arial"/>
          <w:b w:val="0"/>
          <w:noProof/>
          <w:sz w:val="22"/>
        </w:rPr>
      </w:pPr>
      <w:bookmarkStart w:id="126" w:name="_ENREF_15"/>
      <w:r w:rsidRPr="008E2C8E">
        <w:rPr>
          <w:rFonts w:cs="Arial"/>
          <w:b w:val="0"/>
          <w:noProof/>
          <w:sz w:val="22"/>
        </w:rPr>
        <w:t>LaMontagne AD, Vallance D &amp; Keegel T (2008). Occupational Skill Level and Hazardous Exposures among Working Victorians. Australian Journal of Labour Economics 11:47-70.</w:t>
      </w:r>
      <w:bookmarkEnd w:id="126"/>
    </w:p>
    <w:p w:rsidR="008E2C8E" w:rsidRPr="008E2C8E" w:rsidRDefault="008E2C8E" w:rsidP="008E2C8E">
      <w:pPr>
        <w:pStyle w:val="Heading1"/>
        <w:spacing w:after="0"/>
        <w:ind w:left="720" w:hanging="720"/>
        <w:rPr>
          <w:rFonts w:cs="Arial"/>
          <w:b w:val="0"/>
          <w:noProof/>
          <w:sz w:val="22"/>
        </w:rPr>
      </w:pPr>
      <w:bookmarkStart w:id="127" w:name="_ENREF_16"/>
      <w:r w:rsidRPr="008E2C8E">
        <w:rPr>
          <w:rFonts w:cs="Arial"/>
          <w:b w:val="0"/>
          <w:noProof/>
          <w:sz w:val="22"/>
        </w:rPr>
        <w:t>Lee A, Nixon R &amp; Frowen K (2001). Reduction of use of latex gloves in food handlers: an intervention study. Contact Dermatitis, 44:75-79.</w:t>
      </w:r>
      <w:bookmarkEnd w:id="127"/>
    </w:p>
    <w:p w:rsidR="008E2C8E" w:rsidRPr="008E2C8E" w:rsidRDefault="008E2C8E" w:rsidP="008E2C8E">
      <w:pPr>
        <w:pStyle w:val="Heading1"/>
        <w:spacing w:after="0"/>
        <w:ind w:left="720" w:hanging="720"/>
        <w:rPr>
          <w:rFonts w:cs="Arial"/>
          <w:b w:val="0"/>
          <w:noProof/>
          <w:sz w:val="22"/>
        </w:rPr>
      </w:pPr>
      <w:bookmarkStart w:id="128" w:name="_ENREF_17"/>
      <w:r w:rsidRPr="008E2C8E">
        <w:rPr>
          <w:rFonts w:cs="Arial"/>
          <w:b w:val="0"/>
          <w:noProof/>
          <w:sz w:val="22"/>
        </w:rPr>
        <w:t>Lushniak BD (1995). The Epidemiology of Occupational Contact-Dermatitis. Dermatologic Clinics, 13(3):671-680.</w:t>
      </w:r>
      <w:bookmarkEnd w:id="128"/>
    </w:p>
    <w:p w:rsidR="008E2C8E" w:rsidRPr="008E2C8E" w:rsidRDefault="008E2C8E" w:rsidP="008E2C8E">
      <w:pPr>
        <w:pStyle w:val="Heading1"/>
        <w:spacing w:after="0"/>
        <w:ind w:left="720" w:hanging="720"/>
        <w:rPr>
          <w:rFonts w:cs="Arial"/>
          <w:b w:val="0"/>
          <w:noProof/>
          <w:sz w:val="22"/>
        </w:rPr>
      </w:pPr>
      <w:bookmarkStart w:id="129" w:name="_ENREF_18"/>
      <w:r w:rsidRPr="008E2C8E">
        <w:rPr>
          <w:rFonts w:cs="Arial"/>
          <w:b w:val="0"/>
          <w:noProof/>
          <w:sz w:val="22"/>
        </w:rPr>
        <w:lastRenderedPageBreak/>
        <w:t>MacFarlane E, Benke G, Goddard D &amp; Sim M (2007). Urban pest control operators in Australia. Occup Environ Med, 64(6):422-7.</w:t>
      </w:r>
      <w:bookmarkEnd w:id="129"/>
    </w:p>
    <w:p w:rsidR="008E2C8E" w:rsidRPr="008E2C8E" w:rsidRDefault="008E2C8E" w:rsidP="008E2C8E">
      <w:pPr>
        <w:pStyle w:val="Heading1"/>
        <w:spacing w:after="0"/>
        <w:ind w:left="720" w:hanging="720"/>
        <w:rPr>
          <w:rFonts w:cs="Arial"/>
          <w:b w:val="0"/>
          <w:noProof/>
          <w:sz w:val="22"/>
        </w:rPr>
      </w:pPr>
      <w:bookmarkStart w:id="130" w:name="_ENREF_19"/>
      <w:r w:rsidRPr="008E2C8E">
        <w:rPr>
          <w:rFonts w:cs="Arial"/>
          <w:b w:val="0"/>
          <w:noProof/>
          <w:sz w:val="22"/>
        </w:rPr>
        <w:t>Macfarlane E, Chapman A, Benke G, Meaklim J, Sim M &amp; McNeil J (2008). Training and other predictors of personal protective equipment use in Australian grain farmers using pesticides. Occup Environ Med, 65(2):141-6.</w:t>
      </w:r>
      <w:bookmarkEnd w:id="130"/>
    </w:p>
    <w:p w:rsidR="008E2C8E" w:rsidRPr="008E2C8E" w:rsidRDefault="008E2C8E" w:rsidP="008E2C8E">
      <w:pPr>
        <w:pStyle w:val="Heading1"/>
        <w:spacing w:after="0"/>
        <w:ind w:left="720" w:hanging="720"/>
        <w:rPr>
          <w:rFonts w:cs="Arial"/>
          <w:b w:val="0"/>
          <w:noProof/>
          <w:sz w:val="22"/>
        </w:rPr>
      </w:pPr>
      <w:bookmarkStart w:id="131" w:name="_ENREF_20"/>
      <w:r w:rsidRPr="008E2C8E">
        <w:rPr>
          <w:rFonts w:cs="Arial"/>
          <w:b w:val="0"/>
          <w:noProof/>
          <w:sz w:val="22"/>
        </w:rPr>
        <w:t>MacFarlane E (2010). Long-term health outcomes in Australian pesticide exposed workers. Monash University. (Ph.D). Melbourne: Monash University.</w:t>
      </w:r>
      <w:bookmarkEnd w:id="131"/>
    </w:p>
    <w:p w:rsidR="008E2C8E" w:rsidRPr="008E2C8E" w:rsidRDefault="008E2C8E" w:rsidP="008E2C8E">
      <w:pPr>
        <w:pStyle w:val="Heading1"/>
        <w:spacing w:after="0"/>
        <w:ind w:left="720" w:hanging="720"/>
        <w:rPr>
          <w:rFonts w:cs="Arial"/>
          <w:b w:val="0"/>
          <w:noProof/>
          <w:sz w:val="22"/>
        </w:rPr>
      </w:pPr>
      <w:bookmarkStart w:id="132" w:name="_ENREF_21"/>
      <w:r w:rsidRPr="008E2C8E">
        <w:rPr>
          <w:rFonts w:cs="Arial"/>
          <w:b w:val="0"/>
          <w:noProof/>
          <w:sz w:val="22"/>
        </w:rPr>
        <w:t>Mathias CGT (1989). Contact dermatitis and workers' compensation: Criteria for establishing occupational causation and aggravation. J Am Acad Dermatol, 20:842-8.</w:t>
      </w:r>
      <w:bookmarkEnd w:id="132"/>
    </w:p>
    <w:p w:rsidR="008E2C8E" w:rsidRPr="008E2C8E" w:rsidRDefault="008E2C8E" w:rsidP="008E2C8E">
      <w:pPr>
        <w:pStyle w:val="Heading1"/>
        <w:spacing w:after="0"/>
        <w:ind w:left="720" w:hanging="720"/>
        <w:rPr>
          <w:rFonts w:cs="Arial"/>
          <w:b w:val="0"/>
          <w:noProof/>
          <w:sz w:val="22"/>
        </w:rPr>
      </w:pPr>
      <w:bookmarkStart w:id="133" w:name="_ENREF_22"/>
      <w:r w:rsidRPr="008E2C8E">
        <w:rPr>
          <w:rFonts w:cs="Arial"/>
          <w:b w:val="0"/>
          <w:noProof/>
          <w:sz w:val="22"/>
        </w:rPr>
        <w:t>Nixon R &amp; Frowen K (1991). Allergic contact dermatitis caused by epoxy resins. J Occup Health Safety - Aust NZ, 7(5):417-424.</w:t>
      </w:r>
      <w:bookmarkEnd w:id="133"/>
    </w:p>
    <w:p w:rsidR="008E2C8E" w:rsidRPr="008E2C8E" w:rsidRDefault="008E2C8E" w:rsidP="008E2C8E">
      <w:pPr>
        <w:pStyle w:val="Heading1"/>
        <w:spacing w:after="0"/>
        <w:ind w:left="720" w:hanging="720"/>
        <w:rPr>
          <w:rFonts w:cs="Arial"/>
          <w:b w:val="0"/>
          <w:noProof/>
          <w:sz w:val="22"/>
        </w:rPr>
      </w:pPr>
      <w:bookmarkStart w:id="134" w:name="_ENREF_23"/>
      <w:r w:rsidRPr="008E2C8E">
        <w:rPr>
          <w:rFonts w:cs="Arial"/>
          <w:b w:val="0"/>
          <w:noProof/>
          <w:sz w:val="22"/>
        </w:rPr>
        <w:t>Nixon R &amp; Moyle M (2004). Occupational Contact Dermatitis. Australian Doctor(3 Dec 2004):27-32.</w:t>
      </w:r>
      <w:bookmarkEnd w:id="134"/>
    </w:p>
    <w:p w:rsidR="008E2C8E" w:rsidRPr="008E2C8E" w:rsidRDefault="008E2C8E" w:rsidP="008E2C8E">
      <w:pPr>
        <w:pStyle w:val="Heading1"/>
        <w:spacing w:after="0"/>
        <w:ind w:left="720" w:hanging="720"/>
        <w:rPr>
          <w:rFonts w:cs="Arial"/>
          <w:b w:val="0"/>
          <w:noProof/>
          <w:sz w:val="22"/>
        </w:rPr>
      </w:pPr>
      <w:bookmarkStart w:id="135" w:name="_ENREF_24"/>
      <w:r w:rsidRPr="008E2C8E">
        <w:rPr>
          <w:rFonts w:cs="Arial"/>
          <w:b w:val="0"/>
          <w:noProof/>
          <w:sz w:val="22"/>
        </w:rPr>
        <w:t>Nixon R, Frowen K &amp; Moyle M (2005). Occupational dermatoses. Australian Family Physician, 34(5):327 - 377.</w:t>
      </w:r>
      <w:bookmarkEnd w:id="135"/>
    </w:p>
    <w:p w:rsidR="008E2C8E" w:rsidRPr="008E2C8E" w:rsidRDefault="008E2C8E" w:rsidP="008E2C8E">
      <w:pPr>
        <w:pStyle w:val="Heading1"/>
        <w:spacing w:after="0"/>
        <w:ind w:left="720" w:hanging="720"/>
        <w:rPr>
          <w:rFonts w:cs="Arial"/>
          <w:b w:val="0"/>
          <w:noProof/>
          <w:sz w:val="22"/>
        </w:rPr>
      </w:pPr>
      <w:bookmarkStart w:id="136" w:name="_ENREF_25"/>
      <w:r w:rsidRPr="008E2C8E">
        <w:rPr>
          <w:rFonts w:cs="Arial"/>
          <w:b w:val="0"/>
          <w:noProof/>
          <w:sz w:val="22"/>
        </w:rPr>
        <w:t>Nixon R &amp; Frowen K (2005). The importance of multiple diagnoses in patients with occupational contact dermatitis. Australasian Journal of Dermatology, 46:A34-A35.</w:t>
      </w:r>
      <w:bookmarkEnd w:id="136"/>
    </w:p>
    <w:p w:rsidR="008E2C8E" w:rsidRPr="008E2C8E" w:rsidRDefault="008E2C8E" w:rsidP="008E2C8E">
      <w:pPr>
        <w:pStyle w:val="Heading1"/>
        <w:spacing w:after="0"/>
        <w:ind w:left="720" w:hanging="720"/>
        <w:rPr>
          <w:rFonts w:cs="Arial"/>
          <w:b w:val="0"/>
          <w:noProof/>
          <w:sz w:val="22"/>
        </w:rPr>
      </w:pPr>
      <w:bookmarkStart w:id="137" w:name="_ENREF_26"/>
      <w:r w:rsidRPr="008E2C8E">
        <w:rPr>
          <w:rFonts w:cs="Arial"/>
          <w:b w:val="0"/>
          <w:noProof/>
          <w:sz w:val="22"/>
        </w:rPr>
        <w:t>Nixon R &amp; Williams J (2007). Occupational irritant contact dermatitis: Data from an Australian occupational dermatology clinic. Allergologie, 30(8):285-285.</w:t>
      </w:r>
      <w:bookmarkEnd w:id="137"/>
    </w:p>
    <w:p w:rsidR="008E2C8E" w:rsidRPr="008E2C8E" w:rsidRDefault="008E2C8E" w:rsidP="008E2C8E">
      <w:pPr>
        <w:pStyle w:val="Heading1"/>
        <w:spacing w:after="0"/>
        <w:ind w:left="720" w:hanging="720"/>
        <w:rPr>
          <w:rFonts w:cs="Arial"/>
          <w:b w:val="0"/>
          <w:noProof/>
          <w:sz w:val="22"/>
        </w:rPr>
      </w:pPr>
      <w:bookmarkStart w:id="138" w:name="_ENREF_27"/>
      <w:r w:rsidRPr="008E2C8E">
        <w:rPr>
          <w:rFonts w:cs="Arial"/>
          <w:b w:val="0"/>
          <w:noProof/>
          <w:sz w:val="22"/>
        </w:rPr>
        <w:t>NOHSC (1995). Adopted National Exposure Standards for Atmospheric Contaminants in the Occupational Environment Canberra: National Occupational Health and Safety Commission, Commonwealth of Australia.</w:t>
      </w:r>
      <w:bookmarkEnd w:id="138"/>
    </w:p>
    <w:p w:rsidR="008E2C8E" w:rsidRPr="008E2C8E" w:rsidRDefault="008E2C8E" w:rsidP="008E2C8E">
      <w:pPr>
        <w:pStyle w:val="Heading1"/>
        <w:spacing w:after="0"/>
        <w:ind w:left="720" w:hanging="720"/>
        <w:rPr>
          <w:rFonts w:cs="Arial"/>
          <w:b w:val="0"/>
          <w:noProof/>
          <w:sz w:val="22"/>
        </w:rPr>
      </w:pPr>
      <w:bookmarkStart w:id="139" w:name="_ENREF_28"/>
      <w:r w:rsidRPr="008E2C8E">
        <w:rPr>
          <w:rFonts w:cs="Arial"/>
          <w:b w:val="0"/>
          <w:noProof/>
          <w:sz w:val="22"/>
        </w:rPr>
        <w:t>NOHSC (2002). Type of Occurrence Classification System Revised 2.1 Edition (Revised 2.1 Edition). Canberra: National Occupational Health and Safety Commission.</w:t>
      </w:r>
      <w:bookmarkEnd w:id="139"/>
    </w:p>
    <w:p w:rsidR="008E2C8E" w:rsidRPr="008E2C8E" w:rsidRDefault="008E2C8E" w:rsidP="008E2C8E">
      <w:pPr>
        <w:pStyle w:val="Heading1"/>
        <w:spacing w:after="0"/>
        <w:ind w:left="720" w:hanging="720"/>
        <w:rPr>
          <w:rFonts w:cs="Arial"/>
          <w:b w:val="0"/>
          <w:noProof/>
          <w:sz w:val="22"/>
        </w:rPr>
      </w:pPr>
      <w:bookmarkStart w:id="140" w:name="_ENREF_29"/>
      <w:r w:rsidRPr="008E2C8E">
        <w:rPr>
          <w:rFonts w:cs="Arial"/>
          <w:b w:val="0"/>
          <w:noProof/>
          <w:sz w:val="22"/>
        </w:rPr>
        <w:t>NOHSC (2004). Approved criteria for classifying hazardous substances [NOHSC:1008(2004)]. (Third). Canberra: National Occupational Health and Safety Commission, Commonwealth of Australia.</w:t>
      </w:r>
      <w:bookmarkEnd w:id="140"/>
    </w:p>
    <w:p w:rsidR="008E2C8E" w:rsidRPr="008E2C8E" w:rsidRDefault="008E2C8E" w:rsidP="008E2C8E">
      <w:pPr>
        <w:pStyle w:val="Heading1"/>
        <w:spacing w:after="0"/>
        <w:ind w:left="720" w:hanging="720"/>
        <w:rPr>
          <w:rFonts w:cs="Arial"/>
          <w:b w:val="0"/>
          <w:noProof/>
          <w:sz w:val="22"/>
        </w:rPr>
      </w:pPr>
      <w:bookmarkStart w:id="141" w:name="_ENREF_30"/>
      <w:r w:rsidRPr="008E2C8E">
        <w:rPr>
          <w:rFonts w:cs="Arial"/>
          <w:b w:val="0"/>
          <w:noProof/>
          <w:sz w:val="22"/>
        </w:rPr>
        <w:t>Rietschel RL, Mathias CGT, Fowler JF, Jr, Pratt M, Taylor JS, Sheretz EF, et al. (2002). Relationship of Occupation to Cotnact Dermatitis: Evaluation in Patients Tested from 1998 to 2000. American Journal of Contact Dermatitis, 13(4):170-176.</w:t>
      </w:r>
      <w:bookmarkEnd w:id="141"/>
    </w:p>
    <w:p w:rsidR="008E2C8E" w:rsidRPr="008E2C8E" w:rsidRDefault="008E2C8E" w:rsidP="008E2C8E">
      <w:pPr>
        <w:pStyle w:val="Heading1"/>
        <w:spacing w:after="0"/>
        <w:ind w:left="720" w:hanging="720"/>
        <w:rPr>
          <w:rFonts w:cs="Arial"/>
          <w:b w:val="0"/>
          <w:noProof/>
          <w:sz w:val="22"/>
        </w:rPr>
      </w:pPr>
      <w:bookmarkStart w:id="142" w:name="_ENREF_31"/>
      <w:r w:rsidRPr="008E2C8E">
        <w:rPr>
          <w:rFonts w:cs="Arial"/>
          <w:b w:val="0"/>
          <w:noProof/>
          <w:sz w:val="22"/>
        </w:rPr>
        <w:t>Rosen RH &amp; Freeman S (1992). Occupational contact dermatitis in New South Wales. Australas J Dermatol, 33(1):1-10.</w:t>
      </w:r>
      <w:bookmarkEnd w:id="142"/>
    </w:p>
    <w:p w:rsidR="008E2C8E" w:rsidRPr="008E2C8E" w:rsidRDefault="008E2C8E" w:rsidP="008E2C8E">
      <w:pPr>
        <w:pStyle w:val="Heading1"/>
        <w:spacing w:after="0"/>
        <w:ind w:left="720" w:hanging="720"/>
        <w:rPr>
          <w:rFonts w:cs="Arial"/>
          <w:b w:val="0"/>
          <w:noProof/>
          <w:sz w:val="22"/>
        </w:rPr>
      </w:pPr>
      <w:bookmarkStart w:id="143" w:name="_ENREF_32"/>
      <w:r w:rsidRPr="008E2C8E">
        <w:rPr>
          <w:rFonts w:cs="Arial"/>
          <w:b w:val="0"/>
          <w:noProof/>
          <w:sz w:val="22"/>
        </w:rPr>
        <w:t>Rosen RH &amp; Freeman S (1993). Prognosis of Occupational Contact-Dermatitis in New-South-Wales, Australia. Contact Dermatitis, 29(2):88-93.</w:t>
      </w:r>
      <w:bookmarkEnd w:id="143"/>
    </w:p>
    <w:p w:rsidR="008E2C8E" w:rsidRPr="008E2C8E" w:rsidRDefault="008E2C8E" w:rsidP="008E2C8E">
      <w:pPr>
        <w:pStyle w:val="Heading1"/>
        <w:spacing w:after="0"/>
        <w:ind w:left="720" w:hanging="720"/>
        <w:rPr>
          <w:rFonts w:cs="Arial"/>
          <w:b w:val="0"/>
          <w:noProof/>
          <w:sz w:val="22"/>
        </w:rPr>
      </w:pPr>
      <w:bookmarkStart w:id="144" w:name="_ENREF_33"/>
      <w:r w:rsidRPr="008E2C8E">
        <w:rPr>
          <w:rFonts w:cs="Arial"/>
          <w:b w:val="0"/>
          <w:noProof/>
          <w:sz w:val="22"/>
        </w:rPr>
        <w:t>Safe Work Australia (2010). National Hazard Exposure Worker Surveillance: Exposure to dust, gases, vapours, smoke and fumes and the provision of controls for these airborne hazards in Australian workplaces. Canberra: Safe Work Australia.</w:t>
      </w:r>
      <w:bookmarkEnd w:id="144"/>
    </w:p>
    <w:p w:rsidR="008E2C8E" w:rsidRPr="008E2C8E" w:rsidRDefault="008E2C8E" w:rsidP="008E2C8E">
      <w:pPr>
        <w:pStyle w:val="Heading1"/>
        <w:spacing w:after="0"/>
        <w:ind w:left="720" w:hanging="720"/>
        <w:rPr>
          <w:rFonts w:cs="Arial"/>
          <w:b w:val="0"/>
          <w:noProof/>
          <w:sz w:val="22"/>
        </w:rPr>
      </w:pPr>
      <w:bookmarkStart w:id="145" w:name="_ENREF_34"/>
      <w:r w:rsidRPr="008E2C8E">
        <w:rPr>
          <w:rFonts w:cs="Arial"/>
          <w:b w:val="0"/>
          <w:noProof/>
          <w:sz w:val="22"/>
        </w:rPr>
        <w:t>US National Institute of Occupational Safety and Health (2010). The Skin Exposure website &lt;</w:t>
      </w:r>
      <w:hyperlink r:id="rId25" w:history="1">
        <w:r w:rsidRPr="008E2C8E">
          <w:rPr>
            <w:rStyle w:val="Hyperlink"/>
            <w:rFonts w:cs="Arial"/>
            <w:b w:val="0"/>
            <w:noProof/>
            <w:sz w:val="22"/>
          </w:rPr>
          <w:t>http://www.cdc.gov/niosh/topics/skin/recommendations.html&gt;</w:t>
        </w:r>
      </w:hyperlink>
      <w:r w:rsidRPr="008E2C8E">
        <w:rPr>
          <w:rFonts w:cs="Arial"/>
          <w:b w:val="0"/>
          <w:noProof/>
          <w:sz w:val="22"/>
        </w:rPr>
        <w:t>. Viewed 26/8/11.</w:t>
      </w:r>
      <w:bookmarkEnd w:id="145"/>
    </w:p>
    <w:p w:rsidR="008E2C8E" w:rsidRPr="008E2C8E" w:rsidRDefault="008E2C8E" w:rsidP="008E2C8E">
      <w:pPr>
        <w:pStyle w:val="Heading1"/>
        <w:ind w:left="720" w:hanging="720"/>
        <w:rPr>
          <w:rFonts w:cs="Arial"/>
          <w:b w:val="0"/>
          <w:noProof/>
          <w:sz w:val="22"/>
        </w:rPr>
      </w:pPr>
      <w:bookmarkStart w:id="146" w:name="_ENREF_35"/>
      <w:r w:rsidRPr="008E2C8E">
        <w:rPr>
          <w:rFonts w:cs="Arial"/>
          <w:b w:val="0"/>
          <w:noProof/>
          <w:sz w:val="22"/>
        </w:rPr>
        <w:t>Williams JD, Lee AY, Matheson MC, Frowen KE, Noonan AM &amp; Nixon RL (2008). Occupational contact urticaria: Australian data. Br J Dermatol, 159(1):125-31.</w:t>
      </w:r>
      <w:bookmarkEnd w:id="146"/>
    </w:p>
    <w:p w:rsidR="008E2C8E" w:rsidRDefault="008E2C8E" w:rsidP="008E2C8E">
      <w:pPr>
        <w:pStyle w:val="Heading1"/>
        <w:rPr>
          <w:rFonts w:cs="Arial"/>
          <w:b w:val="0"/>
          <w:noProof/>
          <w:sz w:val="22"/>
        </w:rPr>
      </w:pPr>
    </w:p>
    <w:p w:rsidR="00F76CE4" w:rsidRPr="00356510" w:rsidRDefault="00AB2546" w:rsidP="00B74546">
      <w:pPr>
        <w:pStyle w:val="Heading1"/>
      </w:pPr>
      <w:r w:rsidRPr="00806A25">
        <w:rPr>
          <w:b w:val="0"/>
        </w:rPr>
        <w:fldChar w:fldCharType="end"/>
      </w:r>
      <w:r w:rsidR="00417465" w:rsidRPr="00356510">
        <w:br w:type="page"/>
      </w:r>
      <w:bookmarkStart w:id="147" w:name="_Toc309808264"/>
      <w:bookmarkStart w:id="148" w:name="_Toc312075725"/>
      <w:r w:rsidR="00F76CE4" w:rsidRPr="00356510">
        <w:lastRenderedPageBreak/>
        <w:t>List of Tables</w:t>
      </w:r>
      <w:bookmarkEnd w:id="147"/>
      <w:bookmarkEnd w:id="148"/>
    </w:p>
    <w:p w:rsidR="002C49A5" w:rsidRDefault="00AB2546">
      <w:pPr>
        <w:pStyle w:val="TableofFigures"/>
        <w:tabs>
          <w:tab w:val="right" w:leader="dot" w:pos="9017"/>
        </w:tabs>
        <w:rPr>
          <w:rFonts w:asciiTheme="minorHAnsi" w:eastAsiaTheme="minorEastAsia" w:hAnsiTheme="minorHAnsi" w:cstheme="minorBidi"/>
          <w:noProof/>
          <w:szCs w:val="22"/>
          <w:lang w:eastAsia="en-AU"/>
        </w:rPr>
      </w:pPr>
      <w:r w:rsidRPr="00356510">
        <w:fldChar w:fldCharType="begin"/>
      </w:r>
      <w:r w:rsidR="00F76CE4" w:rsidRPr="00356510">
        <w:instrText xml:space="preserve"> TOC \h \z \c "Table" </w:instrText>
      </w:r>
      <w:r w:rsidRPr="00356510">
        <w:fldChar w:fldCharType="separate"/>
      </w:r>
      <w:hyperlink w:anchor="_Toc314730496" w:history="1">
        <w:r w:rsidR="002C49A5" w:rsidRPr="00FC45F2">
          <w:rPr>
            <w:rStyle w:val="Hyperlink"/>
            <w:noProof/>
          </w:rPr>
          <w:t>Table 1. Types of self-reported exposures to chemicals</w:t>
        </w:r>
        <w:r w:rsidR="002C49A5">
          <w:rPr>
            <w:noProof/>
            <w:webHidden/>
          </w:rPr>
          <w:tab/>
        </w:r>
        <w:r>
          <w:rPr>
            <w:noProof/>
            <w:webHidden/>
          </w:rPr>
          <w:fldChar w:fldCharType="begin"/>
        </w:r>
        <w:r w:rsidR="002C49A5">
          <w:rPr>
            <w:noProof/>
            <w:webHidden/>
          </w:rPr>
          <w:instrText xml:space="preserve"> PAGEREF _Toc314730496 \h </w:instrText>
        </w:r>
        <w:r>
          <w:rPr>
            <w:noProof/>
            <w:webHidden/>
          </w:rPr>
        </w:r>
        <w:r>
          <w:rPr>
            <w:noProof/>
            <w:webHidden/>
          </w:rPr>
          <w:fldChar w:fldCharType="separate"/>
        </w:r>
        <w:r w:rsidR="002C49A5">
          <w:rPr>
            <w:noProof/>
            <w:webHidden/>
          </w:rPr>
          <w:t>14</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497" w:history="1">
        <w:r w:rsidR="002C49A5" w:rsidRPr="00FC45F2">
          <w:rPr>
            <w:rStyle w:val="Hyperlink"/>
            <w:noProof/>
          </w:rPr>
          <w:t>Table 2. The types of self-reported exposure to chemicals within industries</w:t>
        </w:r>
        <w:r w:rsidR="002C49A5">
          <w:rPr>
            <w:noProof/>
            <w:webHidden/>
          </w:rPr>
          <w:tab/>
        </w:r>
        <w:r>
          <w:rPr>
            <w:noProof/>
            <w:webHidden/>
          </w:rPr>
          <w:fldChar w:fldCharType="begin"/>
        </w:r>
        <w:r w:rsidR="002C49A5">
          <w:rPr>
            <w:noProof/>
            <w:webHidden/>
          </w:rPr>
          <w:instrText xml:space="preserve"> PAGEREF _Toc314730497 \h </w:instrText>
        </w:r>
        <w:r>
          <w:rPr>
            <w:noProof/>
            <w:webHidden/>
          </w:rPr>
        </w:r>
        <w:r>
          <w:rPr>
            <w:noProof/>
            <w:webHidden/>
          </w:rPr>
          <w:fldChar w:fldCharType="separate"/>
        </w:r>
        <w:r w:rsidR="002C49A5">
          <w:rPr>
            <w:noProof/>
            <w:webHidden/>
          </w:rPr>
          <w:t>22</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498" w:history="1">
        <w:r w:rsidR="002C49A5" w:rsidRPr="00FC45F2">
          <w:rPr>
            <w:rStyle w:val="Hyperlink"/>
            <w:noProof/>
          </w:rPr>
          <w:t xml:space="preserve">Table 3. </w:t>
        </w:r>
        <w:r w:rsidR="002C49A5" w:rsidRPr="00FC45F2">
          <w:rPr>
            <w:rStyle w:val="Hyperlink"/>
            <w:rFonts w:cs="Arial"/>
            <w:noProof/>
          </w:rPr>
          <w:t>Results (odds ratios and 95% confidence intervals) of the multivariate logistic regression models examining self reported exposure to: Bases and Alkalis, Non-bituminous hydrocarbon fuels, Organic solvents, and Paints, varnishes and inks</w:t>
        </w:r>
        <w:r w:rsidR="002C49A5">
          <w:rPr>
            <w:noProof/>
            <w:webHidden/>
          </w:rPr>
          <w:tab/>
        </w:r>
        <w:r>
          <w:rPr>
            <w:noProof/>
            <w:webHidden/>
          </w:rPr>
          <w:fldChar w:fldCharType="begin"/>
        </w:r>
        <w:r w:rsidR="002C49A5">
          <w:rPr>
            <w:noProof/>
            <w:webHidden/>
          </w:rPr>
          <w:instrText xml:space="preserve"> PAGEREF _Toc314730498 \h </w:instrText>
        </w:r>
        <w:r>
          <w:rPr>
            <w:noProof/>
            <w:webHidden/>
          </w:rPr>
        </w:r>
        <w:r>
          <w:rPr>
            <w:noProof/>
            <w:webHidden/>
          </w:rPr>
          <w:fldChar w:fldCharType="separate"/>
        </w:r>
        <w:r w:rsidR="002C49A5">
          <w:rPr>
            <w:noProof/>
            <w:webHidden/>
          </w:rPr>
          <w:t>24</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499" w:history="1">
        <w:r w:rsidR="002C49A5" w:rsidRPr="00FC45F2">
          <w:rPr>
            <w:rStyle w:val="Hyperlink"/>
            <w:noProof/>
          </w:rPr>
          <w:t xml:space="preserve">Table 4. </w:t>
        </w:r>
        <w:r w:rsidR="002C49A5" w:rsidRPr="00FC45F2">
          <w:rPr>
            <w:rStyle w:val="Hyperlink"/>
            <w:rFonts w:cs="Arial"/>
            <w:noProof/>
          </w:rPr>
          <w:t>Results (odds ratios and 95% confidence intervals) of the multivariate logistic regression models: Detergents, Disinfectants, Cement and lime</w:t>
        </w:r>
        <w:r w:rsidR="002C49A5">
          <w:rPr>
            <w:noProof/>
            <w:webHidden/>
          </w:rPr>
          <w:tab/>
        </w:r>
        <w:r>
          <w:rPr>
            <w:noProof/>
            <w:webHidden/>
          </w:rPr>
          <w:fldChar w:fldCharType="begin"/>
        </w:r>
        <w:r w:rsidR="002C49A5">
          <w:rPr>
            <w:noProof/>
            <w:webHidden/>
          </w:rPr>
          <w:instrText xml:space="preserve"> PAGEREF _Toc314730499 \h </w:instrText>
        </w:r>
        <w:r>
          <w:rPr>
            <w:noProof/>
            <w:webHidden/>
          </w:rPr>
        </w:r>
        <w:r>
          <w:rPr>
            <w:noProof/>
            <w:webHidden/>
          </w:rPr>
          <w:fldChar w:fldCharType="separate"/>
        </w:r>
        <w:r w:rsidR="002C49A5">
          <w:rPr>
            <w:noProof/>
            <w:webHidden/>
          </w:rPr>
          <w:t>25</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0" w:history="1">
        <w:r w:rsidR="002C49A5" w:rsidRPr="00FC45F2">
          <w:rPr>
            <w:rStyle w:val="Hyperlink"/>
            <w:noProof/>
          </w:rPr>
          <w:t>Table 5. The provision of controls for dermal chemical exposure: the percentage of workers who reported each type of control was provided within industry</w:t>
        </w:r>
        <w:r w:rsidR="002C49A5">
          <w:rPr>
            <w:noProof/>
            <w:webHidden/>
          </w:rPr>
          <w:tab/>
        </w:r>
        <w:r>
          <w:rPr>
            <w:noProof/>
            <w:webHidden/>
          </w:rPr>
          <w:fldChar w:fldCharType="begin"/>
        </w:r>
        <w:r w:rsidR="002C49A5">
          <w:rPr>
            <w:noProof/>
            <w:webHidden/>
          </w:rPr>
          <w:instrText xml:space="preserve"> PAGEREF _Toc314730500 \h </w:instrText>
        </w:r>
        <w:r>
          <w:rPr>
            <w:noProof/>
            <w:webHidden/>
          </w:rPr>
        </w:r>
        <w:r>
          <w:rPr>
            <w:noProof/>
            <w:webHidden/>
          </w:rPr>
          <w:fldChar w:fldCharType="separate"/>
        </w:r>
        <w:r w:rsidR="002C49A5">
          <w:rPr>
            <w:noProof/>
            <w:webHidden/>
          </w:rPr>
          <w:t>28</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1" w:history="1">
        <w:r w:rsidR="002C49A5" w:rsidRPr="00FC45F2">
          <w:rPr>
            <w:rStyle w:val="Hyperlink"/>
            <w:noProof/>
          </w:rPr>
          <w:t>Table 6. Provision of gloves for dermal chemical exposure control: the percentage of workers within industry who reported gloves were provided and the percentages of workers within industry who reported they normally used each glove type</w:t>
        </w:r>
        <w:r w:rsidR="002C49A5">
          <w:rPr>
            <w:noProof/>
            <w:webHidden/>
          </w:rPr>
          <w:tab/>
        </w:r>
        <w:r>
          <w:rPr>
            <w:noProof/>
            <w:webHidden/>
          </w:rPr>
          <w:fldChar w:fldCharType="begin"/>
        </w:r>
        <w:r w:rsidR="002C49A5">
          <w:rPr>
            <w:noProof/>
            <w:webHidden/>
          </w:rPr>
          <w:instrText xml:space="preserve"> PAGEREF _Toc314730501 \h </w:instrText>
        </w:r>
        <w:r>
          <w:rPr>
            <w:noProof/>
            <w:webHidden/>
          </w:rPr>
        </w:r>
        <w:r>
          <w:rPr>
            <w:noProof/>
            <w:webHidden/>
          </w:rPr>
          <w:fldChar w:fldCharType="separate"/>
        </w:r>
        <w:r w:rsidR="002C49A5">
          <w:rPr>
            <w:noProof/>
            <w:webHidden/>
          </w:rPr>
          <w:t>30</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2" w:history="1">
        <w:r w:rsidR="002C49A5" w:rsidRPr="00FC45F2">
          <w:rPr>
            <w:rStyle w:val="Hyperlink"/>
            <w:noProof/>
          </w:rPr>
          <w:t>Table 7. Results (odds ratios and 95% confidence intervals) of the multivariate logistic regressions examining the provision of dermal exposure controls</w:t>
        </w:r>
        <w:r w:rsidR="002C49A5">
          <w:rPr>
            <w:noProof/>
            <w:webHidden/>
          </w:rPr>
          <w:tab/>
        </w:r>
        <w:r>
          <w:rPr>
            <w:noProof/>
            <w:webHidden/>
          </w:rPr>
          <w:fldChar w:fldCharType="begin"/>
        </w:r>
        <w:r w:rsidR="002C49A5">
          <w:rPr>
            <w:noProof/>
            <w:webHidden/>
          </w:rPr>
          <w:instrText xml:space="preserve"> PAGEREF _Toc314730502 \h </w:instrText>
        </w:r>
        <w:r>
          <w:rPr>
            <w:noProof/>
            <w:webHidden/>
          </w:rPr>
        </w:r>
        <w:r>
          <w:rPr>
            <w:noProof/>
            <w:webHidden/>
          </w:rPr>
          <w:fldChar w:fldCharType="separate"/>
        </w:r>
        <w:r w:rsidR="002C49A5">
          <w:rPr>
            <w:noProof/>
            <w:webHidden/>
          </w:rPr>
          <w:t>31</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3" w:history="1">
        <w:r w:rsidR="002C49A5" w:rsidRPr="00FC45F2">
          <w:rPr>
            <w:rStyle w:val="Hyperlink"/>
            <w:noProof/>
          </w:rPr>
          <w:t>Table 8. The percentage of workers who reported exposure to each type of chemical</w:t>
        </w:r>
        <w:r w:rsidR="002C49A5">
          <w:rPr>
            <w:noProof/>
            <w:webHidden/>
          </w:rPr>
          <w:tab/>
        </w:r>
        <w:r>
          <w:rPr>
            <w:noProof/>
            <w:webHidden/>
          </w:rPr>
          <w:fldChar w:fldCharType="begin"/>
        </w:r>
        <w:r w:rsidR="002C49A5">
          <w:rPr>
            <w:noProof/>
            <w:webHidden/>
          </w:rPr>
          <w:instrText xml:space="preserve"> PAGEREF _Toc314730503 \h </w:instrText>
        </w:r>
        <w:r>
          <w:rPr>
            <w:noProof/>
            <w:webHidden/>
          </w:rPr>
        </w:r>
        <w:r>
          <w:rPr>
            <w:noProof/>
            <w:webHidden/>
          </w:rPr>
          <w:fldChar w:fldCharType="separate"/>
        </w:r>
        <w:r w:rsidR="002C49A5">
          <w:rPr>
            <w:noProof/>
            <w:webHidden/>
          </w:rPr>
          <w:t>47</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4" w:history="1">
        <w:r w:rsidR="002C49A5" w:rsidRPr="00FC45F2">
          <w:rPr>
            <w:rStyle w:val="Hyperlink"/>
            <w:noProof/>
          </w:rPr>
          <w:t>Table 9. Exposure to the most commonly reported chemical categories by worker demographic and workplace characteristics*</w:t>
        </w:r>
        <w:r w:rsidR="002C49A5">
          <w:rPr>
            <w:noProof/>
            <w:webHidden/>
          </w:rPr>
          <w:tab/>
        </w:r>
        <w:r>
          <w:rPr>
            <w:noProof/>
            <w:webHidden/>
          </w:rPr>
          <w:fldChar w:fldCharType="begin"/>
        </w:r>
        <w:r w:rsidR="002C49A5">
          <w:rPr>
            <w:noProof/>
            <w:webHidden/>
          </w:rPr>
          <w:instrText xml:space="preserve"> PAGEREF _Toc314730504 \h </w:instrText>
        </w:r>
        <w:r>
          <w:rPr>
            <w:noProof/>
            <w:webHidden/>
          </w:rPr>
        </w:r>
        <w:r>
          <w:rPr>
            <w:noProof/>
            <w:webHidden/>
          </w:rPr>
          <w:fldChar w:fldCharType="separate"/>
        </w:r>
        <w:r w:rsidR="002C49A5">
          <w:rPr>
            <w:noProof/>
            <w:webHidden/>
          </w:rPr>
          <w:t>49</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5" w:history="1">
        <w:r w:rsidR="002C49A5" w:rsidRPr="00FC45F2">
          <w:rPr>
            <w:rStyle w:val="Hyperlink"/>
            <w:noProof/>
          </w:rPr>
          <w:t>Table 10  Chemical exposure controls provided in the workplace by worker demographic and workplace characteristics*</w:t>
        </w:r>
        <w:r w:rsidR="002C49A5">
          <w:rPr>
            <w:noProof/>
            <w:webHidden/>
          </w:rPr>
          <w:tab/>
        </w:r>
        <w:r>
          <w:rPr>
            <w:noProof/>
            <w:webHidden/>
          </w:rPr>
          <w:fldChar w:fldCharType="begin"/>
        </w:r>
        <w:r w:rsidR="002C49A5">
          <w:rPr>
            <w:noProof/>
            <w:webHidden/>
          </w:rPr>
          <w:instrText xml:space="preserve"> PAGEREF _Toc314730505 \h </w:instrText>
        </w:r>
        <w:r>
          <w:rPr>
            <w:noProof/>
            <w:webHidden/>
          </w:rPr>
        </w:r>
        <w:r>
          <w:rPr>
            <w:noProof/>
            <w:webHidden/>
          </w:rPr>
          <w:fldChar w:fldCharType="separate"/>
        </w:r>
        <w:r w:rsidR="002C49A5">
          <w:rPr>
            <w:noProof/>
            <w:webHidden/>
          </w:rPr>
          <w:t>50</w:t>
        </w:r>
        <w:r>
          <w:rPr>
            <w:noProof/>
            <w:webHidden/>
          </w:rPr>
          <w:fldChar w:fldCharType="end"/>
        </w:r>
      </w:hyperlink>
    </w:p>
    <w:p w:rsidR="00F76CE4" w:rsidRPr="00356510" w:rsidRDefault="00AB2546" w:rsidP="006809DA">
      <w:r w:rsidRPr="00356510">
        <w:fldChar w:fldCharType="end"/>
      </w:r>
    </w:p>
    <w:p w:rsidR="002C49A5" w:rsidRDefault="00F76CE4" w:rsidP="00F76CE4">
      <w:pPr>
        <w:pStyle w:val="Heading1"/>
        <w:rPr>
          <w:noProof/>
        </w:rPr>
      </w:pPr>
      <w:bookmarkStart w:id="149" w:name="_Toc309808265"/>
      <w:bookmarkStart w:id="150" w:name="_Toc312075726"/>
      <w:r w:rsidRPr="00356510">
        <w:t>Table of Figures</w:t>
      </w:r>
      <w:bookmarkEnd w:id="149"/>
      <w:bookmarkEnd w:id="150"/>
      <w:r w:rsidR="00AB2546" w:rsidRPr="00AB2546">
        <w:fldChar w:fldCharType="begin"/>
      </w:r>
      <w:r w:rsidRPr="00356510">
        <w:instrText xml:space="preserve"> TOC \h \z \c "Figure" </w:instrText>
      </w:r>
      <w:r w:rsidR="00AB2546" w:rsidRPr="00AB2546">
        <w:fldChar w:fldCharType="separate"/>
      </w:r>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6" w:history="1">
        <w:r w:rsidR="002C49A5" w:rsidRPr="002A3DD8">
          <w:rPr>
            <w:rStyle w:val="Hyperlink"/>
            <w:rFonts w:cs="Arial"/>
            <w:noProof/>
          </w:rPr>
          <w:t>Figure 1. The average number of hours per week workers reported exposure to chemicals in Australian industries</w:t>
        </w:r>
        <w:r w:rsidR="002C49A5">
          <w:rPr>
            <w:noProof/>
            <w:webHidden/>
          </w:rPr>
          <w:tab/>
        </w:r>
        <w:r>
          <w:rPr>
            <w:noProof/>
            <w:webHidden/>
          </w:rPr>
          <w:fldChar w:fldCharType="begin"/>
        </w:r>
        <w:r w:rsidR="002C49A5">
          <w:rPr>
            <w:noProof/>
            <w:webHidden/>
          </w:rPr>
          <w:instrText xml:space="preserve"> PAGEREF _Toc314730506 \h </w:instrText>
        </w:r>
        <w:r>
          <w:rPr>
            <w:noProof/>
            <w:webHidden/>
          </w:rPr>
        </w:r>
        <w:r>
          <w:rPr>
            <w:noProof/>
            <w:webHidden/>
          </w:rPr>
          <w:fldChar w:fldCharType="separate"/>
        </w:r>
        <w:r w:rsidR="002C49A5">
          <w:rPr>
            <w:noProof/>
            <w:webHidden/>
          </w:rPr>
          <w:t>12</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7" w:history="1">
        <w:r w:rsidR="002C49A5" w:rsidRPr="002A3DD8">
          <w:rPr>
            <w:rStyle w:val="Hyperlink"/>
            <w:noProof/>
          </w:rPr>
          <w:t>Figure 2. The types of self-reported chemical exposure categories by worker gender</w:t>
        </w:r>
        <w:r w:rsidR="002C49A5">
          <w:rPr>
            <w:noProof/>
            <w:webHidden/>
          </w:rPr>
          <w:tab/>
        </w:r>
        <w:r>
          <w:rPr>
            <w:noProof/>
            <w:webHidden/>
          </w:rPr>
          <w:fldChar w:fldCharType="begin"/>
        </w:r>
        <w:r w:rsidR="002C49A5">
          <w:rPr>
            <w:noProof/>
            <w:webHidden/>
          </w:rPr>
          <w:instrText xml:space="preserve"> PAGEREF _Toc314730507 \h </w:instrText>
        </w:r>
        <w:r>
          <w:rPr>
            <w:noProof/>
            <w:webHidden/>
          </w:rPr>
        </w:r>
        <w:r>
          <w:rPr>
            <w:noProof/>
            <w:webHidden/>
          </w:rPr>
          <w:fldChar w:fldCharType="separate"/>
        </w:r>
        <w:r w:rsidR="002C49A5">
          <w:rPr>
            <w:noProof/>
            <w:webHidden/>
          </w:rPr>
          <w:t>16</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8" w:history="1">
        <w:r w:rsidR="002C49A5" w:rsidRPr="002A3DD8">
          <w:rPr>
            <w:rStyle w:val="Hyperlink"/>
            <w:noProof/>
          </w:rPr>
          <w:t>Figure 3. The types of self-reported chemical exposure categories by worker age group</w:t>
        </w:r>
        <w:r w:rsidR="002C49A5">
          <w:rPr>
            <w:noProof/>
            <w:webHidden/>
          </w:rPr>
          <w:tab/>
        </w:r>
        <w:r>
          <w:rPr>
            <w:noProof/>
            <w:webHidden/>
          </w:rPr>
          <w:fldChar w:fldCharType="begin"/>
        </w:r>
        <w:r w:rsidR="002C49A5">
          <w:rPr>
            <w:noProof/>
            <w:webHidden/>
          </w:rPr>
          <w:instrText xml:space="preserve"> PAGEREF _Toc314730508 \h </w:instrText>
        </w:r>
        <w:r>
          <w:rPr>
            <w:noProof/>
            <w:webHidden/>
          </w:rPr>
        </w:r>
        <w:r>
          <w:rPr>
            <w:noProof/>
            <w:webHidden/>
          </w:rPr>
          <w:fldChar w:fldCharType="separate"/>
        </w:r>
        <w:r w:rsidR="002C49A5">
          <w:rPr>
            <w:noProof/>
            <w:webHidden/>
          </w:rPr>
          <w:t>17</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09" w:history="1">
        <w:r w:rsidR="002C49A5" w:rsidRPr="002A3DD8">
          <w:rPr>
            <w:rStyle w:val="Hyperlink"/>
            <w:noProof/>
          </w:rPr>
          <w:t>Figure 4. The types of self-reported chemical exposure by worker employment arrangement</w:t>
        </w:r>
        <w:r w:rsidR="002C49A5">
          <w:rPr>
            <w:noProof/>
            <w:webHidden/>
          </w:rPr>
          <w:tab/>
        </w:r>
        <w:r>
          <w:rPr>
            <w:noProof/>
            <w:webHidden/>
          </w:rPr>
          <w:fldChar w:fldCharType="begin"/>
        </w:r>
        <w:r w:rsidR="002C49A5">
          <w:rPr>
            <w:noProof/>
            <w:webHidden/>
          </w:rPr>
          <w:instrText xml:space="preserve"> PAGEREF _Toc314730509 \h </w:instrText>
        </w:r>
        <w:r>
          <w:rPr>
            <w:noProof/>
            <w:webHidden/>
          </w:rPr>
        </w:r>
        <w:r>
          <w:rPr>
            <w:noProof/>
            <w:webHidden/>
          </w:rPr>
          <w:fldChar w:fldCharType="separate"/>
        </w:r>
        <w:r w:rsidR="002C49A5">
          <w:rPr>
            <w:noProof/>
            <w:webHidden/>
          </w:rPr>
          <w:t>17</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10" w:history="1">
        <w:r w:rsidR="002C49A5" w:rsidRPr="002A3DD8">
          <w:rPr>
            <w:rStyle w:val="Hyperlink"/>
            <w:noProof/>
          </w:rPr>
          <w:t>Figure 5. The types of self-reported chemical exposure by worker occupational skill level</w:t>
        </w:r>
        <w:r w:rsidR="002C49A5">
          <w:rPr>
            <w:noProof/>
            <w:webHidden/>
          </w:rPr>
          <w:tab/>
        </w:r>
        <w:r>
          <w:rPr>
            <w:noProof/>
            <w:webHidden/>
          </w:rPr>
          <w:fldChar w:fldCharType="begin"/>
        </w:r>
        <w:r w:rsidR="002C49A5">
          <w:rPr>
            <w:noProof/>
            <w:webHidden/>
          </w:rPr>
          <w:instrText xml:space="preserve"> PAGEREF _Toc314730510 \h </w:instrText>
        </w:r>
        <w:r>
          <w:rPr>
            <w:noProof/>
            <w:webHidden/>
          </w:rPr>
        </w:r>
        <w:r>
          <w:rPr>
            <w:noProof/>
            <w:webHidden/>
          </w:rPr>
          <w:fldChar w:fldCharType="separate"/>
        </w:r>
        <w:r w:rsidR="002C49A5">
          <w:rPr>
            <w:noProof/>
            <w:webHidden/>
          </w:rPr>
          <w:t>19</w:t>
        </w:r>
        <w:r>
          <w:rPr>
            <w:noProof/>
            <w:webHidden/>
          </w:rPr>
          <w:fldChar w:fldCharType="end"/>
        </w:r>
      </w:hyperlink>
    </w:p>
    <w:p w:rsidR="002C49A5" w:rsidRDefault="00AB2546">
      <w:pPr>
        <w:pStyle w:val="TableofFigures"/>
        <w:tabs>
          <w:tab w:val="right" w:leader="dot" w:pos="9017"/>
        </w:tabs>
        <w:rPr>
          <w:rFonts w:asciiTheme="minorHAnsi" w:eastAsiaTheme="minorEastAsia" w:hAnsiTheme="minorHAnsi" w:cstheme="minorBidi"/>
          <w:noProof/>
          <w:szCs w:val="22"/>
          <w:lang w:eastAsia="en-AU"/>
        </w:rPr>
      </w:pPr>
      <w:hyperlink w:anchor="_Toc314730511" w:history="1">
        <w:r w:rsidR="002C49A5" w:rsidRPr="002A3DD8">
          <w:rPr>
            <w:rStyle w:val="Hyperlink"/>
            <w:noProof/>
          </w:rPr>
          <w:t>Figure 6. The types of self-reported chemical exposure by workplace size</w:t>
        </w:r>
        <w:r w:rsidR="002C49A5">
          <w:rPr>
            <w:noProof/>
            <w:webHidden/>
          </w:rPr>
          <w:tab/>
        </w:r>
        <w:r>
          <w:rPr>
            <w:noProof/>
            <w:webHidden/>
          </w:rPr>
          <w:fldChar w:fldCharType="begin"/>
        </w:r>
        <w:r w:rsidR="002C49A5">
          <w:rPr>
            <w:noProof/>
            <w:webHidden/>
          </w:rPr>
          <w:instrText xml:space="preserve"> PAGEREF _Toc314730511 \h </w:instrText>
        </w:r>
        <w:r>
          <w:rPr>
            <w:noProof/>
            <w:webHidden/>
          </w:rPr>
        </w:r>
        <w:r>
          <w:rPr>
            <w:noProof/>
            <w:webHidden/>
          </w:rPr>
          <w:fldChar w:fldCharType="separate"/>
        </w:r>
        <w:r w:rsidR="002C49A5">
          <w:rPr>
            <w:noProof/>
            <w:webHidden/>
          </w:rPr>
          <w:t>19</w:t>
        </w:r>
        <w:r>
          <w:rPr>
            <w:noProof/>
            <w:webHidden/>
          </w:rPr>
          <w:fldChar w:fldCharType="end"/>
        </w:r>
      </w:hyperlink>
    </w:p>
    <w:p w:rsidR="008E7615" w:rsidRPr="00356510" w:rsidRDefault="00AB2546" w:rsidP="006809DA">
      <w:r w:rsidRPr="00356510">
        <w:fldChar w:fldCharType="end"/>
      </w:r>
    </w:p>
    <w:p w:rsidR="009368B9" w:rsidRPr="00356510" w:rsidRDefault="00F76CE4" w:rsidP="00302E73">
      <w:pPr>
        <w:pStyle w:val="Heading1"/>
      </w:pPr>
      <w:bookmarkStart w:id="151" w:name="_Toc262655379"/>
      <w:bookmarkStart w:id="152" w:name="_Toc252799732"/>
      <w:bookmarkStart w:id="153" w:name="_Toc262655380"/>
      <w:r w:rsidRPr="00356510">
        <w:br w:type="page"/>
      </w:r>
      <w:bookmarkStart w:id="154" w:name="_Toc309808266"/>
      <w:bookmarkStart w:id="155" w:name="_Toc312075727"/>
      <w:r w:rsidR="009368B9" w:rsidRPr="00356510">
        <w:lastRenderedPageBreak/>
        <w:t>Appendix A. Detailed methodology</w:t>
      </w:r>
      <w:bookmarkEnd w:id="151"/>
      <w:bookmarkEnd w:id="154"/>
      <w:bookmarkEnd w:id="155"/>
      <w:r w:rsidR="009368B9" w:rsidRPr="00356510">
        <w:t xml:space="preserve"> </w:t>
      </w:r>
    </w:p>
    <w:p w:rsidR="009368B9" w:rsidRPr="00356510" w:rsidRDefault="009368B9" w:rsidP="00AF759F">
      <w:pPr>
        <w:pStyle w:val="Heading2"/>
      </w:pPr>
      <w:bookmarkStart w:id="156" w:name="_Toc309808267"/>
      <w:bookmarkStart w:id="157" w:name="_Toc312075728"/>
      <w:r w:rsidRPr="00356510">
        <w:t>Survey design</w:t>
      </w:r>
      <w:bookmarkEnd w:id="152"/>
      <w:bookmarkEnd w:id="153"/>
      <w:bookmarkEnd w:id="156"/>
      <w:bookmarkEnd w:id="157"/>
    </w:p>
    <w:p w:rsidR="009368B9" w:rsidRPr="00356510" w:rsidRDefault="009368B9" w:rsidP="009368B9">
      <w:pPr>
        <w:rPr>
          <w:rFonts w:cs="Arial"/>
        </w:rPr>
      </w:pPr>
      <w:r w:rsidRPr="00356510">
        <w:rPr>
          <w:rFonts w:cs="Arial"/>
        </w:rPr>
        <w:t>The purpose of the NHEWS survey was to gather information to guide decision makers in developing prevention initiatives that ultimately lead to a reduction in occupational disease</w:t>
      </w:r>
      <w:r w:rsidR="00661BC5" w:rsidRPr="00356510">
        <w:rPr>
          <w:rFonts w:cs="Arial"/>
        </w:rPr>
        <w:t xml:space="preserve">. </w:t>
      </w:r>
      <w:r w:rsidRPr="00356510">
        <w:rPr>
          <w:rFonts w:cs="Arial"/>
        </w:rPr>
        <w:t>Therefore, the survey was designed to collect demographic (e.g. sex, age, education level) and employment information (occupation, industry, employment conditions, size of workplace), exposure to a variety of different occupational hazards and information about the hazard controls provided in the workplace</w:t>
      </w:r>
      <w:r w:rsidR="00661BC5" w:rsidRPr="00356510">
        <w:rPr>
          <w:rFonts w:cs="Arial"/>
        </w:rPr>
        <w:t xml:space="preserve">. </w:t>
      </w:r>
      <w:r w:rsidRPr="00356510">
        <w:rPr>
          <w:rFonts w:cs="Arial"/>
        </w:rPr>
        <w:t>The present report is focused on the skin contact to chemicals/substances.</w:t>
      </w:r>
    </w:p>
    <w:p w:rsidR="009368B9" w:rsidRPr="00356510" w:rsidRDefault="009368B9" w:rsidP="009368B9">
      <w:pPr>
        <w:rPr>
          <w:rFonts w:cs="Arial"/>
          <w:lang w:bidi="en-US"/>
        </w:rPr>
      </w:pPr>
      <w:r w:rsidRPr="00356510">
        <w:rPr>
          <w:rFonts w:cs="Arial"/>
        </w:rPr>
        <w:t>The design and wording of the survey was undertaken by the A</w:t>
      </w:r>
      <w:r w:rsidR="008E2C8E">
        <w:rPr>
          <w:rFonts w:cs="Arial"/>
        </w:rPr>
        <w:t xml:space="preserve">ustralian </w:t>
      </w:r>
      <w:r w:rsidRPr="00356510">
        <w:rPr>
          <w:rFonts w:cs="Arial"/>
        </w:rPr>
        <w:t>S</w:t>
      </w:r>
      <w:r w:rsidR="008E2C8E">
        <w:rPr>
          <w:rFonts w:cs="Arial"/>
        </w:rPr>
        <w:t xml:space="preserve">afety and </w:t>
      </w:r>
      <w:r w:rsidRPr="00356510">
        <w:rPr>
          <w:rFonts w:cs="Arial"/>
        </w:rPr>
        <w:t>C</w:t>
      </w:r>
      <w:r w:rsidR="008E2C8E">
        <w:rPr>
          <w:rFonts w:cs="Arial"/>
        </w:rPr>
        <w:t xml:space="preserve">ompensation </w:t>
      </w:r>
      <w:r w:rsidRPr="00356510">
        <w:rPr>
          <w:rFonts w:cs="Arial"/>
        </w:rPr>
        <w:t>C</w:t>
      </w:r>
      <w:r w:rsidR="008E2C8E">
        <w:rPr>
          <w:rFonts w:cs="Arial"/>
        </w:rPr>
        <w:t>ouncil (ASCC)</w:t>
      </w:r>
      <w:r w:rsidRPr="00356510">
        <w:rPr>
          <w:rFonts w:cs="Arial"/>
        </w:rPr>
        <w:t xml:space="preserve"> in consultation with Australian </w:t>
      </w:r>
      <w:r w:rsidR="008E2C8E">
        <w:rPr>
          <w:rFonts w:cs="Arial"/>
        </w:rPr>
        <w:t>work health and safety</w:t>
      </w:r>
      <w:r w:rsidRPr="00356510">
        <w:rPr>
          <w:rFonts w:cs="Arial"/>
        </w:rPr>
        <w:t xml:space="preserve"> regulators and a panel of experts. It was based on existing Australian and international hazard exposure survey instruments. </w:t>
      </w:r>
      <w:r w:rsidRPr="00356510">
        <w:rPr>
          <w:rFonts w:cs="Arial"/>
          <w:lang w:bidi="en-US"/>
        </w:rPr>
        <w:t>These included the:</w:t>
      </w:r>
    </w:p>
    <w:p w:rsidR="009368B9" w:rsidRPr="00356510" w:rsidRDefault="009368B9" w:rsidP="009368B9">
      <w:pPr>
        <w:rPr>
          <w:rFonts w:cs="Arial"/>
          <w:lang w:bidi="en-US"/>
        </w:rPr>
      </w:pP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European Working Condition Survey,</w:t>
      </w: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National Exposures at Work Survey (NIOSH, USA),</w:t>
      </w: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Swedish Workplace and Environment Survey,</w:t>
      </w: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 xml:space="preserve">Victorian WorkCover Authority Worker Survey, </w:t>
      </w: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Danish Work Environment Cohort Study Survey, and</w:t>
      </w:r>
    </w:p>
    <w:p w:rsidR="009368B9" w:rsidRPr="00356510" w:rsidRDefault="009368B9" w:rsidP="009368B9">
      <w:pPr>
        <w:pStyle w:val="ListParagraph"/>
        <w:numPr>
          <w:ilvl w:val="0"/>
          <w:numId w:val="14"/>
        </w:numPr>
        <w:spacing w:after="200" w:line="276" w:lineRule="auto"/>
        <w:rPr>
          <w:rFonts w:ascii="Arial" w:hAnsi="Arial" w:cs="Arial"/>
          <w:sz w:val="22"/>
          <w:szCs w:val="22"/>
          <w:lang w:bidi="en-US"/>
        </w:rPr>
      </w:pPr>
      <w:r w:rsidRPr="00356510">
        <w:rPr>
          <w:rFonts w:ascii="Arial" w:hAnsi="Arial" w:cs="Arial"/>
          <w:sz w:val="22"/>
          <w:szCs w:val="22"/>
          <w:lang w:bidi="en-US"/>
        </w:rPr>
        <w:t>Working Life in New Zealand Study Survey</w:t>
      </w:r>
      <w:r w:rsidR="008E2C8E">
        <w:rPr>
          <w:rFonts w:ascii="Arial" w:hAnsi="Arial" w:cs="Arial"/>
          <w:sz w:val="22"/>
          <w:szCs w:val="22"/>
          <w:lang w:bidi="en-US"/>
        </w:rPr>
        <w:t>.</w:t>
      </w:r>
    </w:p>
    <w:p w:rsidR="009368B9" w:rsidRPr="00356510" w:rsidRDefault="009368B9" w:rsidP="009368B9">
      <w:pPr>
        <w:rPr>
          <w:rFonts w:cs="Arial"/>
        </w:rPr>
      </w:pPr>
      <w:r w:rsidRPr="00356510">
        <w:rPr>
          <w:rFonts w:cs="Arial"/>
        </w:rPr>
        <w:t>A draft of the survey was reviewed by Dr Rebbecca Lilley, Preventative and Social Medicine, Injury Prevention and Research Unit, University of Otago, New Zealand who is an expert on occupational hazard exposure. Comments and feedback from her review were incorporated into the survey instrument.</w:t>
      </w:r>
    </w:p>
    <w:p w:rsidR="009368B9" w:rsidRPr="00356510" w:rsidRDefault="009368B9" w:rsidP="009368B9">
      <w:pPr>
        <w:rPr>
          <w:rFonts w:cs="Arial"/>
        </w:rPr>
      </w:pPr>
      <w:r w:rsidRPr="00356510">
        <w:rPr>
          <w:rFonts w:cs="Arial"/>
        </w:rPr>
        <w:t xml:space="preserve">Skirmish testing (undertaken on ASCC staff) and cognitive testing on eleven workers, who were of a low literacy or non-English speaking background, and worked in several industries, was undertaken in face to face interviews. </w:t>
      </w:r>
    </w:p>
    <w:p w:rsidR="009368B9" w:rsidRPr="00356510" w:rsidRDefault="009368B9" w:rsidP="009368B9">
      <w:pPr>
        <w:rPr>
          <w:rFonts w:cs="Arial"/>
          <w:lang w:bidi="en-US"/>
        </w:rPr>
      </w:pPr>
      <w:r w:rsidRPr="00356510">
        <w:rPr>
          <w:rFonts w:cs="Arial"/>
        </w:rPr>
        <w:t xml:space="preserve">The survey was piloted by the Victorian WorkCover Authority on 160 workers using the Computer Assisted Telephone Interview (CATI) technique. This assisted in revising the survey length and correcting CATI programming issues. </w:t>
      </w:r>
      <w:r w:rsidRPr="00356510">
        <w:rPr>
          <w:rFonts w:cs="Arial"/>
          <w:lang w:bidi="en-US"/>
        </w:rPr>
        <w:t xml:space="preserve">Feedback from the cognitive and pilot testing was incorporated into the final survey instrument. </w:t>
      </w:r>
    </w:p>
    <w:p w:rsidR="009368B9" w:rsidRPr="00356510" w:rsidRDefault="009368B9" w:rsidP="009368B9">
      <w:pPr>
        <w:rPr>
          <w:rFonts w:cs="Arial"/>
        </w:rPr>
      </w:pPr>
      <w:r w:rsidRPr="00356510">
        <w:rPr>
          <w:rFonts w:cs="Arial"/>
        </w:rPr>
        <w:t>The NHEWS research design and survey instrument were submitted to the University of Sydney Human Research Ethics Committee. The approval reference number is: 02-2008/10506. The research design and instrument met the National Statistical Clearing House guidelines. The research design and instrument were also in accordance with the Australian Market and Social Research Society (AMSRS) guidelines and the research company that undertook the CATI is a member of the AMRSRS and met all privacy and other guidelines.</w:t>
      </w:r>
    </w:p>
    <w:p w:rsidR="009368B9" w:rsidRPr="00356510" w:rsidRDefault="009368B9" w:rsidP="009368B9">
      <w:pPr>
        <w:rPr>
          <w:rFonts w:cs="Arial"/>
        </w:rPr>
      </w:pPr>
      <w:r w:rsidRPr="00356510">
        <w:rPr>
          <w:rFonts w:cs="Arial"/>
        </w:rPr>
        <w:t xml:space="preserve">More information, including the full survey instrument for all occupational hazards and their controls, can be found in the National Hazard Exposure Worker Surveillance (NHEWS): Survey Handbook and the National Hazard Exposure Worker Surveillance (NHEWS) Survey: 2008 Results, which are published on the Safe Work Australia website </w:t>
      </w:r>
      <w:r w:rsidRPr="00356510">
        <w:rPr>
          <w:rFonts w:cs="Arial"/>
          <w:lang w:bidi="en-US"/>
        </w:rPr>
        <w:t>(</w:t>
      </w:r>
      <w:hyperlink r:id="rId26" w:history="1">
        <w:r w:rsidRPr="00356510">
          <w:rPr>
            <w:rStyle w:val="Hyperlink"/>
            <w:rFonts w:cs="Arial"/>
          </w:rPr>
          <w:t>http://www.safeworkaustralia.gov.au/</w:t>
        </w:r>
      </w:hyperlink>
      <w:r w:rsidRPr="00356510">
        <w:rPr>
          <w:rFonts w:cs="Arial"/>
        </w:rPr>
        <w:t>)</w:t>
      </w:r>
      <w:r w:rsidRPr="00356510">
        <w:rPr>
          <w:rFonts w:cs="Arial"/>
          <w:lang w:bidi="en-US"/>
        </w:rPr>
        <w:t>.</w:t>
      </w:r>
    </w:p>
    <w:p w:rsidR="008E2C8E" w:rsidRDefault="008E2C8E">
      <w:pPr>
        <w:spacing w:after="0"/>
        <w:rPr>
          <w:b/>
          <w:bCs/>
          <w:iCs/>
          <w:sz w:val="28"/>
          <w:szCs w:val="28"/>
        </w:rPr>
      </w:pPr>
      <w:bookmarkStart w:id="158" w:name="_Toc280100842"/>
      <w:bookmarkStart w:id="159" w:name="_Toc309808268"/>
      <w:bookmarkStart w:id="160" w:name="_Toc312075729"/>
      <w:r>
        <w:br w:type="page"/>
      </w:r>
    </w:p>
    <w:p w:rsidR="009368B9" w:rsidRPr="00356510" w:rsidRDefault="009368B9" w:rsidP="00AF759F">
      <w:pPr>
        <w:pStyle w:val="Heading2"/>
        <w:rPr>
          <w:sz w:val="22"/>
          <w:szCs w:val="22"/>
        </w:rPr>
      </w:pPr>
      <w:r w:rsidRPr="00356510">
        <w:lastRenderedPageBreak/>
        <w:t>Chemical exposure and control measure questions</w:t>
      </w:r>
      <w:bookmarkEnd w:id="158"/>
      <w:bookmarkEnd w:id="159"/>
      <w:bookmarkEnd w:id="160"/>
    </w:p>
    <w:p w:rsidR="009368B9" w:rsidRPr="00356510" w:rsidRDefault="009368B9" w:rsidP="009368B9">
      <w:pPr>
        <w:rPr>
          <w:rFonts w:cs="Arial"/>
        </w:rPr>
      </w:pPr>
      <w:r w:rsidRPr="00356510">
        <w:rPr>
          <w:rFonts w:cs="Arial"/>
        </w:rPr>
        <w:t>The specific questions relating to skin contact to chemicals were as follows:</w:t>
      </w:r>
    </w:p>
    <w:p w:rsidR="009368B9" w:rsidRPr="00356510" w:rsidRDefault="009368B9" w:rsidP="009368B9">
      <w:pPr>
        <w:numPr>
          <w:ilvl w:val="0"/>
          <w:numId w:val="13"/>
        </w:numPr>
        <w:rPr>
          <w:rFonts w:cs="Arial"/>
        </w:rPr>
      </w:pPr>
      <w:r w:rsidRPr="00356510">
        <w:rPr>
          <w:rFonts w:cs="Arial"/>
        </w:rPr>
        <w:t>On a typical day at work last week, how long did you work with chemicals such as cement, cleaning products, disinfectants, solvents, resins, paints, pesticides or other chemical substances? (hours per day OR hours per week)</w:t>
      </w:r>
    </w:p>
    <w:p w:rsidR="009368B9" w:rsidRPr="00356510" w:rsidRDefault="009368B9" w:rsidP="009368B9">
      <w:pPr>
        <w:numPr>
          <w:ilvl w:val="0"/>
          <w:numId w:val="13"/>
        </w:numPr>
        <w:rPr>
          <w:rFonts w:cs="Arial"/>
        </w:rPr>
      </w:pPr>
      <w:r w:rsidRPr="00356510">
        <w:rPr>
          <w:rFonts w:cs="Arial"/>
        </w:rPr>
        <w:t>What were the main types of chemical products or substances you worked with last week? (open ended responses)</w:t>
      </w:r>
    </w:p>
    <w:p w:rsidR="009368B9" w:rsidRPr="00356510" w:rsidRDefault="009368B9" w:rsidP="009368B9">
      <w:pPr>
        <w:numPr>
          <w:ilvl w:val="0"/>
          <w:numId w:val="13"/>
        </w:numPr>
        <w:rPr>
          <w:rFonts w:cs="Arial"/>
        </w:rPr>
      </w:pPr>
      <w:r w:rsidRPr="00356510">
        <w:rPr>
          <w:rFonts w:cs="Arial"/>
        </w:rPr>
        <w:t>Does your employer (or, in the case of self-employed/contractors etc, do you) do any of the following to prevent health problems caused by exposure to chemical products or substances?</w:t>
      </w:r>
    </w:p>
    <w:p w:rsidR="009368B9" w:rsidRPr="00356510" w:rsidRDefault="004A7A7F" w:rsidP="009368B9">
      <w:pPr>
        <w:numPr>
          <w:ilvl w:val="1"/>
          <w:numId w:val="13"/>
        </w:numPr>
        <w:rPr>
          <w:rFonts w:cs="Arial"/>
        </w:rPr>
      </w:pPr>
      <w:r w:rsidRPr="00356510">
        <w:rPr>
          <w:rFonts w:cs="Arial"/>
        </w:rPr>
        <w:t xml:space="preserve">provide </w:t>
      </w:r>
      <w:r w:rsidR="009368B9" w:rsidRPr="00356510">
        <w:rPr>
          <w:rFonts w:cs="Arial"/>
        </w:rPr>
        <w:t>gloves</w:t>
      </w:r>
    </w:p>
    <w:p w:rsidR="009368B9" w:rsidRPr="00356510" w:rsidRDefault="004A7A7F" w:rsidP="009368B9">
      <w:pPr>
        <w:numPr>
          <w:ilvl w:val="1"/>
          <w:numId w:val="13"/>
        </w:numPr>
        <w:rPr>
          <w:rFonts w:cs="Arial"/>
        </w:rPr>
      </w:pPr>
      <w:r w:rsidRPr="00356510">
        <w:rPr>
          <w:rFonts w:cs="Arial"/>
        </w:rPr>
        <w:t xml:space="preserve">provide </w:t>
      </w:r>
      <w:r w:rsidR="009368B9" w:rsidRPr="00356510">
        <w:rPr>
          <w:rFonts w:cs="Arial"/>
        </w:rPr>
        <w:t>protective clothing</w:t>
      </w:r>
    </w:p>
    <w:p w:rsidR="009368B9" w:rsidRPr="00356510" w:rsidRDefault="004A7A7F" w:rsidP="009368B9">
      <w:pPr>
        <w:numPr>
          <w:ilvl w:val="1"/>
          <w:numId w:val="13"/>
        </w:numPr>
        <w:rPr>
          <w:rFonts w:cs="Arial"/>
        </w:rPr>
      </w:pPr>
      <w:r w:rsidRPr="00356510">
        <w:rPr>
          <w:rFonts w:cs="Arial"/>
        </w:rPr>
        <w:t xml:space="preserve">provide </w:t>
      </w:r>
      <w:r w:rsidR="009368B9" w:rsidRPr="00356510">
        <w:rPr>
          <w:rFonts w:cs="Arial"/>
        </w:rPr>
        <w:t>labelling and warning signs</w:t>
      </w:r>
    </w:p>
    <w:p w:rsidR="009368B9" w:rsidRPr="00356510" w:rsidRDefault="004A7A7F" w:rsidP="009368B9">
      <w:pPr>
        <w:numPr>
          <w:ilvl w:val="1"/>
          <w:numId w:val="13"/>
        </w:numPr>
        <w:rPr>
          <w:rFonts w:cs="Arial"/>
        </w:rPr>
      </w:pPr>
      <w:r w:rsidRPr="00356510">
        <w:rPr>
          <w:rFonts w:cs="Arial"/>
        </w:rPr>
        <w:t xml:space="preserve">provide </w:t>
      </w:r>
      <w:r w:rsidR="009368B9" w:rsidRPr="00356510">
        <w:rPr>
          <w:rFonts w:cs="Arial"/>
        </w:rPr>
        <w:t>training</w:t>
      </w:r>
      <w:r w:rsidRPr="00356510">
        <w:rPr>
          <w:rFonts w:cs="Arial"/>
        </w:rPr>
        <w:t>, and/or</w:t>
      </w:r>
    </w:p>
    <w:p w:rsidR="009368B9" w:rsidRPr="00356510" w:rsidRDefault="004A7A7F" w:rsidP="009368B9">
      <w:pPr>
        <w:numPr>
          <w:ilvl w:val="1"/>
          <w:numId w:val="13"/>
        </w:numPr>
        <w:rPr>
          <w:rFonts w:cs="Arial"/>
        </w:rPr>
      </w:pPr>
      <w:r w:rsidRPr="00356510">
        <w:rPr>
          <w:rFonts w:cs="Arial"/>
        </w:rPr>
        <w:t>nothing.</w:t>
      </w:r>
    </w:p>
    <w:p w:rsidR="009368B9" w:rsidRPr="00356510" w:rsidRDefault="009368B9" w:rsidP="009368B9">
      <w:pPr>
        <w:pStyle w:val="ListParagraph"/>
        <w:numPr>
          <w:ilvl w:val="0"/>
          <w:numId w:val="13"/>
        </w:numPr>
        <w:rPr>
          <w:rFonts w:ascii="Arial" w:hAnsi="Arial" w:cs="Arial"/>
        </w:rPr>
      </w:pPr>
      <w:r w:rsidRPr="00356510">
        <w:rPr>
          <w:rFonts w:ascii="Arial" w:hAnsi="Arial" w:cs="Arial"/>
        </w:rPr>
        <w:t>What kind of gloves do you normally use?</w:t>
      </w:r>
    </w:p>
    <w:p w:rsidR="009368B9" w:rsidRPr="00356510" w:rsidRDefault="009368B9" w:rsidP="009368B9">
      <w:pPr>
        <w:numPr>
          <w:ilvl w:val="1"/>
          <w:numId w:val="13"/>
        </w:numPr>
        <w:rPr>
          <w:rFonts w:cs="Arial"/>
        </w:rPr>
      </w:pPr>
      <w:r w:rsidRPr="00356510">
        <w:rPr>
          <w:rFonts w:cs="Arial"/>
        </w:rPr>
        <w:t>Cotton gloves</w:t>
      </w:r>
    </w:p>
    <w:p w:rsidR="009368B9" w:rsidRPr="00356510" w:rsidRDefault="009368B9" w:rsidP="009368B9">
      <w:pPr>
        <w:numPr>
          <w:ilvl w:val="1"/>
          <w:numId w:val="13"/>
        </w:numPr>
        <w:rPr>
          <w:rFonts w:cs="Arial"/>
        </w:rPr>
      </w:pPr>
      <w:r w:rsidRPr="00356510">
        <w:rPr>
          <w:rFonts w:cs="Arial"/>
        </w:rPr>
        <w:t>Disposable latex</w:t>
      </w:r>
    </w:p>
    <w:p w:rsidR="009368B9" w:rsidRPr="00356510" w:rsidRDefault="009368B9" w:rsidP="009368B9">
      <w:pPr>
        <w:numPr>
          <w:ilvl w:val="1"/>
          <w:numId w:val="13"/>
        </w:numPr>
        <w:rPr>
          <w:rFonts w:cs="Arial"/>
        </w:rPr>
      </w:pPr>
      <w:r w:rsidRPr="00356510">
        <w:rPr>
          <w:rFonts w:cs="Arial"/>
        </w:rPr>
        <w:t>Disposable vinyl</w:t>
      </w:r>
    </w:p>
    <w:p w:rsidR="009368B9" w:rsidRPr="00356510" w:rsidRDefault="009368B9" w:rsidP="009368B9">
      <w:pPr>
        <w:numPr>
          <w:ilvl w:val="1"/>
          <w:numId w:val="13"/>
        </w:numPr>
        <w:rPr>
          <w:rFonts w:cs="Arial"/>
        </w:rPr>
      </w:pPr>
      <w:r w:rsidRPr="00356510">
        <w:rPr>
          <w:rFonts w:cs="Arial"/>
        </w:rPr>
        <w:t>Disposable nitrile</w:t>
      </w:r>
    </w:p>
    <w:p w:rsidR="009368B9" w:rsidRPr="00356510" w:rsidRDefault="009368B9" w:rsidP="009368B9">
      <w:pPr>
        <w:numPr>
          <w:ilvl w:val="1"/>
          <w:numId w:val="13"/>
        </w:numPr>
        <w:rPr>
          <w:rFonts w:cs="Arial"/>
        </w:rPr>
      </w:pPr>
      <w:r w:rsidRPr="00356510">
        <w:rPr>
          <w:rFonts w:cs="Arial"/>
        </w:rPr>
        <w:t>Leather</w:t>
      </w:r>
    </w:p>
    <w:p w:rsidR="009368B9" w:rsidRPr="00356510" w:rsidRDefault="009368B9" w:rsidP="009368B9">
      <w:pPr>
        <w:numPr>
          <w:ilvl w:val="1"/>
          <w:numId w:val="13"/>
        </w:numPr>
        <w:rPr>
          <w:rFonts w:cs="Arial"/>
        </w:rPr>
      </w:pPr>
      <w:r w:rsidRPr="00356510">
        <w:rPr>
          <w:rFonts w:cs="Arial"/>
        </w:rPr>
        <w:t>Surgical latex</w:t>
      </w:r>
    </w:p>
    <w:p w:rsidR="009368B9" w:rsidRPr="00356510" w:rsidRDefault="009368B9" w:rsidP="009368B9">
      <w:pPr>
        <w:numPr>
          <w:ilvl w:val="1"/>
          <w:numId w:val="13"/>
        </w:numPr>
        <w:rPr>
          <w:rFonts w:cs="Arial"/>
        </w:rPr>
      </w:pPr>
      <w:r w:rsidRPr="00356510">
        <w:rPr>
          <w:rFonts w:cs="Arial"/>
        </w:rPr>
        <w:t>Surgical nitrile</w:t>
      </w:r>
    </w:p>
    <w:p w:rsidR="009368B9" w:rsidRPr="00356510" w:rsidRDefault="009368B9" w:rsidP="009368B9">
      <w:pPr>
        <w:numPr>
          <w:ilvl w:val="1"/>
          <w:numId w:val="13"/>
        </w:numPr>
        <w:rPr>
          <w:rFonts w:cs="Arial"/>
        </w:rPr>
      </w:pPr>
      <w:r w:rsidRPr="00356510">
        <w:rPr>
          <w:rFonts w:cs="Arial"/>
        </w:rPr>
        <w:t>Reusable neoprene</w:t>
      </w:r>
    </w:p>
    <w:p w:rsidR="009368B9" w:rsidRPr="00356510" w:rsidRDefault="009368B9" w:rsidP="009368B9">
      <w:pPr>
        <w:numPr>
          <w:ilvl w:val="1"/>
          <w:numId w:val="13"/>
        </w:numPr>
        <w:rPr>
          <w:rFonts w:cs="Arial"/>
        </w:rPr>
      </w:pPr>
      <w:r w:rsidRPr="00356510">
        <w:rPr>
          <w:rFonts w:cs="Arial"/>
        </w:rPr>
        <w:t>Reusable rubber, and</w:t>
      </w:r>
    </w:p>
    <w:p w:rsidR="009368B9" w:rsidRPr="00356510" w:rsidRDefault="009368B9" w:rsidP="009368B9">
      <w:pPr>
        <w:numPr>
          <w:ilvl w:val="1"/>
          <w:numId w:val="13"/>
        </w:numPr>
        <w:rPr>
          <w:rFonts w:cs="Arial"/>
        </w:rPr>
      </w:pPr>
      <w:r w:rsidRPr="00356510">
        <w:rPr>
          <w:rFonts w:cs="Arial"/>
        </w:rPr>
        <w:t>Reuseable PVC</w:t>
      </w:r>
      <w:r w:rsidR="008E2C8E">
        <w:rPr>
          <w:rFonts w:cs="Arial"/>
        </w:rPr>
        <w:t>.</w:t>
      </w:r>
    </w:p>
    <w:p w:rsidR="009368B9" w:rsidRPr="00356510" w:rsidRDefault="009368B9" w:rsidP="00AF759F">
      <w:pPr>
        <w:pStyle w:val="Heading2"/>
      </w:pPr>
      <w:bookmarkStart w:id="161" w:name="_Toc270432046"/>
      <w:bookmarkStart w:id="162" w:name="_Toc280100844"/>
      <w:bookmarkStart w:id="163" w:name="_Toc309808269"/>
      <w:bookmarkStart w:id="164" w:name="_Toc312075730"/>
      <w:r w:rsidRPr="00356510">
        <w:t>Survey administration</w:t>
      </w:r>
      <w:bookmarkEnd w:id="161"/>
      <w:bookmarkEnd w:id="162"/>
      <w:bookmarkEnd w:id="163"/>
      <w:bookmarkEnd w:id="164"/>
    </w:p>
    <w:p w:rsidR="009368B9" w:rsidRPr="00356510" w:rsidRDefault="009368B9" w:rsidP="009368B9">
      <w:pPr>
        <w:widowControl w:val="0"/>
        <w:autoSpaceDE w:val="0"/>
        <w:autoSpaceDN w:val="0"/>
        <w:adjustRightInd w:val="0"/>
        <w:rPr>
          <w:rFonts w:cs="Arial"/>
          <w:lang w:bidi="en-US"/>
        </w:rPr>
      </w:pPr>
      <w:r w:rsidRPr="00356510">
        <w:rPr>
          <w:rFonts w:cs="Arial"/>
          <w:lang w:bidi="en-US"/>
        </w:rPr>
        <w:t>The NHEWS survey was conducted by Sweeney Research Pty Ltd using CATI</w:t>
      </w:r>
      <w:r w:rsidR="00661BC5" w:rsidRPr="00356510">
        <w:rPr>
          <w:rFonts w:cs="Arial"/>
          <w:lang w:bidi="en-US"/>
        </w:rPr>
        <w:t xml:space="preserve">. </w:t>
      </w:r>
      <w:r w:rsidRPr="00356510">
        <w:rPr>
          <w:rFonts w:cs="Arial"/>
          <w:lang w:bidi="en-US"/>
        </w:rPr>
        <w:t>The survey obtained an Australia-wide sample of 4500 workers across all 17 Australian industries</w:t>
      </w:r>
      <w:r w:rsidR="00661BC5" w:rsidRPr="00356510">
        <w:rPr>
          <w:rFonts w:cs="Arial"/>
          <w:lang w:bidi="en-US"/>
        </w:rPr>
        <w:t xml:space="preserve">. </w:t>
      </w:r>
      <w:r w:rsidRPr="00356510">
        <w:rPr>
          <w:rFonts w:cs="Arial"/>
          <w:lang w:bidi="en-US"/>
        </w:rPr>
        <w:t>Households were randomly selected using the desk top marketing systems (DTMS) database, which collects its information from directories such as the White / Yellow pages</w:t>
      </w:r>
      <w:r w:rsidR="00661BC5" w:rsidRPr="00356510">
        <w:rPr>
          <w:rFonts w:cs="Arial"/>
          <w:lang w:bidi="en-US"/>
        </w:rPr>
        <w:t xml:space="preserve">. </w:t>
      </w:r>
      <w:r w:rsidRPr="00356510">
        <w:rPr>
          <w:rFonts w:cs="Arial"/>
          <w:lang w:bidi="en-US"/>
        </w:rPr>
        <w:t>To be eligible for the research, respondents were required to have worked in the last week and to have earned money from the work</w:t>
      </w:r>
      <w:r w:rsidR="00661BC5" w:rsidRPr="00356510">
        <w:rPr>
          <w:rFonts w:cs="Arial"/>
          <w:lang w:bidi="en-US"/>
        </w:rPr>
        <w:t xml:space="preserve">. </w:t>
      </w:r>
      <w:r w:rsidRPr="00356510">
        <w:rPr>
          <w:rFonts w:cs="Arial"/>
          <w:lang w:bidi="en-US"/>
        </w:rPr>
        <w:t>Where more than one individual was eligible for the research, the person whose birthday came next was selected</w:t>
      </w:r>
      <w:r w:rsidR="00661BC5" w:rsidRPr="00356510">
        <w:rPr>
          <w:rFonts w:cs="Arial"/>
          <w:lang w:bidi="en-US"/>
        </w:rPr>
        <w:t xml:space="preserve">. </w:t>
      </w:r>
      <w:r w:rsidRPr="00356510">
        <w:rPr>
          <w:rFonts w:cs="Arial"/>
          <w:lang w:bidi="en-US"/>
        </w:rPr>
        <w:t>Overall, the survey achieved a 42.3% response rate.</w:t>
      </w:r>
    </w:p>
    <w:p w:rsidR="009368B9" w:rsidRPr="00356510" w:rsidRDefault="009368B9" w:rsidP="009368B9">
      <w:pPr>
        <w:widowControl w:val="0"/>
        <w:autoSpaceDE w:val="0"/>
        <w:autoSpaceDN w:val="0"/>
        <w:adjustRightInd w:val="0"/>
        <w:rPr>
          <w:rFonts w:cs="Arial"/>
          <w:lang w:bidi="en-US"/>
        </w:rPr>
      </w:pPr>
      <w:r w:rsidRPr="00356510">
        <w:rPr>
          <w:rFonts w:cs="Arial"/>
          <w:lang w:bidi="en-US"/>
        </w:rPr>
        <w:t xml:space="preserve">The sampling scheme for the NHEWS can be considered as two stages with three waves of data collection. The first wave resulted in 1900 completed interviews which met quotas by sex within industry (five national priority industries: </w:t>
      </w:r>
      <w:r w:rsidRPr="00AF759F">
        <w:rPr>
          <w:rFonts w:cs="Arial"/>
          <w:lang w:bidi="en-US"/>
        </w:rPr>
        <w:t>Manufacturing, Transport and storage, Construction, Health and community services and Agriculture, forestry and fishing)</w:t>
      </w:r>
      <w:r w:rsidRPr="00356510">
        <w:rPr>
          <w:rFonts w:cs="Arial"/>
          <w:lang w:bidi="en-US"/>
        </w:rPr>
        <w:t xml:space="preserve"> within state (1300 interviews), plus an additional sample coming from state contributions (600 interviews).</w:t>
      </w:r>
    </w:p>
    <w:p w:rsidR="009368B9" w:rsidRPr="00356510" w:rsidRDefault="009368B9" w:rsidP="009368B9">
      <w:pPr>
        <w:widowControl w:val="0"/>
        <w:autoSpaceDE w:val="0"/>
        <w:autoSpaceDN w:val="0"/>
        <w:adjustRightInd w:val="0"/>
        <w:rPr>
          <w:rFonts w:cs="Arial"/>
          <w:lang w:bidi="en-US"/>
        </w:rPr>
      </w:pPr>
      <w:r w:rsidRPr="00356510">
        <w:rPr>
          <w:rFonts w:cs="Arial"/>
          <w:lang w:bidi="en-US"/>
        </w:rPr>
        <w:t xml:space="preserve">The second and third waves of the survey (n total = 2600) placed no restrictions on industry </w:t>
      </w:r>
      <w:r w:rsidRPr="00356510">
        <w:rPr>
          <w:rFonts w:cs="Arial"/>
          <w:lang w:bidi="en-US"/>
        </w:rPr>
        <w:lastRenderedPageBreak/>
        <w:t>and differed only in that some additional questions were asked</w:t>
      </w:r>
      <w:r w:rsidR="00661BC5" w:rsidRPr="00356510">
        <w:rPr>
          <w:rFonts w:cs="Arial"/>
          <w:lang w:bidi="en-US"/>
        </w:rPr>
        <w:t xml:space="preserve">. </w:t>
      </w:r>
      <w:r w:rsidRPr="00356510">
        <w:rPr>
          <w:rFonts w:cs="Arial"/>
          <w:lang w:bidi="en-US"/>
        </w:rPr>
        <w:t>The second wave involved re-contacting those households that had not been interviewed in the first wave due to being out of scope (e.g. had no persons working in the priority industries) or quotas already being met, and had given permission to be re</w:t>
      </w:r>
      <w:r w:rsidR="001C4CEE" w:rsidRPr="00356510">
        <w:rPr>
          <w:rFonts w:cs="Arial"/>
          <w:lang w:bidi="en-US"/>
        </w:rPr>
        <w:t>-</w:t>
      </w:r>
      <w:r w:rsidRPr="00356510">
        <w:rPr>
          <w:rFonts w:cs="Arial"/>
          <w:lang w:bidi="en-US"/>
        </w:rPr>
        <w:t>contacted for further studies</w:t>
      </w:r>
      <w:r w:rsidR="00661BC5" w:rsidRPr="00356510">
        <w:rPr>
          <w:rFonts w:cs="Arial"/>
          <w:lang w:bidi="en-US"/>
        </w:rPr>
        <w:t xml:space="preserve">. </w:t>
      </w:r>
      <w:r w:rsidRPr="00356510">
        <w:rPr>
          <w:rFonts w:cs="Arial"/>
          <w:lang w:bidi="en-US"/>
        </w:rPr>
        <w:t>This wave resulted in 485 completed interviews</w:t>
      </w:r>
      <w:r w:rsidR="00661BC5" w:rsidRPr="00356510">
        <w:rPr>
          <w:rFonts w:cs="Arial"/>
          <w:lang w:bidi="en-US"/>
        </w:rPr>
        <w:t xml:space="preserve">. </w:t>
      </w:r>
      <w:r w:rsidRPr="00356510">
        <w:rPr>
          <w:rFonts w:cs="Arial"/>
          <w:lang w:bidi="en-US"/>
        </w:rPr>
        <w:t>The third wave (n=2115) resulted in the balance of the 4500 interviews, meeting sex within state quotas.</w:t>
      </w:r>
    </w:p>
    <w:p w:rsidR="009368B9" w:rsidRPr="00356510" w:rsidRDefault="009368B9" w:rsidP="009368B9">
      <w:pPr>
        <w:rPr>
          <w:rFonts w:cs="Arial"/>
          <w:lang w:bidi="en-US"/>
        </w:rPr>
      </w:pPr>
      <w:bookmarkStart w:id="165" w:name="_Toc270432047"/>
      <w:r w:rsidRPr="00AF759F">
        <w:rPr>
          <w:rFonts w:cs="Arial"/>
          <w:lang w:bidi="en-US"/>
        </w:rPr>
        <w:t xml:space="preserve">For reporting purposes the following industries were collapsed into two integrated industries: 1) </w:t>
      </w:r>
      <w:r w:rsidR="00D41A46" w:rsidRPr="00AF759F">
        <w:rPr>
          <w:rFonts w:cs="Arial"/>
          <w:lang w:bidi="en-US"/>
        </w:rPr>
        <w:t>Retail and Wholesale trade</w:t>
      </w:r>
      <w:r w:rsidRPr="00AF759F">
        <w:rPr>
          <w:rFonts w:cs="Arial"/>
          <w:lang w:bidi="en-US"/>
        </w:rPr>
        <w:t xml:space="preserve">, and 2) </w:t>
      </w:r>
      <w:r w:rsidR="00AF759F">
        <w:rPr>
          <w:rFonts w:cs="Arial"/>
          <w:lang w:bidi="en-US"/>
        </w:rPr>
        <w:t xml:space="preserve">Cultural and </w:t>
      </w:r>
      <w:r w:rsidRPr="00AF759F">
        <w:rPr>
          <w:rFonts w:cs="Arial"/>
          <w:lang w:bidi="en-US"/>
        </w:rPr>
        <w:t>recreational services and Personal and other services</w:t>
      </w:r>
      <w:r w:rsidRPr="00356510">
        <w:rPr>
          <w:rFonts w:cs="Arial"/>
          <w:lang w:bidi="en-US"/>
        </w:rPr>
        <w:t>.</w:t>
      </w:r>
      <w:bookmarkEnd w:id="165"/>
    </w:p>
    <w:p w:rsidR="009368B9" w:rsidRPr="00356510" w:rsidRDefault="009368B9" w:rsidP="00AF759F">
      <w:pPr>
        <w:pStyle w:val="Heading2"/>
      </w:pPr>
      <w:bookmarkStart w:id="166" w:name="_Toc280100845"/>
      <w:bookmarkStart w:id="167" w:name="_Toc309808270"/>
      <w:bookmarkStart w:id="168" w:name="_Toc312075731"/>
      <w:r w:rsidRPr="00356510">
        <w:t xml:space="preserve">Duration of exposure: </w:t>
      </w:r>
      <w:bookmarkEnd w:id="166"/>
      <w:r w:rsidRPr="00356510">
        <w:t>On a typical day last week how long did you work with chemicals?</w:t>
      </w:r>
      <w:bookmarkEnd w:id="167"/>
      <w:bookmarkEnd w:id="168"/>
    </w:p>
    <w:p w:rsidR="009368B9" w:rsidRPr="00356510" w:rsidRDefault="009368B9" w:rsidP="009368B9">
      <w:pPr>
        <w:rPr>
          <w:rFonts w:cs="Arial"/>
          <w:lang w:bidi="en-US"/>
        </w:rPr>
      </w:pPr>
      <w:r w:rsidRPr="00356510">
        <w:rPr>
          <w:rFonts w:cs="Arial"/>
          <w:lang w:bidi="en-US"/>
        </w:rPr>
        <w:t>The analysis of the duration of exposure to chemicals/substances was complicated by the way data was collected in the NHEWS survey</w:t>
      </w:r>
      <w:r w:rsidR="00661BC5" w:rsidRPr="00356510">
        <w:rPr>
          <w:rFonts w:cs="Arial"/>
          <w:lang w:bidi="en-US"/>
        </w:rPr>
        <w:t xml:space="preserve">. </w:t>
      </w:r>
      <w:r w:rsidRPr="00356510">
        <w:rPr>
          <w:rFonts w:cs="Arial"/>
          <w:lang w:bidi="en-US"/>
        </w:rPr>
        <w:t>Workers were able to report their duration of exposure by day (n=923) or by week (n=735)</w:t>
      </w:r>
      <w:r w:rsidR="00661BC5" w:rsidRPr="00356510">
        <w:rPr>
          <w:rFonts w:cs="Arial"/>
          <w:lang w:bidi="en-US"/>
        </w:rPr>
        <w:t xml:space="preserve">. </w:t>
      </w:r>
      <w:r w:rsidRPr="00356510">
        <w:rPr>
          <w:rFonts w:cs="Arial"/>
          <w:lang w:bidi="en-US"/>
        </w:rPr>
        <w:t xml:space="preserve">Conversion of these two scales of measurement to a common scale is complicated by possible differences in the patterns of exposure between those workers who reported daily patterns of exposure and those who reported weekly patterns of exposure. </w:t>
      </w:r>
    </w:p>
    <w:p w:rsidR="009368B9" w:rsidRPr="00356510" w:rsidRDefault="009368B9" w:rsidP="009368B9">
      <w:pPr>
        <w:rPr>
          <w:rFonts w:cs="Arial"/>
          <w:lang w:bidi="en-US"/>
        </w:rPr>
      </w:pPr>
      <w:r w:rsidRPr="00356510">
        <w:rPr>
          <w:rFonts w:cs="Arial"/>
          <w:lang w:bidi="en-US"/>
        </w:rPr>
        <w:t>Hours of exposure per day were converted to hours of exposure per week because it was assumed that reports of daily durations of exposure were more accurate. Conversion of hours per day to hours per week was carried out using the following formula:</w:t>
      </w:r>
    </w:p>
    <w:p w:rsidR="009368B9" w:rsidRPr="00356510" w:rsidRDefault="009368B9" w:rsidP="009368B9">
      <w:pPr>
        <w:rPr>
          <w:rFonts w:cs="Arial"/>
          <w:lang w:bidi="en-US"/>
        </w:rPr>
      </w:pPr>
      <w:r w:rsidRPr="00356510">
        <w:rPr>
          <w:rFonts w:cs="Arial"/>
          <w:lang w:bidi="en-US"/>
        </w:rPr>
        <w:tab/>
      </w:r>
      <w:r w:rsidRPr="00356510">
        <w:rPr>
          <w:rFonts w:cs="Arial"/>
          <w:lang w:bidi="en-US"/>
        </w:rPr>
        <w:tab/>
        <w:t>E</w:t>
      </w:r>
      <w:r w:rsidRPr="00356510">
        <w:rPr>
          <w:rFonts w:cs="Arial"/>
          <w:vertAlign w:val="subscript"/>
          <w:lang w:bidi="en-US"/>
        </w:rPr>
        <w:t>week</w:t>
      </w:r>
      <w:r w:rsidRPr="00356510">
        <w:rPr>
          <w:rFonts w:cs="Arial"/>
          <w:lang w:bidi="en-US"/>
        </w:rPr>
        <w:t>= E</w:t>
      </w:r>
      <w:r w:rsidRPr="00356510">
        <w:rPr>
          <w:rFonts w:cs="Arial"/>
          <w:vertAlign w:val="subscript"/>
          <w:lang w:bidi="en-US"/>
        </w:rPr>
        <w:t>day</w:t>
      </w:r>
      <w:r w:rsidRPr="00356510">
        <w:rPr>
          <w:rFonts w:cs="Arial"/>
          <w:lang w:bidi="en-US"/>
        </w:rPr>
        <w:t>*(H</w:t>
      </w:r>
      <w:r w:rsidRPr="00356510">
        <w:rPr>
          <w:rFonts w:cs="Arial"/>
          <w:vertAlign w:val="subscript"/>
          <w:lang w:bidi="en-US"/>
        </w:rPr>
        <w:t>week</w:t>
      </w:r>
      <w:r w:rsidRPr="00356510">
        <w:rPr>
          <w:rFonts w:cs="Arial"/>
          <w:lang w:bidi="en-US"/>
        </w:rPr>
        <w:t>/8)</w:t>
      </w:r>
    </w:p>
    <w:p w:rsidR="009368B9" w:rsidRPr="00356510" w:rsidRDefault="009368B9" w:rsidP="009368B9">
      <w:pPr>
        <w:rPr>
          <w:rFonts w:cs="Arial"/>
          <w:lang w:bidi="en-US"/>
        </w:rPr>
      </w:pPr>
      <w:r w:rsidRPr="00356510">
        <w:rPr>
          <w:rFonts w:cs="Arial"/>
          <w:lang w:bidi="en-US"/>
        </w:rPr>
        <w:t>where E</w:t>
      </w:r>
      <w:r w:rsidRPr="00356510">
        <w:rPr>
          <w:rFonts w:cs="Arial"/>
          <w:vertAlign w:val="subscript"/>
          <w:lang w:bidi="en-US"/>
        </w:rPr>
        <w:t>week</w:t>
      </w:r>
      <w:r w:rsidRPr="00356510">
        <w:rPr>
          <w:rFonts w:cs="Arial"/>
          <w:lang w:bidi="en-US"/>
        </w:rPr>
        <w:t xml:space="preserve"> is the number of hours exposed per week, E</w:t>
      </w:r>
      <w:r w:rsidRPr="00356510">
        <w:rPr>
          <w:rFonts w:cs="Arial"/>
          <w:vertAlign w:val="subscript"/>
          <w:lang w:bidi="en-US"/>
        </w:rPr>
        <w:t>day</w:t>
      </w:r>
      <w:r w:rsidRPr="00356510">
        <w:rPr>
          <w:rFonts w:cs="Arial"/>
          <w:lang w:bidi="en-US"/>
        </w:rPr>
        <w:t xml:space="preserve"> is the number of hours exposed per day and H</w:t>
      </w:r>
      <w:r w:rsidRPr="00356510">
        <w:rPr>
          <w:rFonts w:cs="Arial"/>
          <w:vertAlign w:val="subscript"/>
          <w:lang w:bidi="en-US"/>
        </w:rPr>
        <w:t>week</w:t>
      </w:r>
      <w:r w:rsidRPr="00356510">
        <w:rPr>
          <w:rFonts w:cs="Arial"/>
          <w:lang w:bidi="en-US"/>
        </w:rPr>
        <w:t xml:space="preserve"> is the number of hours worked per week</w:t>
      </w:r>
      <w:r w:rsidR="00661BC5" w:rsidRPr="00356510">
        <w:rPr>
          <w:rFonts w:cs="Arial"/>
          <w:lang w:bidi="en-US"/>
        </w:rPr>
        <w:t xml:space="preserve">. </w:t>
      </w:r>
      <w:r w:rsidRPr="00356510">
        <w:rPr>
          <w:rFonts w:cs="Arial"/>
          <w:lang w:bidi="en-US"/>
        </w:rPr>
        <w:t>Dividing H</w:t>
      </w:r>
      <w:r w:rsidRPr="00356510">
        <w:rPr>
          <w:rFonts w:cs="Arial"/>
          <w:vertAlign w:val="subscript"/>
          <w:lang w:bidi="en-US"/>
        </w:rPr>
        <w:t>week</w:t>
      </w:r>
      <w:r w:rsidRPr="00356510">
        <w:rPr>
          <w:rFonts w:cs="Arial"/>
          <w:lang w:bidi="en-US"/>
        </w:rPr>
        <w:t xml:space="preserve"> by eight gives the number of standard eight hour working days worked per week</w:t>
      </w:r>
      <w:r w:rsidR="00661BC5" w:rsidRPr="00356510">
        <w:rPr>
          <w:rFonts w:cs="Arial"/>
          <w:lang w:bidi="en-US"/>
        </w:rPr>
        <w:t xml:space="preserve">. </w:t>
      </w:r>
      <w:r w:rsidRPr="00356510">
        <w:rPr>
          <w:rFonts w:cs="Arial"/>
          <w:lang w:bidi="en-US"/>
        </w:rPr>
        <w:t>This calculation assumes that workers have the same exposure every day they work per week, which would appear to be justified given the wording of the question</w:t>
      </w:r>
      <w:r w:rsidR="00661BC5" w:rsidRPr="00356510">
        <w:rPr>
          <w:rFonts w:cs="Arial"/>
          <w:lang w:bidi="en-US"/>
        </w:rPr>
        <w:t xml:space="preserve">. </w:t>
      </w:r>
      <w:r w:rsidRPr="00356510">
        <w:rPr>
          <w:rFonts w:cs="Arial"/>
          <w:lang w:bidi="en-US"/>
        </w:rPr>
        <w:t>Dividing by standard eight hour working days gives the data more sensitivity to workers who normally work less than or more than a standard day.</w:t>
      </w:r>
    </w:p>
    <w:p w:rsidR="009368B9" w:rsidRPr="00356510" w:rsidRDefault="009368B9" w:rsidP="009368B9">
      <w:pPr>
        <w:rPr>
          <w:rFonts w:cs="Arial"/>
          <w:lang w:bidi="en-US"/>
        </w:rPr>
      </w:pPr>
      <w:r w:rsidRPr="00356510">
        <w:rPr>
          <w:rFonts w:cs="Arial"/>
          <w:lang w:bidi="en-US"/>
        </w:rPr>
        <w:t>For the figure reporting mean exposure duration by industry, exposure duration was reported by week</w:t>
      </w:r>
      <w:r w:rsidR="00661BC5" w:rsidRPr="00356510">
        <w:rPr>
          <w:rFonts w:cs="Arial"/>
          <w:lang w:bidi="en-US"/>
        </w:rPr>
        <w:t xml:space="preserve">. </w:t>
      </w:r>
    </w:p>
    <w:p w:rsidR="009368B9" w:rsidRPr="00356510" w:rsidRDefault="009368B9" w:rsidP="00AF759F">
      <w:pPr>
        <w:pStyle w:val="Heading2"/>
      </w:pPr>
      <w:bookmarkStart w:id="169" w:name="_Toc309808271"/>
      <w:bookmarkStart w:id="170" w:name="_Toc312075732"/>
      <w:bookmarkStart w:id="171" w:name="_Toc280100846"/>
      <w:r w:rsidRPr="00356510">
        <w:t>Classification of reported chemical exposures</w:t>
      </w:r>
      <w:bookmarkEnd w:id="169"/>
      <w:bookmarkEnd w:id="170"/>
    </w:p>
    <w:p w:rsidR="009368B9" w:rsidRPr="00356510" w:rsidRDefault="009368B9" w:rsidP="009368B9">
      <w:pPr>
        <w:rPr>
          <w:rFonts w:cs="Arial"/>
          <w:lang w:eastAsia="en-AU" w:bidi="en-US"/>
        </w:rPr>
      </w:pPr>
      <w:r w:rsidRPr="00356510">
        <w:rPr>
          <w:rFonts w:cs="Arial"/>
          <w:lang w:eastAsia="en-AU" w:bidi="en-US"/>
        </w:rPr>
        <w:t xml:space="preserve">Chemical exposures reported by participants were coded according to the Type of Occurrence Classification System (TOOCS, version 2.1) </w:t>
      </w:r>
      <w:r w:rsidR="00AB2546">
        <w:rPr>
          <w:rFonts w:cs="Arial"/>
          <w:lang w:eastAsia="en-AU" w:bidi="en-US"/>
        </w:rPr>
        <w:fldChar w:fldCharType="begin"/>
      </w:r>
      <w:r w:rsidR="008E2C8E">
        <w:rPr>
          <w:rFonts w:cs="Arial"/>
          <w:lang w:eastAsia="en-AU" w:bidi="en-US"/>
        </w:rPr>
        <w:instrText xml:space="preserve"> ADDIN EN.CITE &lt;EndNote&gt;&lt;Cite&gt;&lt;Author&gt;NOHSC&lt;/Author&gt;&lt;Year&gt;2002&lt;/Year&gt;&lt;RecNum&gt;1051&lt;/RecNum&gt;&lt;DisplayText&gt;(NOHSC 2002)&lt;/DisplayText&gt;&lt;record&gt;&lt;rec-number&gt;1051&lt;/rec-number&gt;&lt;foreign-keys&gt;&lt;key app="EN" db-id="sx9edz2tiw2008erzw75s5a65aepf9d2pvs9"&gt;1051&lt;/key&gt;&lt;/foreign-keys&gt;&lt;ref-type name="Report"&gt;27&lt;/ref-type&gt;&lt;contributors&gt;&lt;authors&gt;&lt;author&gt;NOHSC&lt;/author&gt;&lt;/authors&gt;&lt;/contributors&gt;&lt;titles&gt;&lt;title&gt;Type of Occurrence Classification System Revised 2.1 Edition&lt;/title&gt;&lt;/titles&gt;&lt;edition&gt;Revised 2.1 Edition&lt;/edition&gt;&lt;dates&gt;&lt;year&gt;2002&lt;/year&gt;&lt;/dates&gt;&lt;pub-location&gt;Canberra&lt;/pub-location&gt;&lt;publisher&gt;National Occupational Health and Safety Commission&lt;/publisher&gt;&lt;urls&gt;&lt;/urls&gt;&lt;/record&gt;&lt;/Cite&gt;&lt;/EndNote&gt;</w:instrText>
      </w:r>
      <w:r w:rsidR="00AB2546">
        <w:rPr>
          <w:rFonts w:cs="Arial"/>
          <w:lang w:eastAsia="en-AU" w:bidi="en-US"/>
        </w:rPr>
        <w:fldChar w:fldCharType="separate"/>
      </w:r>
      <w:r w:rsidR="008E2C8E">
        <w:rPr>
          <w:rFonts w:cs="Arial"/>
          <w:noProof/>
          <w:lang w:eastAsia="en-AU" w:bidi="en-US"/>
        </w:rPr>
        <w:t>(</w:t>
      </w:r>
      <w:hyperlink w:anchor="_ENREF_28" w:tooltip="NOHSC, 2002 #1051" w:history="1">
        <w:r w:rsidR="008E2C8E">
          <w:rPr>
            <w:rFonts w:cs="Arial"/>
            <w:noProof/>
            <w:lang w:eastAsia="en-AU" w:bidi="en-US"/>
          </w:rPr>
          <w:t>NOHSC 2002</w:t>
        </w:r>
      </w:hyperlink>
      <w:r w:rsidR="008E2C8E">
        <w:rPr>
          <w:rFonts w:cs="Arial"/>
          <w:noProof/>
          <w:lang w:eastAsia="en-AU" w:bidi="en-US"/>
        </w:rPr>
        <w:t>)</w:t>
      </w:r>
      <w:r w:rsidR="00AB2546">
        <w:rPr>
          <w:rFonts w:cs="Arial"/>
          <w:lang w:eastAsia="en-AU" w:bidi="en-US"/>
        </w:rPr>
        <w:fldChar w:fldCharType="end"/>
      </w:r>
      <w:r w:rsidRPr="00356510">
        <w:rPr>
          <w:rFonts w:cs="Arial"/>
          <w:lang w:eastAsia="en-AU" w:bidi="en-US"/>
        </w:rPr>
        <w:t>, which is the classification system used for agency of injury or illness in the National Data Set (NDS) for compensation-based statistics</w:t>
      </w:r>
      <w:r w:rsidR="00661BC5" w:rsidRPr="00356510">
        <w:rPr>
          <w:rFonts w:cs="Arial"/>
          <w:lang w:eastAsia="en-AU" w:bidi="en-US"/>
        </w:rPr>
        <w:t xml:space="preserve">. </w:t>
      </w:r>
      <w:r w:rsidRPr="00356510">
        <w:rPr>
          <w:rFonts w:cs="Arial"/>
          <w:lang w:eastAsia="en-AU" w:bidi="en-US"/>
        </w:rPr>
        <w:t>Chemical exposures were recorded by the interviewers essentially as reported by the participant over the telephone</w:t>
      </w:r>
      <w:r w:rsidR="00661BC5" w:rsidRPr="00356510">
        <w:rPr>
          <w:rFonts w:cs="Arial"/>
          <w:lang w:eastAsia="en-AU" w:bidi="en-US"/>
        </w:rPr>
        <w:t xml:space="preserve">. </w:t>
      </w:r>
      <w:r w:rsidRPr="00356510">
        <w:rPr>
          <w:rFonts w:cs="Arial"/>
          <w:lang w:eastAsia="en-AU" w:bidi="en-US"/>
        </w:rPr>
        <w:t>The original data contained some apparently abbreviated terms and some phonetic spellings of unusual or specialised terms</w:t>
      </w:r>
      <w:r w:rsidR="00661BC5" w:rsidRPr="00356510">
        <w:rPr>
          <w:rFonts w:cs="Arial"/>
          <w:lang w:eastAsia="en-AU" w:bidi="en-US"/>
        </w:rPr>
        <w:t xml:space="preserve">. </w:t>
      </w:r>
      <w:r w:rsidRPr="00356510">
        <w:rPr>
          <w:rFonts w:cs="Arial"/>
          <w:lang w:eastAsia="en-AU" w:bidi="en-US"/>
        </w:rPr>
        <w:t>Also, all exposures reported by the participant were entered as a single data field</w:t>
      </w:r>
      <w:r w:rsidR="007E320D" w:rsidRPr="00356510">
        <w:rPr>
          <w:rFonts w:cs="Arial"/>
          <w:lang w:eastAsia="en-AU" w:bidi="en-US"/>
        </w:rPr>
        <w:t xml:space="preserve">. </w:t>
      </w:r>
      <w:r w:rsidRPr="00356510">
        <w:rPr>
          <w:rFonts w:cs="Arial"/>
          <w:lang w:eastAsia="en-AU" w:bidi="en-US"/>
        </w:rPr>
        <w:t>The coding process involved deciphering and interpreting abbreviated and misspelled terms and also separating out multiple exposures – this sometimes meant that the final number of exposure codes assigned to a particular participant was different from the apparent number of exposures which were reported/recorded since some exposures reported were either synonymous or otherwise classifiable under a common TOOCS heading and some reported exposures represented more than one distinct chemical or substance</w:t>
      </w:r>
      <w:r w:rsidR="00661BC5" w:rsidRPr="00356510">
        <w:rPr>
          <w:rFonts w:cs="Arial"/>
          <w:lang w:eastAsia="en-AU" w:bidi="en-US"/>
        </w:rPr>
        <w:t xml:space="preserve">. </w:t>
      </w:r>
      <w:r w:rsidRPr="00356510">
        <w:rPr>
          <w:rFonts w:cs="Arial"/>
          <w:lang w:eastAsia="en-AU" w:bidi="en-US"/>
        </w:rPr>
        <w:t>In the coding process, particularly where the exposures recorded were inadequately described, expert judgement was employed to make coding determinations, informed by the job and industry details recorded</w:t>
      </w:r>
      <w:r w:rsidR="00661BC5" w:rsidRPr="00356510">
        <w:rPr>
          <w:rFonts w:cs="Arial"/>
          <w:lang w:eastAsia="en-AU" w:bidi="en-US"/>
        </w:rPr>
        <w:t xml:space="preserve">. </w:t>
      </w:r>
      <w:r w:rsidRPr="00356510">
        <w:rPr>
          <w:rFonts w:cs="Arial"/>
          <w:lang w:eastAsia="en-AU" w:bidi="en-US"/>
        </w:rPr>
        <w:t>Where expert judgement was applied a conservative approach was taken based on decisions with a high degree of probability based on expert experience and knowledge.</w:t>
      </w:r>
    </w:p>
    <w:p w:rsidR="009368B9" w:rsidRPr="00356510" w:rsidRDefault="009368B9" w:rsidP="00AF759F">
      <w:pPr>
        <w:pStyle w:val="Heading2"/>
      </w:pPr>
      <w:bookmarkStart w:id="172" w:name="_Toc309808272"/>
      <w:bookmarkStart w:id="173" w:name="_Toc312075733"/>
      <w:r w:rsidRPr="00356510">
        <w:lastRenderedPageBreak/>
        <w:t>Statistical Analyses</w:t>
      </w:r>
      <w:bookmarkEnd w:id="171"/>
      <w:bookmarkEnd w:id="172"/>
      <w:bookmarkEnd w:id="173"/>
    </w:p>
    <w:p w:rsidR="009368B9" w:rsidRPr="00356510" w:rsidRDefault="009368B9" w:rsidP="009368B9">
      <w:pPr>
        <w:rPr>
          <w:rFonts w:cs="Arial"/>
          <w:lang w:bidi="en-US"/>
        </w:rPr>
      </w:pPr>
      <w:r w:rsidRPr="00356510">
        <w:rPr>
          <w:rFonts w:cs="Arial"/>
          <w:lang w:bidi="en-US"/>
        </w:rPr>
        <w:t xml:space="preserve">All data were inspected prior to formal analysis for missing cases or unusual values. </w:t>
      </w:r>
    </w:p>
    <w:p w:rsidR="009368B9" w:rsidRPr="00356510" w:rsidRDefault="009368B9" w:rsidP="009368B9">
      <w:pPr>
        <w:rPr>
          <w:rFonts w:cs="Arial"/>
          <w:lang w:bidi="en-US"/>
        </w:rPr>
      </w:pPr>
      <w:r w:rsidRPr="00356510">
        <w:rPr>
          <w:rFonts w:cs="Arial"/>
        </w:rPr>
        <w:t>The exposure data collected in the NHEWS survey were stratified by variables including gender, categorical age group, occupational level, number of employees in the workplace and industrial sector</w:t>
      </w:r>
      <w:r w:rsidR="00661BC5" w:rsidRPr="00356510">
        <w:rPr>
          <w:rFonts w:cs="Arial"/>
        </w:rPr>
        <w:t xml:space="preserve">. </w:t>
      </w:r>
      <w:r w:rsidRPr="00356510">
        <w:rPr>
          <w:rFonts w:cs="Arial"/>
        </w:rPr>
        <w:t xml:space="preserve">Percentages were calculated by group. Categorical variables were compared using chi-squared tests or Fisher’s exact test where appropriate. Statistical significance was set at the 0.05 level. </w:t>
      </w:r>
    </w:p>
    <w:p w:rsidR="004D7DEF" w:rsidRPr="00356510" w:rsidRDefault="004D7DEF" w:rsidP="004D7DEF">
      <w:pPr>
        <w:rPr>
          <w:rFonts w:cs="Arial"/>
          <w:szCs w:val="22"/>
        </w:rPr>
      </w:pPr>
      <w:r w:rsidRPr="00356510">
        <w:rPr>
          <w:rFonts w:cs="Arial"/>
          <w:szCs w:val="22"/>
        </w:rPr>
        <w:t xml:space="preserve">Data was analysed using univariate logistic regression. Significant variables from the univariate models were included in the multiple logistic regression models. These models described the odds of reporting skin exposure to chemicals/substances with respect to employment and demographic factors, by each of the seven chemical exposures. Models for each of the chemical exposure variables were run separately, however the models are presented in two common tables, with the same included categories for ease of comparison. If a variable was significant in a model for one chemical exposure it was retained for all models. For example, although the number of employees at a workplace was a significant variable for </w:t>
      </w:r>
      <w:r w:rsidR="003517A5" w:rsidRPr="00356510">
        <w:rPr>
          <w:rFonts w:cs="Arial"/>
          <w:i/>
          <w:szCs w:val="22"/>
        </w:rPr>
        <w:t>Paints, varnishes and inks</w:t>
      </w:r>
      <w:r w:rsidRPr="00356510">
        <w:rPr>
          <w:rFonts w:cs="Arial"/>
          <w:szCs w:val="22"/>
        </w:rPr>
        <w:t xml:space="preserve">, it was not significant for </w:t>
      </w:r>
      <w:r w:rsidR="003517A5" w:rsidRPr="00356510">
        <w:rPr>
          <w:i/>
        </w:rPr>
        <w:t>Non-bituminous hydrocarbon fuels</w:t>
      </w:r>
      <w:r w:rsidRPr="00356510">
        <w:rPr>
          <w:rFonts w:cs="Arial"/>
          <w:szCs w:val="22"/>
        </w:rPr>
        <w:t xml:space="preserve">, but it is included in the final model for </w:t>
      </w:r>
      <w:r w:rsidR="003517A5" w:rsidRPr="00356510">
        <w:rPr>
          <w:i/>
        </w:rPr>
        <w:t>Non-bituminous hydrocarbon fuels</w:t>
      </w:r>
      <w:r w:rsidRPr="00356510">
        <w:rPr>
          <w:rFonts w:cs="Arial"/>
          <w:szCs w:val="22"/>
        </w:rPr>
        <w:t xml:space="preserve">. Variables were removed sequentially from the models until the most parsimonious model (across all the chemical exposure variables) was obtained. </w:t>
      </w:r>
    </w:p>
    <w:p w:rsidR="004D7DEF" w:rsidRPr="00356510" w:rsidRDefault="004D7DEF" w:rsidP="004D7DEF">
      <w:pPr>
        <w:rPr>
          <w:rFonts w:cs="Arial"/>
          <w:szCs w:val="22"/>
        </w:rPr>
      </w:pPr>
      <w:r w:rsidRPr="00356510">
        <w:rPr>
          <w:rFonts w:cs="Arial"/>
          <w:szCs w:val="22"/>
        </w:rPr>
        <w:t>This approach was also used to present the descriptive data for provision of workplace controls and to estimate the odds of exposed workers being provided with particular types of control measures against chemical/substance exposure.</w:t>
      </w:r>
    </w:p>
    <w:p w:rsidR="009368B9" w:rsidRPr="00356510" w:rsidRDefault="009368B9" w:rsidP="009368B9">
      <w:pPr>
        <w:rPr>
          <w:rFonts w:cs="Arial"/>
        </w:rPr>
      </w:pPr>
      <w:r w:rsidRPr="00356510">
        <w:rPr>
          <w:rFonts w:cs="Arial"/>
        </w:rPr>
        <w:t xml:space="preserve">Odds ratios and 95% confidence intervals are reported for the multivariate models. Model fit was assessed using Hosmer-Lemeshow tests; all models presented had acceptable test statistics (&gt;0.20). </w:t>
      </w:r>
    </w:p>
    <w:p w:rsidR="009368B9" w:rsidRPr="00356510" w:rsidRDefault="009368B9" w:rsidP="009368B9">
      <w:pPr>
        <w:rPr>
          <w:rFonts w:cs="Arial"/>
          <w:lang w:bidi="en-US"/>
        </w:rPr>
      </w:pPr>
      <w:r w:rsidRPr="00356510">
        <w:rPr>
          <w:rFonts w:cs="Arial"/>
        </w:rPr>
        <w:t>All analyses were completed using the STATA 11 statistical programme (Stata Corporation, College Station, TX)</w:t>
      </w:r>
      <w:r w:rsidR="00661BC5" w:rsidRPr="00356510">
        <w:rPr>
          <w:rFonts w:cs="Arial"/>
        </w:rPr>
        <w:t xml:space="preserve">. </w:t>
      </w:r>
    </w:p>
    <w:p w:rsidR="009368B9" w:rsidRPr="00356510" w:rsidRDefault="009368B9" w:rsidP="009368B9">
      <w:pPr>
        <w:rPr>
          <w:rFonts w:cs="Arial"/>
          <w:sz w:val="20"/>
        </w:rPr>
      </w:pPr>
      <w:r w:rsidRPr="00356510">
        <w:rPr>
          <w:rFonts w:cs="Arial"/>
        </w:rPr>
        <w:t>The data presented in this report are unweighted and therefore are only representative of the survey sample</w:t>
      </w:r>
      <w:r w:rsidR="00661BC5" w:rsidRPr="00356510">
        <w:rPr>
          <w:rFonts w:cs="Arial"/>
        </w:rPr>
        <w:t xml:space="preserve">. </w:t>
      </w:r>
      <w:r w:rsidRPr="00356510">
        <w:rPr>
          <w:rFonts w:cs="Arial"/>
        </w:rPr>
        <w:t xml:space="preserve">Unless otherwise stated, the data presented in this report relate to those respondents who reported skin exposure to chemicals/substances. </w:t>
      </w:r>
    </w:p>
    <w:p w:rsidR="009368B9" w:rsidRPr="00356510" w:rsidRDefault="000253EA" w:rsidP="006809DA">
      <w:r w:rsidRPr="00356510">
        <w:br w:type="page"/>
      </w:r>
    </w:p>
    <w:p w:rsidR="009368B9" w:rsidRPr="00356510" w:rsidRDefault="009368B9" w:rsidP="00302E73">
      <w:pPr>
        <w:pStyle w:val="Heading1"/>
      </w:pPr>
      <w:bookmarkStart w:id="174" w:name="_Toc309808273"/>
      <w:bookmarkStart w:id="175" w:name="_Toc312075734"/>
      <w:r w:rsidRPr="00356510">
        <w:lastRenderedPageBreak/>
        <w:t>Appendix B. Results Tables</w:t>
      </w:r>
      <w:bookmarkEnd w:id="174"/>
      <w:bookmarkEnd w:id="175"/>
    </w:p>
    <w:p w:rsidR="003E25A4" w:rsidRDefault="003E25A4" w:rsidP="003E25A4">
      <w:pPr>
        <w:pStyle w:val="Caption"/>
        <w:keepNext/>
      </w:pPr>
      <w:bookmarkStart w:id="176" w:name="_Ref312054881"/>
      <w:bookmarkStart w:id="177" w:name="_Ref312054847"/>
      <w:bookmarkStart w:id="178" w:name="_Toc314730503"/>
      <w:r>
        <w:t xml:space="preserve">Table </w:t>
      </w:r>
      <w:fldSimple w:instr=" SEQ Table \* ARABIC ">
        <w:r w:rsidR="00266EB2">
          <w:rPr>
            <w:noProof/>
          </w:rPr>
          <w:t>8</w:t>
        </w:r>
      </w:fldSimple>
      <w:bookmarkEnd w:id="176"/>
      <w:r>
        <w:t>. The percentage of workers who reported exposure to each type of chemical</w:t>
      </w:r>
      <w:bookmarkEnd w:id="177"/>
      <w:bookmarkEnd w:id="178"/>
    </w:p>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single" w:sz="4" w:space="0" w:color="808080" w:themeColor="background1" w:themeShade="80"/>
          <w:insideV w:val="single" w:sz="4" w:space="0" w:color="808080" w:themeColor="background1" w:themeShade="80"/>
        </w:tblBorders>
        <w:tblLook w:val="04A0"/>
      </w:tblPr>
      <w:tblGrid>
        <w:gridCol w:w="6651"/>
        <w:gridCol w:w="2592"/>
      </w:tblGrid>
      <w:tr w:rsidR="008900FA" w:rsidRPr="008900FA" w:rsidTr="00531547">
        <w:trPr>
          <w:tblHeader/>
        </w:trPr>
        <w:tc>
          <w:tcPr>
            <w:tcW w:w="3598" w:type="pct"/>
            <w:tcBorders>
              <w:top w:val="single" w:sz="12" w:space="0" w:color="000000" w:themeColor="text1"/>
              <w:bottom w:val="single" w:sz="12" w:space="0" w:color="000000" w:themeColor="text1"/>
              <w:right w:val="nil"/>
            </w:tcBorders>
            <w:vAlign w:val="bottom"/>
          </w:tcPr>
          <w:p w:rsidR="008900FA" w:rsidRPr="008900FA" w:rsidRDefault="008900FA" w:rsidP="008900FA">
            <w:pPr>
              <w:spacing w:before="40" w:after="40"/>
              <w:rPr>
                <w:rFonts w:cs="Arial"/>
                <w:b/>
                <w:sz w:val="20"/>
                <w:szCs w:val="20"/>
              </w:rPr>
            </w:pPr>
            <w:r w:rsidRPr="008900FA">
              <w:rPr>
                <w:rFonts w:cs="Arial"/>
                <w:b/>
                <w:sz w:val="20"/>
                <w:szCs w:val="20"/>
              </w:rPr>
              <w:t>Type of chemical worker reported exposure to</w:t>
            </w:r>
          </w:p>
        </w:tc>
        <w:tc>
          <w:tcPr>
            <w:tcW w:w="1402" w:type="pct"/>
            <w:tcBorders>
              <w:top w:val="single" w:sz="12" w:space="0" w:color="000000" w:themeColor="text1"/>
              <w:left w:val="nil"/>
              <w:bottom w:val="single" w:sz="12" w:space="0" w:color="000000" w:themeColor="text1"/>
            </w:tcBorders>
            <w:vAlign w:val="center"/>
          </w:tcPr>
          <w:p w:rsidR="008900FA" w:rsidRPr="008900FA" w:rsidRDefault="008900FA" w:rsidP="008900FA">
            <w:pPr>
              <w:spacing w:before="40" w:after="40"/>
              <w:jc w:val="center"/>
              <w:rPr>
                <w:rFonts w:cs="Arial"/>
                <w:b/>
                <w:sz w:val="20"/>
                <w:szCs w:val="20"/>
              </w:rPr>
            </w:pPr>
            <w:r w:rsidRPr="008900FA">
              <w:rPr>
                <w:rFonts w:cs="Arial"/>
                <w:b/>
                <w:sz w:val="20"/>
                <w:szCs w:val="20"/>
              </w:rPr>
              <w:t>Percentage of exposed workers (n=1679) who reported exposure to type of chemical</w:t>
            </w:r>
          </w:p>
        </w:tc>
      </w:tr>
      <w:tr w:rsidR="008900FA" w:rsidTr="00531547">
        <w:tc>
          <w:tcPr>
            <w:tcW w:w="3598" w:type="pct"/>
            <w:tcBorders>
              <w:top w:val="single" w:sz="12" w:space="0" w:color="000000" w:themeColor="text1"/>
              <w:right w:val="nil"/>
            </w:tcBorders>
          </w:tcPr>
          <w:p w:rsidR="008900FA" w:rsidRDefault="008900FA" w:rsidP="008900FA">
            <w:pPr>
              <w:spacing w:before="40" w:after="40"/>
              <w:rPr>
                <w:rFonts w:cs="Arial"/>
                <w:sz w:val="20"/>
                <w:szCs w:val="20"/>
              </w:rPr>
            </w:pPr>
            <w:r>
              <w:rPr>
                <w:rFonts w:cs="Arial"/>
                <w:sz w:val="20"/>
                <w:szCs w:val="20"/>
              </w:rPr>
              <w:t>Detergents</w:t>
            </w:r>
          </w:p>
        </w:tc>
        <w:tc>
          <w:tcPr>
            <w:tcW w:w="1402" w:type="pct"/>
            <w:tcBorders>
              <w:top w:val="single" w:sz="12" w:space="0" w:color="000000" w:themeColor="text1"/>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34.1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Organic solvents</w:t>
            </w:r>
          </w:p>
          <w:p w:rsidR="008900FA" w:rsidRPr="003E25A4" w:rsidRDefault="008900FA" w:rsidP="008900FA">
            <w:pPr>
              <w:spacing w:before="40" w:after="40"/>
              <w:rPr>
                <w:rFonts w:cs="Arial"/>
                <w:i/>
                <w:sz w:val="18"/>
                <w:szCs w:val="18"/>
              </w:rPr>
            </w:pPr>
            <w:r w:rsidRPr="003E25A4">
              <w:rPr>
                <w:rFonts w:cs="Arial"/>
                <w:i/>
                <w:sz w:val="18"/>
                <w:szCs w:val="18"/>
              </w:rPr>
              <w:t>Includes: thinners, acetates, degreasers-solvent based</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27.6</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Disinfectants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20.6</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Bases and alkalis</w:t>
            </w:r>
          </w:p>
          <w:p w:rsidR="008900FA" w:rsidRPr="003E25A4" w:rsidRDefault="008900FA" w:rsidP="008900FA">
            <w:pPr>
              <w:spacing w:before="40" w:after="40"/>
              <w:rPr>
                <w:rFonts w:cs="Arial"/>
                <w:i/>
                <w:sz w:val="18"/>
                <w:szCs w:val="18"/>
              </w:rPr>
            </w:pPr>
            <w:r w:rsidRPr="003E25A4">
              <w:rPr>
                <w:rFonts w:cs="Arial"/>
                <w:i/>
                <w:sz w:val="18"/>
                <w:szCs w:val="18"/>
              </w:rPr>
              <w:t>Includes: caustic soda, caustic potash, sodium hydroxide</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11.9</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Paints, varnishes and inks</w:t>
            </w:r>
          </w:p>
          <w:p w:rsidR="008900FA" w:rsidRPr="003E25A4" w:rsidRDefault="008900FA" w:rsidP="008900FA">
            <w:pPr>
              <w:spacing w:before="40" w:after="40"/>
              <w:rPr>
                <w:rFonts w:cs="Arial"/>
                <w:i/>
                <w:sz w:val="18"/>
                <w:szCs w:val="18"/>
              </w:rPr>
            </w:pPr>
            <w:r w:rsidRPr="003E25A4">
              <w:rPr>
                <w:rFonts w:cs="Arial"/>
                <w:i/>
                <w:sz w:val="18"/>
                <w:szCs w:val="18"/>
              </w:rPr>
              <w:t xml:space="preserve">Includes: water or oil-based paints, acrylic paints, vehicle paints, inks, printing inks, rust and conversion treatments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11.1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Cement and lime (in powder form)</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10.5</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Non-bituminous hydrocarbon fuels</w:t>
            </w:r>
          </w:p>
          <w:p w:rsidR="008900FA" w:rsidRPr="003E25A4" w:rsidRDefault="008900FA" w:rsidP="008900FA">
            <w:pPr>
              <w:spacing w:before="40" w:after="40"/>
              <w:rPr>
                <w:rFonts w:cs="Arial"/>
                <w:i/>
                <w:sz w:val="18"/>
                <w:szCs w:val="18"/>
              </w:rPr>
            </w:pPr>
            <w:r w:rsidRPr="003E25A4">
              <w:rPr>
                <w:rFonts w:cs="Arial"/>
                <w:i/>
                <w:sz w:val="18"/>
                <w:szCs w:val="18"/>
              </w:rPr>
              <w:t>Includes: petrol, diesel, kerosene, aviation fuel, turpentine, paraffin, toluene, kerosene, LPG, lubricating oils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9.9</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Wet concrete (just poured or just mixed)</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9.2</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Other chemical products</w:t>
            </w:r>
          </w:p>
          <w:p w:rsidR="008900FA" w:rsidRPr="003E25A4" w:rsidRDefault="008900FA" w:rsidP="008900FA">
            <w:pPr>
              <w:spacing w:before="40" w:after="40"/>
              <w:rPr>
                <w:rFonts w:cs="Arial"/>
                <w:i/>
                <w:sz w:val="18"/>
                <w:szCs w:val="18"/>
              </w:rPr>
            </w:pPr>
            <w:r w:rsidRPr="003E25A4">
              <w:rPr>
                <w:rFonts w:cs="Arial"/>
                <w:i/>
                <w:sz w:val="18"/>
                <w:szCs w:val="18"/>
              </w:rPr>
              <w:t>Includes: glue, dyes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4.7</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Acids</w:t>
            </w:r>
          </w:p>
          <w:p w:rsidR="008900FA" w:rsidRPr="003E25A4" w:rsidRDefault="008900FA" w:rsidP="008900FA">
            <w:pPr>
              <w:spacing w:before="40" w:after="40"/>
              <w:rPr>
                <w:rFonts w:cs="Arial"/>
                <w:i/>
                <w:sz w:val="18"/>
                <w:szCs w:val="18"/>
              </w:rPr>
            </w:pPr>
            <w:r w:rsidRPr="003E25A4">
              <w:rPr>
                <w:rFonts w:cs="Arial"/>
                <w:i/>
                <w:sz w:val="18"/>
                <w:szCs w:val="18"/>
              </w:rPr>
              <w:t xml:space="preserve">Includes: battery acid, spirits of salt, hydrofluoric acid and hydrofluoric acid products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4.3</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Plant treatment chemicals</w:t>
            </w:r>
          </w:p>
          <w:p w:rsidR="008900FA" w:rsidRPr="003E25A4" w:rsidRDefault="008900FA" w:rsidP="008900FA">
            <w:pPr>
              <w:spacing w:before="40" w:after="40"/>
              <w:rPr>
                <w:rFonts w:cs="Arial"/>
                <w:i/>
                <w:sz w:val="18"/>
                <w:szCs w:val="18"/>
              </w:rPr>
            </w:pPr>
            <w:r w:rsidRPr="003E25A4">
              <w:rPr>
                <w:rFonts w:cs="Arial"/>
                <w:i/>
                <w:sz w:val="18"/>
                <w:szCs w:val="18"/>
              </w:rPr>
              <w:t>Includes: fungicides, weedkillers, fertilisers, crop sprays, insecticides, defoliant</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4.1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Plastic materials, synthetic resins and rubbers</w:t>
            </w:r>
          </w:p>
          <w:p w:rsidR="008900FA" w:rsidRPr="003E25A4" w:rsidRDefault="008900FA" w:rsidP="008900FA">
            <w:pPr>
              <w:spacing w:before="40" w:after="40"/>
              <w:rPr>
                <w:rFonts w:cs="Arial"/>
                <w:i/>
                <w:sz w:val="18"/>
                <w:szCs w:val="18"/>
              </w:rPr>
            </w:pPr>
            <w:r w:rsidRPr="003E25A4">
              <w:rPr>
                <w:rFonts w:cs="Arial"/>
                <w:i/>
                <w:sz w:val="18"/>
                <w:szCs w:val="18"/>
              </w:rPr>
              <w:t xml:space="preserve">Includes: polyurethanes, foam plastic, PVC piping, guttering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3.0</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Animal treatment chemicals</w:t>
            </w:r>
          </w:p>
          <w:p w:rsidR="008900FA" w:rsidRPr="003E25A4" w:rsidRDefault="008900FA" w:rsidP="008900FA">
            <w:pPr>
              <w:spacing w:before="40" w:after="40"/>
              <w:rPr>
                <w:rFonts w:cs="Arial"/>
                <w:i/>
                <w:sz w:val="18"/>
                <w:szCs w:val="18"/>
              </w:rPr>
            </w:pPr>
            <w:r w:rsidRPr="003E25A4">
              <w:rPr>
                <w:rFonts w:cs="Arial"/>
                <w:i/>
                <w:sz w:val="18"/>
                <w:szCs w:val="18"/>
              </w:rPr>
              <w:t xml:space="preserve">Includes: insecticides, animal dips and drenches, pesticides, rat poisons, snail bait, fly sprays, fumigants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2.9</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Pharmaceuticals</w:t>
            </w:r>
          </w:p>
          <w:p w:rsidR="008900FA" w:rsidRPr="003E25A4" w:rsidRDefault="008900FA" w:rsidP="008900FA">
            <w:pPr>
              <w:spacing w:before="40" w:after="40"/>
              <w:rPr>
                <w:rFonts w:cs="Arial"/>
                <w:i/>
                <w:sz w:val="18"/>
                <w:szCs w:val="18"/>
              </w:rPr>
            </w:pPr>
            <w:r w:rsidRPr="003E25A4">
              <w:rPr>
                <w:rFonts w:cs="Arial"/>
                <w:i/>
                <w:sz w:val="18"/>
                <w:szCs w:val="18"/>
              </w:rPr>
              <w:t>Includes: cosmetics, creams, medicines, drugs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1.4</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Abrasive powders</w:t>
            </w:r>
          </w:p>
          <w:p w:rsidR="008900FA" w:rsidRPr="003E25A4" w:rsidRDefault="008900FA" w:rsidP="008900FA">
            <w:pPr>
              <w:spacing w:before="40" w:after="40"/>
              <w:rPr>
                <w:rFonts w:cs="Arial"/>
                <w:i/>
                <w:sz w:val="18"/>
                <w:szCs w:val="18"/>
              </w:rPr>
            </w:pPr>
            <w:r w:rsidRPr="003E25A4">
              <w:rPr>
                <w:rFonts w:cs="Arial"/>
                <w:i/>
                <w:sz w:val="18"/>
                <w:szCs w:val="18"/>
              </w:rPr>
              <w:t>Includes: grain, grit, jewellers’ rouge</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1.3</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Other basic and unspecified chemicals</w:t>
            </w:r>
          </w:p>
          <w:p w:rsidR="008900FA" w:rsidRPr="003E25A4" w:rsidRDefault="008900FA" w:rsidP="008900FA">
            <w:pPr>
              <w:spacing w:before="40" w:after="40"/>
              <w:rPr>
                <w:rFonts w:cs="Arial"/>
                <w:i/>
                <w:sz w:val="18"/>
                <w:szCs w:val="18"/>
              </w:rPr>
            </w:pPr>
            <w:r w:rsidRPr="003E25A4">
              <w:rPr>
                <w:rFonts w:cs="Arial"/>
                <w:i/>
                <w:sz w:val="18"/>
                <w:szCs w:val="18"/>
              </w:rPr>
              <w:t xml:space="preserve">Includes: carbon dioxide in the form of dry ice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Chlorine</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1.0</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Other nominated chemicals</w:t>
            </w:r>
          </w:p>
          <w:p w:rsidR="008900FA" w:rsidRPr="003E25A4" w:rsidRDefault="008900FA" w:rsidP="008900FA">
            <w:pPr>
              <w:spacing w:before="40" w:after="40"/>
              <w:rPr>
                <w:rFonts w:cs="Arial"/>
                <w:i/>
                <w:sz w:val="18"/>
                <w:szCs w:val="18"/>
              </w:rPr>
            </w:pPr>
            <w:r w:rsidRPr="003E25A4">
              <w:rPr>
                <w:rFonts w:cs="Arial"/>
                <w:i/>
                <w:sz w:val="18"/>
                <w:szCs w:val="18"/>
              </w:rPr>
              <w:t xml:space="preserve">Includes: cadmium, MOCA: 4,4’-methylene bis (2-chloroanaline), acrylonitrile, thallium, vinyl chloride, polycyclic aromatic hydrocarbons (PAH), pentachlorophenol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1.0</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Bricks, tiles and concrete, cement and clay products</w:t>
            </w:r>
          </w:p>
          <w:p w:rsidR="008900FA" w:rsidRPr="003E25A4" w:rsidRDefault="008900FA" w:rsidP="008900FA">
            <w:pPr>
              <w:spacing w:before="40" w:after="40"/>
              <w:rPr>
                <w:rFonts w:cs="Arial"/>
                <w:i/>
                <w:sz w:val="18"/>
                <w:szCs w:val="18"/>
              </w:rPr>
            </w:pPr>
            <w:r w:rsidRPr="003E25A4">
              <w:rPr>
                <w:rFonts w:cs="Arial"/>
                <w:i/>
                <w:sz w:val="18"/>
                <w:szCs w:val="18"/>
              </w:rPr>
              <w:t xml:space="preserve">Includes: ceramic, clay, cement or concrete bricks, paving blocks, pipes, granite panels, tiles and precast concrete products stressed or unstressed, with or without reinforcement, railway sleepers (concrete)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0.7</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Bitumen, asphalt, tar, pitch</w:t>
            </w:r>
          </w:p>
          <w:p w:rsidR="008900FA" w:rsidRPr="003E25A4" w:rsidRDefault="008900FA" w:rsidP="008900FA">
            <w:pPr>
              <w:spacing w:before="40" w:after="40"/>
              <w:rPr>
                <w:rFonts w:cs="Arial"/>
                <w:i/>
                <w:sz w:val="18"/>
                <w:szCs w:val="18"/>
              </w:rPr>
            </w:pPr>
            <w:r w:rsidRPr="003E25A4">
              <w:rPr>
                <w:rFonts w:cs="Arial"/>
                <w:i/>
                <w:sz w:val="18"/>
                <w:szCs w:val="18"/>
              </w:rPr>
              <w:t xml:space="preserve">Includes: coke production products, coal production products, creosote </w:t>
            </w:r>
            <w:r w:rsidRPr="003E25A4">
              <w:rPr>
                <w:rFonts w:cs="Arial"/>
                <w:i/>
                <w:sz w:val="18"/>
                <w:szCs w:val="18"/>
              </w:rPr>
              <w:lastRenderedPageBreak/>
              <w:t>production products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lastRenderedPageBreak/>
              <w:t>0.5</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lastRenderedPageBreak/>
              <w:t>Dust, not elsewhere classified</w:t>
            </w:r>
          </w:p>
          <w:p w:rsidR="008900FA" w:rsidRPr="003E25A4" w:rsidRDefault="008900FA" w:rsidP="008900FA">
            <w:pPr>
              <w:spacing w:before="40" w:after="40"/>
              <w:rPr>
                <w:rFonts w:cs="Arial"/>
                <w:i/>
                <w:sz w:val="18"/>
                <w:szCs w:val="18"/>
              </w:rPr>
            </w:pPr>
            <w:r w:rsidRPr="003E25A4">
              <w:rPr>
                <w:rFonts w:cs="Arial"/>
                <w:i/>
                <w:sz w:val="18"/>
                <w:szCs w:val="18"/>
              </w:rPr>
              <w:t xml:space="preserve">Includes: sand, soil, ash, mud and scale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0.3</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Oil and fat (animal or vegetable)</w:t>
            </w:r>
          </w:p>
          <w:p w:rsidR="008900FA" w:rsidRPr="003E25A4" w:rsidRDefault="008900FA" w:rsidP="008900FA">
            <w:pPr>
              <w:spacing w:before="40" w:after="40"/>
              <w:rPr>
                <w:rFonts w:cs="Arial"/>
                <w:i/>
                <w:sz w:val="18"/>
                <w:szCs w:val="18"/>
              </w:rPr>
            </w:pPr>
            <w:r w:rsidRPr="003E25A4">
              <w:rPr>
                <w:rFonts w:cs="Arial"/>
                <w:i/>
                <w:sz w:val="18"/>
                <w:szCs w:val="18"/>
              </w:rPr>
              <w:t xml:space="preserve">Includes: salad oil, cooking oil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0.3</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Ferrous and non-ferrous metal</w:t>
            </w:r>
          </w:p>
          <w:p w:rsidR="008900FA" w:rsidRPr="003E25A4" w:rsidRDefault="008900FA" w:rsidP="008900FA">
            <w:pPr>
              <w:spacing w:before="40" w:after="40"/>
              <w:rPr>
                <w:rFonts w:cs="Arial"/>
                <w:i/>
                <w:sz w:val="18"/>
                <w:szCs w:val="18"/>
              </w:rPr>
            </w:pPr>
            <w:r w:rsidRPr="003E25A4">
              <w:rPr>
                <w:rFonts w:cs="Arial"/>
                <w:i/>
                <w:sz w:val="18"/>
                <w:szCs w:val="18"/>
              </w:rPr>
              <w:t>Includes: ingot, bar, rod, pipe, rail, beam, tube, die, mould, girders, roofing iron, tinplate, sheet metal, aluminium roofing, cladding, molten metal</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0.3</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Lead and lead compounds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0.2</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Stock feed</w:t>
            </w:r>
          </w:p>
          <w:p w:rsidR="008900FA" w:rsidRPr="003E25A4" w:rsidRDefault="008900FA" w:rsidP="008900FA">
            <w:pPr>
              <w:spacing w:before="40" w:after="40"/>
              <w:rPr>
                <w:rFonts w:cs="Arial"/>
                <w:i/>
                <w:sz w:val="18"/>
                <w:szCs w:val="18"/>
              </w:rPr>
            </w:pPr>
            <w:r w:rsidRPr="003E25A4">
              <w:rPr>
                <w:rFonts w:cs="Arial"/>
                <w:i/>
                <w:sz w:val="18"/>
                <w:szCs w:val="18"/>
              </w:rPr>
              <w:t>Includes: grain, processed stock feed</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0.2</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Arsenic and arsenic compounds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Benzene</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Radioactive materials</w:t>
            </w:r>
          </w:p>
          <w:p w:rsidR="008900FA" w:rsidRPr="003E25A4" w:rsidRDefault="008900FA" w:rsidP="008900FA">
            <w:pPr>
              <w:spacing w:before="40" w:after="40"/>
              <w:rPr>
                <w:rFonts w:cs="Arial"/>
                <w:i/>
                <w:sz w:val="18"/>
                <w:szCs w:val="18"/>
              </w:rPr>
            </w:pPr>
            <w:r w:rsidRPr="003E25A4">
              <w:rPr>
                <w:rFonts w:cs="Arial"/>
                <w:i/>
                <w:sz w:val="18"/>
                <w:szCs w:val="18"/>
              </w:rPr>
              <w:t xml:space="preserve">Includes: radium, thorium, uranium, plutonium, pitchblende, radioactive isotopes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Manufactured explosive substances</w:t>
            </w:r>
          </w:p>
          <w:p w:rsidR="008900FA" w:rsidRPr="003E25A4" w:rsidRDefault="008900FA" w:rsidP="008900FA">
            <w:pPr>
              <w:spacing w:before="40" w:after="40"/>
              <w:rPr>
                <w:rFonts w:cs="Arial"/>
                <w:i/>
                <w:sz w:val="18"/>
                <w:szCs w:val="18"/>
              </w:rPr>
            </w:pPr>
            <w:r w:rsidRPr="003E25A4">
              <w:rPr>
                <w:rFonts w:cs="Arial"/>
                <w:i/>
                <w:sz w:val="18"/>
                <w:szCs w:val="18"/>
              </w:rPr>
              <w:t>Includes: gunpowder, fireworks, ammunition, percussion caps, material manufactured for the purpose</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Rocks, stones, boulders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Food</w:t>
            </w:r>
          </w:p>
          <w:p w:rsidR="008900FA" w:rsidRPr="003E25A4" w:rsidRDefault="008900FA" w:rsidP="008900FA">
            <w:pPr>
              <w:spacing w:before="40" w:after="40"/>
              <w:rPr>
                <w:rFonts w:cs="Arial"/>
                <w:i/>
                <w:sz w:val="18"/>
                <w:szCs w:val="18"/>
              </w:rPr>
            </w:pPr>
            <w:r w:rsidRPr="003E25A4">
              <w:rPr>
                <w:rFonts w:cs="Arial"/>
                <w:i/>
                <w:sz w:val="18"/>
                <w:szCs w:val="18"/>
              </w:rPr>
              <w:t xml:space="preserve">Includes: spilt hot food, frozen food, where a source of contamination (eg food poisoning), where a source of choking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Other substances</w:t>
            </w:r>
          </w:p>
          <w:p w:rsidR="008900FA" w:rsidRPr="003E25A4" w:rsidRDefault="008900FA" w:rsidP="008900FA">
            <w:pPr>
              <w:spacing w:before="40" w:after="40"/>
              <w:rPr>
                <w:rFonts w:cs="Arial"/>
                <w:i/>
                <w:sz w:val="18"/>
                <w:szCs w:val="18"/>
              </w:rPr>
            </w:pPr>
            <w:r w:rsidRPr="003E25A4">
              <w:rPr>
                <w:rFonts w:cs="Arial"/>
                <w:i/>
                <w:sz w:val="18"/>
                <w:szCs w:val="18"/>
              </w:rPr>
              <w:t xml:space="preserve">Includes: rubbish and garbage, potting mix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Mercury and mercury compounds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Cyanide and cyanide compounds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Chromium and chromium compounds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Industrial gases, fumes</w:t>
            </w:r>
          </w:p>
          <w:p w:rsidR="008900FA" w:rsidRPr="003E25A4" w:rsidRDefault="008900FA" w:rsidP="008900FA">
            <w:pPr>
              <w:spacing w:before="40" w:after="40"/>
              <w:rPr>
                <w:rFonts w:cs="Arial"/>
                <w:i/>
                <w:sz w:val="18"/>
                <w:szCs w:val="18"/>
              </w:rPr>
            </w:pPr>
            <w:r w:rsidRPr="003E25A4">
              <w:rPr>
                <w:rFonts w:cs="Arial"/>
                <w:i/>
                <w:sz w:val="18"/>
                <w:szCs w:val="18"/>
              </w:rPr>
              <w:t xml:space="preserve">Includes: argon, nitrogen, acetylene, oxygen, carbon dioxide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Diesel exhaust fumes</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Crystalline silica</w:t>
            </w:r>
          </w:p>
          <w:p w:rsidR="008900FA" w:rsidRPr="003E25A4" w:rsidRDefault="008900FA" w:rsidP="008900FA">
            <w:pPr>
              <w:spacing w:before="40" w:after="40"/>
              <w:rPr>
                <w:rFonts w:cs="Arial"/>
                <w:i/>
                <w:sz w:val="18"/>
                <w:szCs w:val="18"/>
              </w:rPr>
            </w:pPr>
            <w:r w:rsidRPr="003E25A4">
              <w:rPr>
                <w:rFonts w:cs="Arial"/>
                <w:i/>
                <w:sz w:val="18"/>
                <w:szCs w:val="18"/>
              </w:rPr>
              <w:t xml:space="preserve">Includes: quartz, cristobalite, tridymite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Sawn or dressed timber</w:t>
            </w:r>
          </w:p>
          <w:p w:rsidR="008900FA" w:rsidRPr="003E25A4" w:rsidRDefault="008900FA" w:rsidP="008900FA">
            <w:pPr>
              <w:spacing w:before="40" w:after="40"/>
              <w:rPr>
                <w:rFonts w:cs="Arial"/>
                <w:i/>
                <w:sz w:val="18"/>
                <w:szCs w:val="18"/>
              </w:rPr>
            </w:pPr>
            <w:r w:rsidRPr="003E25A4">
              <w:rPr>
                <w:rFonts w:cs="Arial"/>
                <w:i/>
                <w:sz w:val="18"/>
                <w:szCs w:val="18"/>
              </w:rPr>
              <w:t>Includes: sawn or dressed timber, plywood, particle board, chipboard, planks, beams, scantling, wooden railway sleepers, firewood, posts (not in situ)</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right w:val="nil"/>
            </w:tcBorders>
          </w:tcPr>
          <w:p w:rsidR="008900FA" w:rsidRDefault="008900FA" w:rsidP="008900FA">
            <w:pPr>
              <w:spacing w:before="40" w:after="40"/>
              <w:rPr>
                <w:rFonts w:cs="Arial"/>
                <w:sz w:val="20"/>
                <w:szCs w:val="20"/>
              </w:rPr>
            </w:pPr>
            <w:r>
              <w:rPr>
                <w:rFonts w:cs="Arial"/>
                <w:sz w:val="20"/>
                <w:szCs w:val="20"/>
              </w:rPr>
              <w:t>Other minerals and objects</w:t>
            </w:r>
          </w:p>
          <w:p w:rsidR="008900FA" w:rsidRPr="003E25A4" w:rsidRDefault="008900FA" w:rsidP="008900FA">
            <w:pPr>
              <w:spacing w:before="40" w:after="40"/>
              <w:rPr>
                <w:rFonts w:cs="Arial"/>
                <w:i/>
                <w:sz w:val="18"/>
                <w:szCs w:val="18"/>
              </w:rPr>
            </w:pPr>
            <w:r w:rsidRPr="003E25A4">
              <w:rPr>
                <w:rFonts w:cs="Arial"/>
                <w:i/>
                <w:sz w:val="18"/>
                <w:szCs w:val="18"/>
              </w:rPr>
              <w:t xml:space="preserve">Includes: coins, cloth, rag, duster, stock (unspecified)  </w:t>
            </w:r>
          </w:p>
        </w:tc>
        <w:tc>
          <w:tcPr>
            <w:tcW w:w="1402" w:type="pct"/>
            <w:tcBorders>
              <w:left w:val="nil"/>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r w:rsidR="008900FA" w:rsidTr="00531547">
        <w:tc>
          <w:tcPr>
            <w:tcW w:w="3598" w:type="pct"/>
            <w:tcBorders>
              <w:bottom w:val="single" w:sz="12" w:space="0" w:color="000000" w:themeColor="text1"/>
              <w:right w:val="nil"/>
            </w:tcBorders>
          </w:tcPr>
          <w:p w:rsidR="008900FA" w:rsidRDefault="008900FA" w:rsidP="008900FA">
            <w:pPr>
              <w:spacing w:before="40" w:after="40"/>
              <w:rPr>
                <w:rFonts w:cs="Arial"/>
                <w:sz w:val="20"/>
                <w:szCs w:val="20"/>
              </w:rPr>
            </w:pPr>
            <w:r>
              <w:rPr>
                <w:rFonts w:cs="Arial"/>
                <w:sz w:val="20"/>
                <w:szCs w:val="20"/>
              </w:rPr>
              <w:t>Beverages</w:t>
            </w:r>
          </w:p>
          <w:p w:rsidR="008900FA" w:rsidRPr="003E25A4" w:rsidRDefault="008900FA" w:rsidP="008900FA">
            <w:pPr>
              <w:spacing w:before="40" w:after="40"/>
              <w:rPr>
                <w:rFonts w:cs="Arial"/>
                <w:i/>
                <w:sz w:val="18"/>
                <w:szCs w:val="18"/>
              </w:rPr>
            </w:pPr>
            <w:r w:rsidRPr="003E25A4">
              <w:rPr>
                <w:rFonts w:cs="Arial"/>
                <w:i/>
                <w:sz w:val="18"/>
                <w:szCs w:val="18"/>
              </w:rPr>
              <w:t xml:space="preserve">Includes: spilt hot drink, where a source of contamination </w:t>
            </w:r>
          </w:p>
        </w:tc>
        <w:tc>
          <w:tcPr>
            <w:tcW w:w="1402" w:type="pct"/>
            <w:tcBorders>
              <w:left w:val="nil"/>
              <w:bottom w:val="single" w:sz="12" w:space="0" w:color="000000" w:themeColor="text1"/>
            </w:tcBorders>
            <w:vAlign w:val="center"/>
          </w:tcPr>
          <w:p w:rsidR="008900FA" w:rsidRDefault="008900FA" w:rsidP="008900FA">
            <w:pPr>
              <w:spacing w:before="40" w:after="40"/>
              <w:jc w:val="center"/>
              <w:rPr>
                <w:rFonts w:ascii="Calibri" w:hAnsi="Calibri" w:cs="Calibri"/>
                <w:sz w:val="20"/>
                <w:szCs w:val="20"/>
              </w:rPr>
            </w:pPr>
            <w:r>
              <w:rPr>
                <w:rFonts w:ascii="Calibri" w:hAnsi="Calibri" w:cs="Calibri"/>
                <w:sz w:val="20"/>
                <w:szCs w:val="20"/>
              </w:rPr>
              <w:t>0.1</w:t>
            </w:r>
          </w:p>
        </w:tc>
      </w:tr>
    </w:tbl>
    <w:p w:rsidR="00531547" w:rsidRDefault="00531547">
      <w:pPr>
        <w:spacing w:after="0"/>
        <w:rPr>
          <w:b/>
          <w:bCs/>
          <w:sz w:val="20"/>
          <w:szCs w:val="20"/>
        </w:rPr>
      </w:pPr>
      <w:r>
        <w:br w:type="page"/>
      </w:r>
    </w:p>
    <w:p w:rsidR="00A80BFA" w:rsidRDefault="00A80BFA" w:rsidP="00A80BFA">
      <w:pPr>
        <w:pStyle w:val="Caption"/>
        <w:keepNext/>
      </w:pPr>
      <w:bookmarkStart w:id="179" w:name="_Ref312055028"/>
      <w:bookmarkStart w:id="180" w:name="_Toc314730504"/>
      <w:r>
        <w:lastRenderedPageBreak/>
        <w:t xml:space="preserve">Table </w:t>
      </w:r>
      <w:fldSimple w:instr=" SEQ Table \* ARABIC ">
        <w:r w:rsidR="00266EB2">
          <w:rPr>
            <w:noProof/>
          </w:rPr>
          <w:t>9</w:t>
        </w:r>
      </w:fldSimple>
      <w:bookmarkEnd w:id="179"/>
      <w:r>
        <w:t xml:space="preserve">. </w:t>
      </w:r>
      <w:r w:rsidRPr="00356510">
        <w:t xml:space="preserve">Exposure to the most commonly reported chemical categories by </w:t>
      </w:r>
      <w:r>
        <w:t xml:space="preserve">worker </w:t>
      </w:r>
      <w:r w:rsidRPr="00356510">
        <w:t xml:space="preserve">demographic and workplace </w:t>
      </w:r>
      <w:r>
        <w:t>characteristics</w:t>
      </w:r>
      <w:r w:rsidRPr="00356510">
        <w:t>*</w:t>
      </w:r>
      <w:bookmarkEnd w:id="180"/>
    </w:p>
    <w:tbl>
      <w:tblPr>
        <w:tblStyle w:val="TableGrid"/>
        <w:tblW w:w="5000" w:type="pct"/>
        <w:tblLook w:val="04A0"/>
      </w:tblPr>
      <w:tblGrid>
        <w:gridCol w:w="2439"/>
        <w:gridCol w:w="973"/>
        <w:gridCol w:w="972"/>
        <w:gridCol w:w="972"/>
        <w:gridCol w:w="972"/>
        <w:gridCol w:w="972"/>
        <w:gridCol w:w="972"/>
        <w:gridCol w:w="971"/>
      </w:tblGrid>
      <w:tr w:rsidR="00A05C38" w:rsidTr="00531547">
        <w:tc>
          <w:tcPr>
            <w:tcW w:w="1319" w:type="pct"/>
            <w:vMerge w:val="restart"/>
            <w:tcBorders>
              <w:top w:val="single" w:sz="12" w:space="0" w:color="auto"/>
            </w:tcBorders>
            <w:vAlign w:val="bottom"/>
          </w:tcPr>
          <w:p w:rsidR="00A05C38" w:rsidRDefault="00A05C38" w:rsidP="00A05C38">
            <w:pPr>
              <w:spacing w:before="40" w:after="40"/>
            </w:pPr>
            <w:r>
              <w:rPr>
                <w:rFonts w:cs="Arial"/>
                <w:b/>
                <w:bCs/>
                <w:sz w:val="20"/>
                <w:szCs w:val="20"/>
              </w:rPr>
              <w:t>Employment and demographic characteristics</w:t>
            </w:r>
          </w:p>
        </w:tc>
        <w:tc>
          <w:tcPr>
            <w:tcW w:w="3681" w:type="pct"/>
            <w:gridSpan w:val="7"/>
            <w:tcBorders>
              <w:top w:val="single" w:sz="12" w:space="0" w:color="auto"/>
            </w:tcBorders>
            <w:shd w:val="clear" w:color="auto" w:fill="808080" w:themeFill="background1" w:themeFillShade="80"/>
          </w:tcPr>
          <w:p w:rsidR="00A05C38" w:rsidRPr="00A05C38" w:rsidRDefault="00A05C38" w:rsidP="00A05C38">
            <w:pPr>
              <w:pStyle w:val="FootnoteText"/>
              <w:spacing w:before="40" w:after="40"/>
              <w:jc w:val="center"/>
              <w:rPr>
                <w:b/>
                <w:color w:val="FFFFFF" w:themeColor="background1"/>
              </w:rPr>
            </w:pPr>
            <w:r w:rsidRPr="00A05C38">
              <w:rPr>
                <w:b/>
                <w:color w:val="FFFFFF" w:themeColor="background1"/>
              </w:rPr>
              <w:t>The percentage of workers who reported exposure to each of the main types of chemical exposure</w:t>
            </w:r>
          </w:p>
        </w:tc>
      </w:tr>
      <w:tr w:rsidR="00A05C38" w:rsidTr="00531547">
        <w:trPr>
          <w:cantSplit/>
          <w:trHeight w:val="1946"/>
        </w:trPr>
        <w:tc>
          <w:tcPr>
            <w:tcW w:w="1319" w:type="pct"/>
            <w:vMerge/>
            <w:tcBorders>
              <w:bottom w:val="single" w:sz="4" w:space="0" w:color="auto"/>
            </w:tcBorders>
            <w:vAlign w:val="bottom"/>
          </w:tcPr>
          <w:p w:rsidR="00A05C38" w:rsidRDefault="00A05C38" w:rsidP="00A05C38">
            <w:pPr>
              <w:spacing w:before="40" w:after="40"/>
              <w:rPr>
                <w:rFonts w:cs="Arial"/>
                <w:b/>
                <w:bCs/>
                <w:sz w:val="20"/>
                <w:szCs w:val="20"/>
              </w:rPr>
            </w:pP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bookmarkStart w:id="181" w:name="OLE_LINK1"/>
            <w:r>
              <w:rPr>
                <w:rFonts w:cs="Calibri"/>
                <w:b/>
                <w:bCs/>
                <w:sz w:val="20"/>
                <w:szCs w:val="20"/>
              </w:rPr>
              <w:t>Bases and alkalis</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Non-bituminous hydrocarbon fuels</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Paints, varnishes &amp; ink</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Organic solvents</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Detergents</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Disinfectants</w:t>
            </w:r>
          </w:p>
        </w:tc>
        <w:tc>
          <w:tcPr>
            <w:tcW w:w="526" w:type="pct"/>
            <w:tcBorders>
              <w:bottom w:val="single" w:sz="4" w:space="0" w:color="auto"/>
            </w:tcBorders>
            <w:textDirection w:val="btLr"/>
            <w:vAlign w:val="center"/>
          </w:tcPr>
          <w:p w:rsidR="00A05C38" w:rsidRDefault="00A05C38" w:rsidP="00A05C38">
            <w:pPr>
              <w:spacing w:before="40" w:after="40"/>
              <w:ind w:left="113" w:right="113"/>
              <w:rPr>
                <w:rFonts w:cs="Arial"/>
                <w:b/>
                <w:bCs/>
                <w:sz w:val="20"/>
                <w:szCs w:val="20"/>
              </w:rPr>
            </w:pPr>
            <w:r>
              <w:rPr>
                <w:rFonts w:cs="Calibri"/>
                <w:b/>
                <w:bCs/>
                <w:sz w:val="20"/>
                <w:szCs w:val="20"/>
              </w:rPr>
              <w:t>Cement &amp; lime</w:t>
            </w:r>
            <w:bookmarkEnd w:id="181"/>
          </w:p>
        </w:tc>
      </w:tr>
      <w:tr w:rsidR="006138E4" w:rsidRPr="006138E4" w:rsidTr="00531547">
        <w:tc>
          <w:tcPr>
            <w:tcW w:w="5000" w:type="pct"/>
            <w:gridSpan w:val="8"/>
            <w:tcBorders>
              <w:top w:val="single" w:sz="4" w:space="0" w:color="auto"/>
            </w:tcBorders>
            <w:shd w:val="clear" w:color="auto" w:fill="808080" w:themeFill="background1" w:themeFillShade="80"/>
            <w:vAlign w:val="bottom"/>
          </w:tcPr>
          <w:p w:rsidR="006138E4" w:rsidRPr="006138E4" w:rsidRDefault="006138E4" w:rsidP="00A05C38">
            <w:pPr>
              <w:pStyle w:val="FootnoteText"/>
              <w:spacing w:before="40" w:after="40"/>
              <w:rPr>
                <w:color w:val="FFFFFF" w:themeColor="background1"/>
              </w:rPr>
            </w:pPr>
            <w:r w:rsidRPr="006138E4">
              <w:rPr>
                <w:rFonts w:cs="Calibri"/>
                <w:b/>
                <w:bCs/>
                <w:color w:val="FFFFFF" w:themeColor="background1"/>
              </w:rPr>
              <w:t>Sex n=4500</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Male</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2.66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6.04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6.12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11.41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8.95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3.18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6.84</w:t>
            </w:r>
          </w:p>
        </w:tc>
      </w:tr>
      <w:tr w:rsidR="00A05C38" w:rsidTr="00531547">
        <w:tc>
          <w:tcPr>
            <w:tcW w:w="1319" w:type="pct"/>
            <w:tcBorders>
              <w:bottom w:val="single" w:sz="4" w:space="0" w:color="auto"/>
            </w:tcBorders>
            <w:vAlign w:val="bottom"/>
          </w:tcPr>
          <w:p w:rsidR="00A05C38" w:rsidRDefault="00A05C38" w:rsidP="00A05C38">
            <w:pPr>
              <w:spacing w:before="40" w:after="40"/>
              <w:rPr>
                <w:rFonts w:cs="Arial"/>
                <w:sz w:val="20"/>
                <w:szCs w:val="20"/>
              </w:rPr>
            </w:pPr>
            <w:r>
              <w:rPr>
                <w:rFonts w:cs="Calibri"/>
                <w:sz w:val="20"/>
                <w:szCs w:val="20"/>
              </w:rPr>
              <w:t>Female</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6.65</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0.76</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1.66</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8.92</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17.48</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13.40</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0.20</w:t>
            </w:r>
          </w:p>
        </w:tc>
      </w:tr>
      <w:tr w:rsidR="006138E4" w:rsidRPr="006138E4" w:rsidTr="00531547">
        <w:tc>
          <w:tcPr>
            <w:tcW w:w="5000" w:type="pct"/>
            <w:gridSpan w:val="8"/>
            <w:shd w:val="clear" w:color="auto" w:fill="808080" w:themeFill="background1" w:themeFillShade="80"/>
            <w:vAlign w:val="bottom"/>
          </w:tcPr>
          <w:p w:rsidR="006138E4" w:rsidRPr="006138E4" w:rsidRDefault="006138E4" w:rsidP="006138E4">
            <w:pPr>
              <w:spacing w:before="40" w:after="40"/>
              <w:rPr>
                <w:rFonts w:cs="Arial"/>
                <w:color w:val="FFFFFF" w:themeColor="background1"/>
                <w:sz w:val="20"/>
                <w:szCs w:val="20"/>
              </w:rPr>
            </w:pPr>
            <w:r w:rsidRPr="006138E4">
              <w:rPr>
                <w:rFonts w:cs="Calibri"/>
                <w:b/>
                <w:bCs/>
                <w:color w:val="FFFFFF" w:themeColor="background1"/>
                <w:sz w:val="20"/>
                <w:szCs w:val="20"/>
              </w:rPr>
              <w:t>Age group n=4464</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15-24 years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6.00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3.60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5.60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10.80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22.00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10.00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6.80</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25-34 years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5.26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4.78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5.90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11.32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13.72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6.86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4.78</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35-44 years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4.44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4.09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4.09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11.23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12.88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6.53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4.44</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45-54 years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4.51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3.35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3.42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9.23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10.81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7.87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3.49</w:t>
            </w:r>
          </w:p>
        </w:tc>
      </w:tr>
      <w:tr w:rsidR="00A05C38" w:rsidTr="00531547">
        <w:tc>
          <w:tcPr>
            <w:tcW w:w="1319" w:type="pct"/>
            <w:tcBorders>
              <w:bottom w:val="single" w:sz="4" w:space="0" w:color="auto"/>
            </w:tcBorders>
            <w:vAlign w:val="bottom"/>
          </w:tcPr>
          <w:p w:rsidR="00A05C38" w:rsidRDefault="00A05C38" w:rsidP="00A05C38">
            <w:pPr>
              <w:spacing w:before="40" w:after="40"/>
              <w:rPr>
                <w:rFonts w:cs="Arial"/>
                <w:sz w:val="20"/>
                <w:szCs w:val="20"/>
              </w:rPr>
            </w:pPr>
            <w:r>
              <w:rPr>
                <w:rFonts w:cs="Calibri"/>
                <w:sz w:val="20"/>
                <w:szCs w:val="20"/>
              </w:rPr>
              <w:t>55+ years</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3.38</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3.28</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3.89</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10.14</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12.09</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8.40</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2.66</w:t>
            </w:r>
          </w:p>
        </w:tc>
      </w:tr>
      <w:tr w:rsidR="006138E4" w:rsidRPr="006138E4" w:rsidTr="00531547">
        <w:tc>
          <w:tcPr>
            <w:tcW w:w="5000" w:type="pct"/>
            <w:gridSpan w:val="8"/>
            <w:shd w:val="clear" w:color="auto" w:fill="808080" w:themeFill="background1" w:themeFillShade="80"/>
            <w:vAlign w:val="bottom"/>
          </w:tcPr>
          <w:p w:rsidR="006138E4" w:rsidRPr="006138E4" w:rsidRDefault="006138E4" w:rsidP="006138E4">
            <w:pPr>
              <w:spacing w:before="40" w:after="40"/>
              <w:rPr>
                <w:rFonts w:cs="Arial"/>
                <w:color w:val="FFFFFF" w:themeColor="background1"/>
                <w:sz w:val="20"/>
                <w:szCs w:val="20"/>
              </w:rPr>
            </w:pPr>
            <w:r w:rsidRPr="006138E4">
              <w:rPr>
                <w:rFonts w:cs="Calibri"/>
                <w:b/>
                <w:bCs/>
                <w:color w:val="FFFFFF" w:themeColor="background1"/>
                <w:sz w:val="20"/>
                <w:szCs w:val="20"/>
              </w:rPr>
              <w:t xml:space="preserve">Occupational skill level n=4392 </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 xml:space="preserve">Level one (highest) </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2.21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1.37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2.93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7.43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8.08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6.91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2.35</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Level two</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5.54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2.02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1.26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10.08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14.11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8.06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1.26</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 xml:space="preserve">Level three </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3.94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9.73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11.70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20.94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8.37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2.83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8.99</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 xml:space="preserve">Level four </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5.35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3.29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1.60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6.10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16.90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11.17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2.16</w:t>
            </w:r>
          </w:p>
        </w:tc>
      </w:tr>
      <w:tr w:rsidR="00A05C38" w:rsidTr="00531547">
        <w:tc>
          <w:tcPr>
            <w:tcW w:w="1319" w:type="pct"/>
            <w:tcBorders>
              <w:bottom w:val="single" w:sz="4" w:space="0" w:color="auto"/>
            </w:tcBorders>
            <w:vAlign w:val="bottom"/>
          </w:tcPr>
          <w:p w:rsidR="00A05C38" w:rsidRDefault="00A05C38" w:rsidP="00A05C38">
            <w:pPr>
              <w:spacing w:before="40" w:after="40"/>
              <w:rPr>
                <w:rFonts w:cs="Arial"/>
                <w:sz w:val="20"/>
                <w:szCs w:val="20"/>
              </w:rPr>
            </w:pPr>
            <w:r>
              <w:rPr>
                <w:rFonts w:cs="Calibri"/>
                <w:sz w:val="20"/>
                <w:szCs w:val="20"/>
              </w:rPr>
              <w:t>Level five (lowest)</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8.75</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3.77</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3.77</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11.49</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22.98</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10.63</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6.35</w:t>
            </w:r>
          </w:p>
        </w:tc>
      </w:tr>
      <w:tr w:rsidR="006138E4" w:rsidRPr="006138E4" w:rsidTr="00531547">
        <w:tc>
          <w:tcPr>
            <w:tcW w:w="5000" w:type="pct"/>
            <w:gridSpan w:val="8"/>
            <w:shd w:val="clear" w:color="auto" w:fill="808080" w:themeFill="background1" w:themeFillShade="80"/>
            <w:vAlign w:val="bottom"/>
          </w:tcPr>
          <w:p w:rsidR="006138E4" w:rsidRPr="006138E4" w:rsidRDefault="006138E4" w:rsidP="006138E4">
            <w:pPr>
              <w:spacing w:before="40" w:after="40"/>
              <w:rPr>
                <w:rFonts w:cs="Arial"/>
                <w:color w:val="FFFFFF" w:themeColor="background1"/>
                <w:sz w:val="20"/>
                <w:szCs w:val="20"/>
              </w:rPr>
            </w:pPr>
            <w:r w:rsidRPr="006138E4">
              <w:rPr>
                <w:rFonts w:cs="Calibri"/>
                <w:b/>
                <w:bCs/>
                <w:color w:val="FFFFFF" w:themeColor="background1"/>
                <w:sz w:val="20"/>
                <w:szCs w:val="20"/>
              </w:rPr>
              <w:t>Employment Arrangement n=3627</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Perm</w:t>
            </w:r>
            <w:r w:rsidR="00574C95">
              <w:rPr>
                <w:rFonts w:cs="Calibri"/>
                <w:sz w:val="20"/>
                <w:szCs w:val="20"/>
              </w:rPr>
              <w:t xml:space="preserve">anent </w:t>
            </w:r>
            <w:r>
              <w:rPr>
                <w:rFonts w:cs="Calibri"/>
                <w:sz w:val="20"/>
                <w:szCs w:val="20"/>
              </w:rPr>
              <w:t>/</w:t>
            </w:r>
            <w:r w:rsidR="00574C95">
              <w:rPr>
                <w:rFonts w:cs="Calibri"/>
                <w:sz w:val="20"/>
                <w:szCs w:val="20"/>
              </w:rPr>
              <w:t xml:space="preserve"> </w:t>
            </w:r>
            <w:r>
              <w:rPr>
                <w:rFonts w:cs="Calibri"/>
                <w:sz w:val="20"/>
                <w:szCs w:val="20"/>
              </w:rPr>
              <w:t>fixed</w:t>
            </w:r>
            <w:r w:rsidR="00574C95">
              <w:rPr>
                <w:rFonts w:cs="Calibri"/>
                <w:sz w:val="20"/>
                <w:szCs w:val="20"/>
              </w:rPr>
              <w:t xml:space="preserve"> term</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4.36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3.68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3.74</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11.16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12.36</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7.32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2.39</w:t>
            </w:r>
          </w:p>
        </w:tc>
      </w:tr>
      <w:tr w:rsidR="00A05C38" w:rsidTr="00531547">
        <w:tc>
          <w:tcPr>
            <w:tcW w:w="1319" w:type="pct"/>
            <w:tcBorders>
              <w:bottom w:val="single" w:sz="4" w:space="0" w:color="auto"/>
            </w:tcBorders>
            <w:vAlign w:val="bottom"/>
          </w:tcPr>
          <w:p w:rsidR="00A05C38" w:rsidRDefault="00A05C38" w:rsidP="00A05C38">
            <w:pPr>
              <w:spacing w:before="40" w:after="40"/>
              <w:rPr>
                <w:rFonts w:cs="Arial"/>
                <w:sz w:val="20"/>
                <w:szCs w:val="20"/>
              </w:rPr>
            </w:pPr>
            <w:r>
              <w:rPr>
                <w:rFonts w:cs="Calibri"/>
                <w:sz w:val="20"/>
                <w:szCs w:val="20"/>
              </w:rPr>
              <w:t>Temp</w:t>
            </w:r>
            <w:r w:rsidR="00574C95">
              <w:rPr>
                <w:rFonts w:cs="Calibri"/>
                <w:sz w:val="20"/>
                <w:szCs w:val="20"/>
              </w:rPr>
              <w:t xml:space="preserve">orary </w:t>
            </w:r>
            <w:r>
              <w:rPr>
                <w:rFonts w:cs="Calibri"/>
                <w:sz w:val="20"/>
                <w:szCs w:val="20"/>
              </w:rPr>
              <w:t>/</w:t>
            </w:r>
            <w:r w:rsidR="00574C95">
              <w:rPr>
                <w:rFonts w:cs="Calibri"/>
                <w:sz w:val="20"/>
                <w:szCs w:val="20"/>
              </w:rPr>
              <w:t xml:space="preserve"> </w:t>
            </w:r>
            <w:r>
              <w:rPr>
                <w:rFonts w:cs="Calibri"/>
                <w:sz w:val="20"/>
                <w:szCs w:val="20"/>
              </w:rPr>
              <w:t xml:space="preserve">casual </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6.63</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2.84</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4.17</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9.28</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19.32</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12.12</w:t>
            </w:r>
          </w:p>
        </w:tc>
        <w:tc>
          <w:tcPr>
            <w:tcW w:w="526" w:type="pct"/>
            <w:tcBorders>
              <w:bottom w:val="single" w:sz="4" w:space="0" w:color="auto"/>
            </w:tcBorders>
            <w:vAlign w:val="center"/>
          </w:tcPr>
          <w:p w:rsidR="00A05C38" w:rsidRDefault="00A05C38" w:rsidP="00A05C38">
            <w:pPr>
              <w:spacing w:before="40" w:after="40"/>
              <w:jc w:val="center"/>
              <w:rPr>
                <w:rFonts w:cs="Arial"/>
                <w:sz w:val="20"/>
                <w:szCs w:val="20"/>
              </w:rPr>
            </w:pPr>
            <w:r>
              <w:rPr>
                <w:rFonts w:cs="Arial"/>
                <w:sz w:val="20"/>
                <w:szCs w:val="20"/>
              </w:rPr>
              <w:t>3.03</w:t>
            </w:r>
          </w:p>
        </w:tc>
      </w:tr>
      <w:tr w:rsidR="006138E4" w:rsidRPr="006138E4" w:rsidTr="00531547">
        <w:tc>
          <w:tcPr>
            <w:tcW w:w="5000" w:type="pct"/>
            <w:gridSpan w:val="8"/>
            <w:shd w:val="clear" w:color="auto" w:fill="808080" w:themeFill="background1" w:themeFillShade="80"/>
            <w:vAlign w:val="bottom"/>
          </w:tcPr>
          <w:p w:rsidR="006138E4" w:rsidRPr="006138E4" w:rsidRDefault="006138E4" w:rsidP="006138E4">
            <w:pPr>
              <w:spacing w:before="40" w:after="40"/>
              <w:rPr>
                <w:rFonts w:cs="Arial"/>
                <w:color w:val="FFFFFF" w:themeColor="background1"/>
                <w:sz w:val="20"/>
                <w:szCs w:val="20"/>
              </w:rPr>
            </w:pPr>
            <w:r w:rsidRPr="006138E4">
              <w:rPr>
                <w:rFonts w:cs="Calibri"/>
                <w:b/>
                <w:bCs/>
                <w:color w:val="FFFFFF" w:themeColor="background1"/>
                <w:sz w:val="20"/>
                <w:szCs w:val="20"/>
              </w:rPr>
              <w:t>Workplace size n=4472</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&lt; 5 employees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3.79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4.71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6.35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9.42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10.85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6.55</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8.70</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5 to 19 employees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4.92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4.29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4.60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10.88</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15.59</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9.00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5.65</w:t>
            </w:r>
          </w:p>
        </w:tc>
      </w:tr>
      <w:tr w:rsidR="00A05C38" w:rsidTr="00531547">
        <w:tc>
          <w:tcPr>
            <w:tcW w:w="1319" w:type="pct"/>
            <w:vAlign w:val="bottom"/>
          </w:tcPr>
          <w:p w:rsidR="00A05C38" w:rsidRDefault="00A05C38" w:rsidP="00A05C38">
            <w:pPr>
              <w:spacing w:before="40" w:after="40"/>
              <w:rPr>
                <w:rFonts w:cs="Arial"/>
                <w:sz w:val="20"/>
                <w:szCs w:val="20"/>
              </w:rPr>
            </w:pPr>
            <w:r>
              <w:rPr>
                <w:rFonts w:cs="Calibri"/>
                <w:sz w:val="20"/>
                <w:szCs w:val="20"/>
              </w:rPr>
              <w:t>20 to 199 employees</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3.70</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3.17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3.57</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9.92</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12.63</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7.41</w:t>
            </w:r>
          </w:p>
        </w:tc>
        <w:tc>
          <w:tcPr>
            <w:tcW w:w="526" w:type="pct"/>
            <w:vAlign w:val="center"/>
          </w:tcPr>
          <w:p w:rsidR="00A05C38" w:rsidRDefault="00A05C38" w:rsidP="00A05C38">
            <w:pPr>
              <w:spacing w:before="40" w:after="40"/>
              <w:jc w:val="center"/>
              <w:rPr>
                <w:rFonts w:cs="Arial"/>
                <w:sz w:val="20"/>
                <w:szCs w:val="20"/>
              </w:rPr>
            </w:pPr>
            <w:r>
              <w:rPr>
                <w:rFonts w:cs="Arial"/>
                <w:sz w:val="20"/>
                <w:szCs w:val="20"/>
              </w:rPr>
              <w:t>1.46</w:t>
            </w:r>
          </w:p>
        </w:tc>
      </w:tr>
      <w:tr w:rsidR="00A05C38" w:rsidTr="00531547">
        <w:tc>
          <w:tcPr>
            <w:tcW w:w="1319" w:type="pct"/>
            <w:tcBorders>
              <w:bottom w:val="double" w:sz="12" w:space="0" w:color="auto"/>
            </w:tcBorders>
            <w:vAlign w:val="bottom"/>
          </w:tcPr>
          <w:p w:rsidR="00A05C38" w:rsidRDefault="00A05C38" w:rsidP="00A05C38">
            <w:pPr>
              <w:spacing w:before="40" w:after="40"/>
              <w:rPr>
                <w:rFonts w:cs="Arial"/>
                <w:sz w:val="20"/>
                <w:szCs w:val="20"/>
              </w:rPr>
            </w:pPr>
            <w:r>
              <w:rPr>
                <w:rFonts w:cs="Calibri"/>
                <w:sz w:val="20"/>
                <w:szCs w:val="20"/>
              </w:rPr>
              <w:t>200+ employees</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5.36</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3.02</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2.43</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10.81</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11.59</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8.08</w:t>
            </w:r>
          </w:p>
        </w:tc>
        <w:tc>
          <w:tcPr>
            <w:tcW w:w="526" w:type="pct"/>
            <w:tcBorders>
              <w:bottom w:val="double" w:sz="12" w:space="0" w:color="auto"/>
            </w:tcBorders>
            <w:vAlign w:val="center"/>
          </w:tcPr>
          <w:p w:rsidR="00A05C38" w:rsidRDefault="00A05C38" w:rsidP="00A05C38">
            <w:pPr>
              <w:spacing w:before="40" w:after="40"/>
              <w:jc w:val="center"/>
              <w:rPr>
                <w:rFonts w:cs="Arial"/>
                <w:sz w:val="20"/>
                <w:szCs w:val="20"/>
              </w:rPr>
            </w:pPr>
            <w:r>
              <w:rPr>
                <w:rFonts w:cs="Arial"/>
                <w:sz w:val="20"/>
                <w:szCs w:val="20"/>
              </w:rPr>
              <w:t>1.27</w:t>
            </w:r>
          </w:p>
        </w:tc>
      </w:tr>
      <w:tr w:rsidR="00A05C38" w:rsidTr="00531547">
        <w:tc>
          <w:tcPr>
            <w:tcW w:w="5000" w:type="pct"/>
            <w:gridSpan w:val="8"/>
            <w:tcBorders>
              <w:top w:val="double" w:sz="12" w:space="0" w:color="auto"/>
              <w:bottom w:val="single" w:sz="12" w:space="0" w:color="auto"/>
            </w:tcBorders>
          </w:tcPr>
          <w:p w:rsidR="00A05C38" w:rsidRDefault="00A05C38" w:rsidP="00574C95">
            <w:pPr>
              <w:pStyle w:val="FootnoteText"/>
              <w:spacing w:before="40" w:after="40"/>
            </w:pPr>
            <w:r w:rsidRPr="00356510">
              <w:t>* The total sample size (N) is 4500. Due to incomplete responses, not all survey respondents could be included in all sub-analyses, hence some sub-analyses have denominators (n) less than 4500</w:t>
            </w:r>
          </w:p>
        </w:tc>
      </w:tr>
    </w:tbl>
    <w:p w:rsidR="00A05C38" w:rsidRDefault="00A05C38" w:rsidP="004E1F3C">
      <w:pPr>
        <w:pStyle w:val="FootnoteText"/>
      </w:pPr>
    </w:p>
    <w:p w:rsidR="00A05C38" w:rsidRDefault="00A05C38" w:rsidP="004E1F3C">
      <w:pPr>
        <w:pStyle w:val="FootnoteText"/>
      </w:pPr>
    </w:p>
    <w:p w:rsidR="004E1F3C" w:rsidRPr="00356510" w:rsidRDefault="004E1F3C" w:rsidP="004E1F3C">
      <w:pPr>
        <w:pStyle w:val="FootnoteText"/>
      </w:pPr>
      <w:r w:rsidRPr="00356510">
        <w:t>.</w:t>
      </w:r>
    </w:p>
    <w:p w:rsidR="009368B9" w:rsidRPr="00356510" w:rsidRDefault="009368B9" w:rsidP="00EC2F52">
      <w:pPr>
        <w:rPr>
          <w:b/>
        </w:rPr>
      </w:pPr>
      <w:r w:rsidRPr="00356510">
        <w:br w:type="page"/>
      </w:r>
    </w:p>
    <w:p w:rsidR="009368B9" w:rsidRPr="00356510" w:rsidRDefault="00D459B5" w:rsidP="00D459B5">
      <w:pPr>
        <w:pStyle w:val="Caption"/>
        <w:keepNext/>
      </w:pPr>
      <w:bookmarkStart w:id="182" w:name="_Ref297199975"/>
      <w:bookmarkStart w:id="183" w:name="_Toc314730505"/>
      <w:r w:rsidRPr="00356510">
        <w:lastRenderedPageBreak/>
        <w:t xml:space="preserve">Table </w:t>
      </w:r>
      <w:fldSimple w:instr=" SEQ Table \* ARABIC ">
        <w:r w:rsidR="00266EB2">
          <w:rPr>
            <w:noProof/>
          </w:rPr>
          <w:t>10</w:t>
        </w:r>
      </w:fldSimple>
      <w:bookmarkEnd w:id="182"/>
      <w:r w:rsidRPr="00356510">
        <w:t xml:space="preserve">  </w:t>
      </w:r>
      <w:r w:rsidR="009368B9" w:rsidRPr="00356510">
        <w:t xml:space="preserve">Chemical exposure controls provided in the workplace by worker demographic and workplace </w:t>
      </w:r>
      <w:r w:rsidR="00A80BFA">
        <w:t>characteristics</w:t>
      </w:r>
      <w:r w:rsidR="004E1F3C" w:rsidRPr="00356510">
        <w:t>*</w:t>
      </w:r>
      <w:bookmarkEnd w:id="183"/>
    </w:p>
    <w:tbl>
      <w:tblPr>
        <w:tblStyle w:val="TableGrid"/>
        <w:tblW w:w="5000" w:type="pct"/>
        <w:tblLook w:val="04A0"/>
      </w:tblPr>
      <w:tblGrid>
        <w:gridCol w:w="2363"/>
        <w:gridCol w:w="1138"/>
        <w:gridCol w:w="1184"/>
        <w:gridCol w:w="1140"/>
        <w:gridCol w:w="1138"/>
        <w:gridCol w:w="1140"/>
        <w:gridCol w:w="1140"/>
      </w:tblGrid>
      <w:tr w:rsidR="00574C95" w:rsidTr="004B4198">
        <w:tc>
          <w:tcPr>
            <w:tcW w:w="1282" w:type="pct"/>
            <w:vMerge w:val="restart"/>
            <w:tcBorders>
              <w:top w:val="single" w:sz="12" w:space="0" w:color="auto"/>
            </w:tcBorders>
            <w:vAlign w:val="bottom"/>
          </w:tcPr>
          <w:p w:rsidR="00574C95" w:rsidRDefault="00574C95" w:rsidP="00574C95">
            <w:pPr>
              <w:spacing w:before="40" w:after="40"/>
            </w:pPr>
            <w:r>
              <w:rPr>
                <w:rFonts w:cs="Arial"/>
                <w:b/>
                <w:bCs/>
                <w:sz w:val="20"/>
                <w:szCs w:val="20"/>
              </w:rPr>
              <w:t>Employment and demographic characteristics</w:t>
            </w:r>
          </w:p>
        </w:tc>
        <w:tc>
          <w:tcPr>
            <w:tcW w:w="3718" w:type="pct"/>
            <w:gridSpan w:val="6"/>
            <w:tcBorders>
              <w:top w:val="single" w:sz="12" w:space="0" w:color="auto"/>
            </w:tcBorders>
            <w:shd w:val="clear" w:color="auto" w:fill="808080" w:themeFill="background1" w:themeFillShade="80"/>
          </w:tcPr>
          <w:p w:rsidR="00574C95" w:rsidRDefault="00574C95" w:rsidP="00574C95">
            <w:pPr>
              <w:pStyle w:val="FootnoteText"/>
              <w:spacing w:before="40" w:after="40"/>
            </w:pPr>
            <w:r w:rsidRPr="00A05C38">
              <w:rPr>
                <w:b/>
                <w:color w:val="FFFFFF" w:themeColor="background1"/>
              </w:rPr>
              <w:t>The percentage of workers who reported each of the chemical exposure</w:t>
            </w:r>
            <w:r>
              <w:rPr>
                <w:b/>
                <w:color w:val="FFFFFF" w:themeColor="background1"/>
              </w:rPr>
              <w:t xml:space="preserve"> controls was provided or that said none of the controls were provided</w:t>
            </w:r>
          </w:p>
        </w:tc>
      </w:tr>
      <w:tr w:rsidR="00574C95" w:rsidTr="004B4198">
        <w:tc>
          <w:tcPr>
            <w:tcW w:w="1282" w:type="pct"/>
            <w:vMerge/>
            <w:tcBorders>
              <w:bottom w:val="single" w:sz="12" w:space="0" w:color="auto"/>
            </w:tcBorders>
            <w:vAlign w:val="bottom"/>
          </w:tcPr>
          <w:p w:rsidR="00574C95" w:rsidRDefault="00574C95" w:rsidP="00574C95">
            <w:pPr>
              <w:spacing w:before="40" w:after="40"/>
              <w:rPr>
                <w:rFonts w:cs="Arial"/>
                <w:b/>
                <w:bCs/>
                <w:sz w:val="20"/>
                <w:szCs w:val="20"/>
              </w:rPr>
            </w:pPr>
          </w:p>
        </w:tc>
        <w:tc>
          <w:tcPr>
            <w:tcW w:w="619"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Gloves</w:t>
            </w:r>
          </w:p>
        </w:tc>
        <w:tc>
          <w:tcPr>
            <w:tcW w:w="620"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Protective clothing</w:t>
            </w:r>
          </w:p>
        </w:tc>
        <w:tc>
          <w:tcPr>
            <w:tcW w:w="620"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Labelling &amp; warning signs</w:t>
            </w:r>
          </w:p>
        </w:tc>
        <w:tc>
          <w:tcPr>
            <w:tcW w:w="619"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Washing facilities</w:t>
            </w:r>
          </w:p>
        </w:tc>
        <w:tc>
          <w:tcPr>
            <w:tcW w:w="620"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Chemical safety training</w:t>
            </w:r>
          </w:p>
        </w:tc>
        <w:tc>
          <w:tcPr>
            <w:tcW w:w="620" w:type="pct"/>
            <w:tcBorders>
              <w:bottom w:val="single" w:sz="12" w:space="0" w:color="auto"/>
            </w:tcBorders>
            <w:vAlign w:val="bottom"/>
          </w:tcPr>
          <w:p w:rsidR="00574C95" w:rsidRDefault="00574C95" w:rsidP="00A80BFA">
            <w:pPr>
              <w:spacing w:before="40" w:after="40"/>
              <w:jc w:val="center"/>
              <w:rPr>
                <w:rFonts w:cs="Arial"/>
                <w:b/>
                <w:bCs/>
                <w:sz w:val="20"/>
                <w:szCs w:val="20"/>
              </w:rPr>
            </w:pPr>
            <w:r>
              <w:rPr>
                <w:rFonts w:cs="Arial"/>
                <w:b/>
                <w:bCs/>
                <w:sz w:val="20"/>
                <w:szCs w:val="20"/>
              </w:rPr>
              <w:t>Nothing provided</w:t>
            </w:r>
          </w:p>
        </w:tc>
      </w:tr>
      <w:tr w:rsidR="00574C95" w:rsidRPr="00574C95" w:rsidTr="004B4198">
        <w:tc>
          <w:tcPr>
            <w:tcW w:w="5000" w:type="pct"/>
            <w:gridSpan w:val="7"/>
            <w:tcBorders>
              <w:top w:val="single" w:sz="12" w:space="0" w:color="auto"/>
            </w:tcBorders>
            <w:shd w:val="clear" w:color="auto" w:fill="808080" w:themeFill="background1" w:themeFillShade="80"/>
            <w:vAlign w:val="bottom"/>
          </w:tcPr>
          <w:p w:rsidR="00574C95" w:rsidRPr="00574C95" w:rsidRDefault="00574C95" w:rsidP="00574C95">
            <w:pPr>
              <w:pStyle w:val="FootnoteText"/>
              <w:spacing w:before="40" w:after="40"/>
              <w:rPr>
                <w:color w:val="FFFFFF" w:themeColor="background1"/>
              </w:rPr>
            </w:pPr>
            <w:r w:rsidRPr="00574C95">
              <w:rPr>
                <w:rFonts w:cs="Calibri"/>
                <w:b/>
                <w:bCs/>
                <w:color w:val="FFFFFF" w:themeColor="background1"/>
              </w:rPr>
              <w:t>Sex n=1676</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Male</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80.25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61.92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67.14</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81.06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57.93</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6.86</w:t>
            </w:r>
          </w:p>
        </w:tc>
      </w:tr>
      <w:tr w:rsidR="00574C95" w:rsidTr="00574C95">
        <w:tc>
          <w:tcPr>
            <w:tcW w:w="1282" w:type="pct"/>
            <w:tcBorders>
              <w:bottom w:val="single" w:sz="4" w:space="0" w:color="auto"/>
            </w:tcBorders>
            <w:vAlign w:val="bottom"/>
          </w:tcPr>
          <w:p w:rsidR="00574C95" w:rsidRDefault="00574C95" w:rsidP="00574C95">
            <w:pPr>
              <w:spacing w:before="40" w:after="40"/>
              <w:rPr>
                <w:rFonts w:cs="Arial"/>
                <w:sz w:val="20"/>
                <w:szCs w:val="20"/>
              </w:rPr>
            </w:pPr>
            <w:r>
              <w:rPr>
                <w:rFonts w:cs="Calibri"/>
                <w:sz w:val="20"/>
                <w:szCs w:val="20"/>
              </w:rPr>
              <w:t>Female</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85.41</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56.22</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71.96</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88.7</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64.95</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4.43</w:t>
            </w:r>
          </w:p>
        </w:tc>
      </w:tr>
      <w:tr w:rsidR="00574C95" w:rsidRPr="00574C95" w:rsidTr="00574C95">
        <w:tc>
          <w:tcPr>
            <w:tcW w:w="1282" w:type="pct"/>
            <w:tcBorders>
              <w:right w:val="nil"/>
            </w:tcBorders>
            <w:shd w:val="clear" w:color="auto" w:fill="808080" w:themeFill="background1" w:themeFillShade="80"/>
            <w:vAlign w:val="bottom"/>
          </w:tcPr>
          <w:p w:rsidR="00574C95" w:rsidRPr="00574C95" w:rsidRDefault="00574C95" w:rsidP="00574C95">
            <w:pPr>
              <w:spacing w:before="40" w:after="40"/>
              <w:rPr>
                <w:rFonts w:cs="Arial"/>
                <w:b/>
                <w:bCs/>
                <w:color w:val="FFFFFF" w:themeColor="background1"/>
                <w:sz w:val="20"/>
                <w:szCs w:val="20"/>
              </w:rPr>
            </w:pPr>
            <w:r w:rsidRPr="00574C95">
              <w:rPr>
                <w:rFonts w:cs="Calibri"/>
                <w:b/>
                <w:bCs/>
                <w:color w:val="FFFFFF" w:themeColor="background1"/>
                <w:sz w:val="20"/>
                <w:szCs w:val="20"/>
              </w:rPr>
              <w:t>Age group n=1661</w:t>
            </w:r>
          </w:p>
        </w:tc>
        <w:tc>
          <w:tcPr>
            <w:tcW w:w="619" w:type="pct"/>
            <w:tcBorders>
              <w:left w:val="nil"/>
              <w:righ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c>
          <w:tcPr>
            <w:tcW w:w="620" w:type="pct"/>
            <w:tcBorders>
              <w:left w:val="nil"/>
              <w:righ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c>
          <w:tcPr>
            <w:tcW w:w="620" w:type="pct"/>
            <w:tcBorders>
              <w:left w:val="nil"/>
              <w:righ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c>
          <w:tcPr>
            <w:tcW w:w="619" w:type="pct"/>
            <w:tcBorders>
              <w:left w:val="nil"/>
              <w:righ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c>
          <w:tcPr>
            <w:tcW w:w="620" w:type="pct"/>
            <w:tcBorders>
              <w:left w:val="nil"/>
              <w:righ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c>
          <w:tcPr>
            <w:tcW w:w="620" w:type="pct"/>
            <w:tcBorders>
              <w:left w:val="nil"/>
            </w:tcBorders>
            <w:shd w:val="clear" w:color="auto" w:fill="808080" w:themeFill="background1" w:themeFillShade="80"/>
            <w:vAlign w:val="center"/>
          </w:tcPr>
          <w:p w:rsidR="00574C95" w:rsidRPr="00574C95" w:rsidRDefault="00574C95" w:rsidP="00574C95">
            <w:pPr>
              <w:spacing w:before="40" w:after="40"/>
              <w:jc w:val="center"/>
              <w:rPr>
                <w:rFonts w:cs="Arial"/>
                <w:color w:val="FFFFFF" w:themeColor="background1"/>
                <w:sz w:val="20"/>
                <w:szCs w:val="20"/>
              </w:rPr>
            </w:pP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15-24 years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74.62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47.69</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71.54</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84.62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60</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6.15</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25-34 years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85.45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58.21</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71.64</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85.07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58.58</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4.85</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35-44 years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83.25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60.14</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68.63</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83.02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60.14</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5.66</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45-54 years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83.27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62.7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68.95</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83.47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62.5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6.45</w:t>
            </w:r>
          </w:p>
        </w:tc>
      </w:tr>
      <w:tr w:rsidR="00574C95" w:rsidTr="00574C95">
        <w:tc>
          <w:tcPr>
            <w:tcW w:w="1282" w:type="pct"/>
            <w:tcBorders>
              <w:bottom w:val="single" w:sz="4" w:space="0" w:color="auto"/>
            </w:tcBorders>
            <w:vAlign w:val="bottom"/>
          </w:tcPr>
          <w:p w:rsidR="00574C95" w:rsidRDefault="00574C95" w:rsidP="00574C95">
            <w:pPr>
              <w:spacing w:before="40" w:after="40"/>
              <w:rPr>
                <w:rFonts w:cs="Arial"/>
                <w:sz w:val="20"/>
                <w:szCs w:val="20"/>
              </w:rPr>
            </w:pPr>
            <w:r>
              <w:rPr>
                <w:rFonts w:cs="Calibri"/>
                <w:sz w:val="20"/>
                <w:szCs w:val="20"/>
              </w:rPr>
              <w:t>55+ years</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81.05</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60.06</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67.35</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86.01</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62.1</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5.83</w:t>
            </w:r>
          </w:p>
        </w:tc>
      </w:tr>
      <w:tr w:rsidR="00574C95" w:rsidRPr="00574C95" w:rsidTr="00574C95">
        <w:tc>
          <w:tcPr>
            <w:tcW w:w="5000" w:type="pct"/>
            <w:gridSpan w:val="7"/>
            <w:shd w:val="clear" w:color="auto" w:fill="808080" w:themeFill="background1" w:themeFillShade="80"/>
            <w:vAlign w:val="bottom"/>
          </w:tcPr>
          <w:p w:rsidR="00574C95" w:rsidRPr="00574C95" w:rsidRDefault="00574C95" w:rsidP="00574C95">
            <w:pPr>
              <w:spacing w:before="40" w:after="40"/>
              <w:rPr>
                <w:rFonts w:cs="Arial"/>
                <w:color w:val="FFFFFF" w:themeColor="background1"/>
                <w:sz w:val="20"/>
                <w:szCs w:val="20"/>
              </w:rPr>
            </w:pPr>
            <w:r w:rsidRPr="00574C95">
              <w:rPr>
                <w:rFonts w:cs="Calibri"/>
                <w:b/>
                <w:bCs/>
                <w:color w:val="FFFFFF" w:themeColor="background1"/>
                <w:sz w:val="20"/>
                <w:szCs w:val="20"/>
              </w:rPr>
              <w:t>Occupational skill level n=1650</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 xml:space="preserve">Level one (highest) </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85.27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66.27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72.68</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90.26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65.32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4.28</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Level two</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84.73</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62.6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74.81</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89.31</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69.47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5.34</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 xml:space="preserve">Level three </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78.7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62.27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65.51</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78.47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54.86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6.71</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 xml:space="preserve">Level four </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83.65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52.55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69.71</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84.45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60.32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5.9</w:t>
            </w:r>
          </w:p>
        </w:tc>
      </w:tr>
      <w:tr w:rsidR="00574C95" w:rsidTr="00574C95">
        <w:tc>
          <w:tcPr>
            <w:tcW w:w="1282" w:type="pct"/>
            <w:tcBorders>
              <w:bottom w:val="single" w:sz="4" w:space="0" w:color="auto"/>
            </w:tcBorders>
            <w:vAlign w:val="bottom"/>
          </w:tcPr>
          <w:p w:rsidR="00574C95" w:rsidRDefault="00574C95" w:rsidP="00574C95">
            <w:pPr>
              <w:spacing w:before="40" w:after="40"/>
              <w:rPr>
                <w:rFonts w:cs="Arial"/>
                <w:sz w:val="20"/>
                <w:szCs w:val="20"/>
              </w:rPr>
            </w:pPr>
            <w:r>
              <w:rPr>
                <w:rFonts w:cs="Calibri"/>
                <w:sz w:val="20"/>
                <w:szCs w:val="20"/>
              </w:rPr>
              <w:t>Level five (lowest)</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80.89</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52.56</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64.85</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80.55</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59.39</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7.17</w:t>
            </w:r>
          </w:p>
        </w:tc>
      </w:tr>
      <w:tr w:rsidR="00574C95" w:rsidRPr="00574C95" w:rsidTr="00574C95">
        <w:tc>
          <w:tcPr>
            <w:tcW w:w="5000" w:type="pct"/>
            <w:gridSpan w:val="7"/>
            <w:shd w:val="clear" w:color="auto" w:fill="808080" w:themeFill="background1" w:themeFillShade="80"/>
            <w:vAlign w:val="bottom"/>
          </w:tcPr>
          <w:p w:rsidR="00574C95" w:rsidRPr="00574C95" w:rsidRDefault="00574C95" w:rsidP="00574C95">
            <w:pPr>
              <w:spacing w:before="40" w:after="40"/>
              <w:rPr>
                <w:rFonts w:cs="Arial"/>
                <w:color w:val="FFFFFF" w:themeColor="background1"/>
                <w:sz w:val="20"/>
                <w:szCs w:val="20"/>
              </w:rPr>
            </w:pPr>
            <w:r w:rsidRPr="00574C95">
              <w:rPr>
                <w:rFonts w:cs="Calibri"/>
                <w:b/>
                <w:bCs/>
                <w:color w:val="FFFFFF" w:themeColor="background1"/>
                <w:sz w:val="20"/>
                <w:szCs w:val="20"/>
              </w:rPr>
              <w:t>Employment Arrangement n=1297</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Permanent / fixed term</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85.65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64.63</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76.57</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87.96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67.78</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4.35</w:t>
            </w:r>
          </w:p>
        </w:tc>
      </w:tr>
      <w:tr w:rsidR="00574C95" w:rsidTr="00574C95">
        <w:tc>
          <w:tcPr>
            <w:tcW w:w="1282" w:type="pct"/>
            <w:tcBorders>
              <w:bottom w:val="single" w:sz="4" w:space="0" w:color="auto"/>
            </w:tcBorders>
            <w:vAlign w:val="bottom"/>
          </w:tcPr>
          <w:p w:rsidR="00574C95" w:rsidRDefault="00574C95" w:rsidP="00574C95">
            <w:pPr>
              <w:spacing w:before="40" w:after="40"/>
              <w:rPr>
                <w:rFonts w:cs="Arial"/>
                <w:sz w:val="20"/>
                <w:szCs w:val="20"/>
              </w:rPr>
            </w:pPr>
            <w:r>
              <w:rPr>
                <w:rFonts w:cs="Calibri"/>
                <w:sz w:val="20"/>
                <w:szCs w:val="20"/>
              </w:rPr>
              <w:t xml:space="preserve">Temporary / casual </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81.11</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46.08</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64.06</w:t>
            </w:r>
          </w:p>
        </w:tc>
        <w:tc>
          <w:tcPr>
            <w:tcW w:w="619"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81.57</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48.85</w:t>
            </w:r>
          </w:p>
        </w:tc>
        <w:tc>
          <w:tcPr>
            <w:tcW w:w="620" w:type="pct"/>
            <w:tcBorders>
              <w:bottom w:val="single" w:sz="4" w:space="0" w:color="auto"/>
            </w:tcBorders>
            <w:vAlign w:val="center"/>
          </w:tcPr>
          <w:p w:rsidR="00574C95" w:rsidRDefault="00574C95" w:rsidP="00574C95">
            <w:pPr>
              <w:spacing w:before="40" w:after="40"/>
              <w:jc w:val="center"/>
              <w:rPr>
                <w:rFonts w:cs="Arial"/>
                <w:sz w:val="20"/>
                <w:szCs w:val="20"/>
              </w:rPr>
            </w:pPr>
            <w:r>
              <w:rPr>
                <w:rFonts w:cs="Arial"/>
                <w:sz w:val="20"/>
                <w:szCs w:val="20"/>
              </w:rPr>
              <w:t>5.53</w:t>
            </w:r>
          </w:p>
        </w:tc>
      </w:tr>
      <w:tr w:rsidR="00574C95" w:rsidRPr="00574C95" w:rsidTr="00574C95">
        <w:tc>
          <w:tcPr>
            <w:tcW w:w="5000" w:type="pct"/>
            <w:gridSpan w:val="7"/>
            <w:shd w:val="clear" w:color="auto" w:fill="808080" w:themeFill="background1" w:themeFillShade="80"/>
            <w:vAlign w:val="bottom"/>
          </w:tcPr>
          <w:p w:rsidR="00574C95" w:rsidRPr="00574C95" w:rsidRDefault="00574C95" w:rsidP="00574C95">
            <w:pPr>
              <w:spacing w:before="40" w:after="40"/>
              <w:rPr>
                <w:rFonts w:cs="Arial"/>
                <w:color w:val="FFFFFF" w:themeColor="background1"/>
                <w:sz w:val="20"/>
                <w:szCs w:val="20"/>
              </w:rPr>
            </w:pPr>
            <w:r w:rsidRPr="00574C95">
              <w:rPr>
                <w:rFonts w:cs="Calibri"/>
                <w:b/>
                <w:bCs/>
                <w:color w:val="FFFFFF" w:themeColor="background1"/>
                <w:sz w:val="20"/>
                <w:szCs w:val="20"/>
              </w:rPr>
              <w:t>Workplace size n=1663</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&lt; 5 employees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91.11</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79.68</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85.4</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94.6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79.05</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1.9</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5 to 19 employees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85.54</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65.58</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78</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88.59</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67.62</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4.07</w:t>
            </w:r>
          </w:p>
        </w:tc>
      </w:tr>
      <w:tr w:rsidR="00574C95" w:rsidTr="00574C95">
        <w:tc>
          <w:tcPr>
            <w:tcW w:w="1282" w:type="pct"/>
            <w:vAlign w:val="bottom"/>
          </w:tcPr>
          <w:p w:rsidR="00574C95" w:rsidRDefault="00574C95" w:rsidP="00574C95">
            <w:pPr>
              <w:spacing w:before="40" w:after="40"/>
              <w:rPr>
                <w:rFonts w:cs="Arial"/>
                <w:sz w:val="20"/>
                <w:szCs w:val="20"/>
              </w:rPr>
            </w:pPr>
            <w:r>
              <w:rPr>
                <w:rFonts w:cs="Calibri"/>
                <w:sz w:val="20"/>
                <w:szCs w:val="20"/>
              </w:rPr>
              <w:t>20 to 199 employees</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80.34</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45.7</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64.62</w:t>
            </w:r>
          </w:p>
        </w:tc>
        <w:tc>
          <w:tcPr>
            <w:tcW w:w="619" w:type="pct"/>
            <w:vAlign w:val="center"/>
          </w:tcPr>
          <w:p w:rsidR="00574C95" w:rsidRDefault="00574C95" w:rsidP="00574C95">
            <w:pPr>
              <w:spacing w:before="40" w:after="40"/>
              <w:jc w:val="center"/>
              <w:rPr>
                <w:rFonts w:cs="Arial"/>
                <w:sz w:val="20"/>
                <w:szCs w:val="20"/>
              </w:rPr>
            </w:pPr>
            <w:r>
              <w:rPr>
                <w:rFonts w:cs="Arial"/>
                <w:sz w:val="20"/>
                <w:szCs w:val="20"/>
              </w:rPr>
              <w:t>81.33</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53.56</w:t>
            </w:r>
          </w:p>
        </w:tc>
        <w:tc>
          <w:tcPr>
            <w:tcW w:w="620" w:type="pct"/>
            <w:vAlign w:val="center"/>
          </w:tcPr>
          <w:p w:rsidR="00574C95" w:rsidRDefault="00574C95" w:rsidP="00574C95">
            <w:pPr>
              <w:spacing w:before="40" w:after="40"/>
              <w:jc w:val="center"/>
              <w:rPr>
                <w:rFonts w:cs="Arial"/>
                <w:sz w:val="20"/>
                <w:szCs w:val="20"/>
              </w:rPr>
            </w:pPr>
            <w:r>
              <w:rPr>
                <w:rFonts w:cs="Arial"/>
                <w:sz w:val="20"/>
                <w:szCs w:val="20"/>
              </w:rPr>
              <w:t>7.13</w:t>
            </w:r>
          </w:p>
        </w:tc>
      </w:tr>
      <w:tr w:rsidR="00574C95" w:rsidTr="004B4198">
        <w:tc>
          <w:tcPr>
            <w:tcW w:w="1282" w:type="pct"/>
            <w:tcBorders>
              <w:bottom w:val="double" w:sz="12" w:space="0" w:color="auto"/>
            </w:tcBorders>
            <w:vAlign w:val="bottom"/>
          </w:tcPr>
          <w:p w:rsidR="00574C95" w:rsidRDefault="00574C95" w:rsidP="00574C95">
            <w:pPr>
              <w:spacing w:before="40" w:after="40"/>
              <w:rPr>
                <w:rFonts w:cs="Arial"/>
                <w:sz w:val="20"/>
                <w:szCs w:val="20"/>
              </w:rPr>
            </w:pPr>
            <w:r>
              <w:rPr>
                <w:rFonts w:cs="Calibri"/>
                <w:sz w:val="20"/>
                <w:szCs w:val="20"/>
              </w:rPr>
              <w:t>200+ employees</w:t>
            </w:r>
          </w:p>
        </w:tc>
        <w:tc>
          <w:tcPr>
            <w:tcW w:w="619"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74.44</w:t>
            </w:r>
          </w:p>
        </w:tc>
        <w:tc>
          <w:tcPr>
            <w:tcW w:w="620"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51.78</w:t>
            </w:r>
          </w:p>
        </w:tc>
        <w:tc>
          <w:tcPr>
            <w:tcW w:w="620"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52.22</w:t>
            </w:r>
          </w:p>
        </w:tc>
        <w:tc>
          <w:tcPr>
            <w:tcW w:w="619"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74.44</w:t>
            </w:r>
          </w:p>
        </w:tc>
        <w:tc>
          <w:tcPr>
            <w:tcW w:w="620"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47.33</w:t>
            </w:r>
          </w:p>
        </w:tc>
        <w:tc>
          <w:tcPr>
            <w:tcW w:w="620" w:type="pct"/>
            <w:tcBorders>
              <w:bottom w:val="double" w:sz="12" w:space="0" w:color="auto"/>
            </w:tcBorders>
            <w:vAlign w:val="center"/>
          </w:tcPr>
          <w:p w:rsidR="00574C95" w:rsidRDefault="00574C95" w:rsidP="00574C95">
            <w:pPr>
              <w:spacing w:before="40" w:after="40"/>
              <w:jc w:val="center"/>
              <w:rPr>
                <w:rFonts w:cs="Arial"/>
                <w:sz w:val="20"/>
                <w:szCs w:val="20"/>
              </w:rPr>
            </w:pPr>
            <w:r>
              <w:rPr>
                <w:rFonts w:cs="Arial"/>
                <w:sz w:val="20"/>
                <w:szCs w:val="20"/>
              </w:rPr>
              <w:t>9.56</w:t>
            </w:r>
          </w:p>
        </w:tc>
      </w:tr>
      <w:tr w:rsidR="00574C95" w:rsidTr="004B4198">
        <w:tc>
          <w:tcPr>
            <w:tcW w:w="5000" w:type="pct"/>
            <w:gridSpan w:val="7"/>
            <w:tcBorders>
              <w:top w:val="double" w:sz="12" w:space="0" w:color="auto"/>
              <w:bottom w:val="single" w:sz="12" w:space="0" w:color="auto"/>
            </w:tcBorders>
          </w:tcPr>
          <w:p w:rsidR="00574C95" w:rsidRDefault="00574C95" w:rsidP="00574C95">
            <w:pPr>
              <w:pStyle w:val="FootnoteText"/>
              <w:spacing w:before="40" w:after="40"/>
            </w:pPr>
            <w:r w:rsidRPr="00356510">
              <w:t>* The total sam</w:t>
            </w:r>
            <w:r>
              <w:t>ple size for this analysis (N=1</w:t>
            </w:r>
            <w:r w:rsidRPr="00356510">
              <w:t>676) is the number</w:t>
            </w:r>
            <w:r w:rsidR="00A80BFA">
              <w:t xml:space="preserve"> of workers</w:t>
            </w:r>
            <w:r w:rsidRPr="00356510">
              <w:t xml:space="preserve"> who reported any </w:t>
            </w:r>
            <w:r w:rsidR="00A80BFA">
              <w:t xml:space="preserve">type of </w:t>
            </w:r>
            <w:r w:rsidRPr="00356510">
              <w:t>chemical exposure. Due to incomplete responses, not all survey respondents could be included in all sub-analyses; hence some sub-analyses ha</w:t>
            </w:r>
            <w:r>
              <w:t>ve denominators (n) less than 1</w:t>
            </w:r>
            <w:r w:rsidRPr="00356510">
              <w:t>676.</w:t>
            </w:r>
          </w:p>
        </w:tc>
      </w:tr>
    </w:tbl>
    <w:p w:rsidR="00574C95" w:rsidRDefault="00574C95" w:rsidP="004E1F3C">
      <w:pPr>
        <w:pStyle w:val="FootnoteText"/>
      </w:pPr>
    </w:p>
    <w:p w:rsidR="004E1F3C" w:rsidRPr="00356510" w:rsidRDefault="004E1F3C" w:rsidP="004E1F3C">
      <w:pPr>
        <w:pStyle w:val="FootnoteText"/>
      </w:pPr>
    </w:p>
    <w:p w:rsidR="00D459B5" w:rsidRPr="00356510" w:rsidRDefault="00D459B5" w:rsidP="00A80BFA">
      <w:pPr>
        <w:pStyle w:val="Caption"/>
        <w:keepNext/>
      </w:pPr>
    </w:p>
    <w:sectPr w:rsidR="00D459B5" w:rsidRPr="00356510" w:rsidSect="00531547">
      <w:footerReference w:type="default" r:id="rId27"/>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2D" w:rsidRDefault="00FE5F2D" w:rsidP="00C94DB1">
      <w:r>
        <w:separator/>
      </w:r>
    </w:p>
  </w:endnote>
  <w:endnote w:type="continuationSeparator" w:id="0">
    <w:p w:rsidR="00FE5F2D" w:rsidRDefault="00FE5F2D" w:rsidP="00C94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22501F">
    <w:pPr>
      <w:pStyle w:val="Footer"/>
      <w:rPr>
        <w:szCs w:val="20"/>
      </w:rPr>
    </w:pPr>
    <w:r w:rsidRPr="0022501F">
      <w:rPr>
        <w:rFonts w:ascii="Arial" w:hAnsi="Arial" w:cs="Arial"/>
        <w:sz w:val="20"/>
        <w:szCs w:val="20"/>
      </w:rPr>
      <w:t>Chemical exposure and the provision of exposure control measures in Australian workplaces</w:t>
    </w:r>
    <w:r>
      <w:rPr>
        <w:rFonts w:ascii="Arial" w:hAnsi="Arial" w:cs="Arial"/>
        <w:sz w:val="20"/>
        <w:szCs w:val="20"/>
      </w:rPr>
      <w:tab/>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iv</w:t>
    </w:r>
    <w:r w:rsidR="00AB2546" w:rsidRPr="0022501F">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22501F">
    <w:pPr>
      <w:pStyle w:val="Footer"/>
      <w:rPr>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21</w:t>
    </w:r>
    <w:r w:rsidR="00AB2546" w:rsidRPr="0022501F">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22501F">
    <w:pPr>
      <w:pStyle w:val="Footer"/>
      <w:rPr>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22</w:t>
    </w:r>
    <w:r w:rsidR="00AB2546" w:rsidRPr="0022501F">
      <w:rP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22501F">
    <w:pPr>
      <w:pStyle w:val="Footer"/>
      <w:rPr>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23</w:t>
    </w:r>
    <w:r w:rsidR="00AB2546" w:rsidRPr="0022501F">
      <w:rPr>
        <w:rFonts w:ascii="Arial" w:hAnsi="Arial" w:cs="Arial"/>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22501F">
    <w:pPr>
      <w:pStyle w:val="Footer"/>
      <w:rPr>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25</w:t>
    </w:r>
    <w:r w:rsidR="00AB2546" w:rsidRPr="0022501F">
      <w:rPr>
        <w:rFonts w:ascii="Arial" w:hAnsi="Arial" w:cs="Arial"/>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075B0A">
    <w:pPr>
      <w:pStyle w:val="Footer"/>
      <w:tabs>
        <w:tab w:val="clear" w:pos="9360"/>
        <w:tab w:val="right" w:pos="9072"/>
      </w:tabs>
      <w:rPr>
        <w:rFonts w:ascii="Arial" w:hAnsi="Arial" w:cs="Arial"/>
        <w:sz w:val="20"/>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29</w:t>
    </w:r>
    <w:r w:rsidR="00AB2546" w:rsidRPr="0022501F">
      <w:rPr>
        <w:rFonts w:ascii="Arial" w:hAnsi="Arial" w:cs="Arial"/>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075B0A">
    <w:pPr>
      <w:pStyle w:val="Footer"/>
      <w:tabs>
        <w:tab w:val="clear" w:pos="9360"/>
        <w:tab w:val="right" w:pos="9072"/>
      </w:tabs>
      <w:rPr>
        <w:rFonts w:ascii="Arial" w:hAnsi="Arial" w:cs="Arial"/>
        <w:sz w:val="20"/>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31</w:t>
    </w:r>
    <w:r w:rsidR="00AB2546" w:rsidRPr="0022501F">
      <w:rPr>
        <w:rFonts w:ascii="Arial" w:hAnsi="Arial" w:cs="Arial"/>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2D" w:rsidRPr="0022501F" w:rsidRDefault="00FE5F2D" w:rsidP="00075B0A">
    <w:pPr>
      <w:pStyle w:val="Footer"/>
      <w:tabs>
        <w:tab w:val="clear" w:pos="9360"/>
        <w:tab w:val="right" w:pos="9356"/>
      </w:tabs>
      <w:rPr>
        <w:rFonts w:ascii="Arial" w:hAnsi="Arial" w:cs="Arial"/>
        <w:sz w:val="20"/>
        <w:szCs w:val="20"/>
      </w:rPr>
    </w:pPr>
    <w:r w:rsidRPr="00075B0A">
      <w:rPr>
        <w:rFonts w:ascii="Arial" w:hAnsi="Arial" w:cs="Arial"/>
        <w:i/>
        <w:sz w:val="20"/>
        <w:szCs w:val="20"/>
      </w:rPr>
      <w:t>Chemical exposure and the provision of exposure control measures in Australian workplaces</w:t>
    </w:r>
    <w:r>
      <w:rPr>
        <w:rFonts w:ascii="Arial" w:hAnsi="Arial" w:cs="Arial"/>
        <w:sz w:val="20"/>
        <w:szCs w:val="20"/>
      </w:rPr>
      <w:tab/>
    </w:r>
    <w:r w:rsidR="00AB2546" w:rsidRPr="0022501F">
      <w:rPr>
        <w:rFonts w:ascii="Arial" w:hAnsi="Arial" w:cs="Arial"/>
        <w:sz w:val="20"/>
        <w:szCs w:val="20"/>
      </w:rPr>
      <w:fldChar w:fldCharType="begin"/>
    </w:r>
    <w:r w:rsidRPr="0022501F">
      <w:rPr>
        <w:rFonts w:ascii="Arial" w:hAnsi="Arial" w:cs="Arial"/>
        <w:sz w:val="20"/>
        <w:szCs w:val="20"/>
      </w:rPr>
      <w:instrText xml:space="preserve"> PAGE   \* MERGEFORMAT </w:instrText>
    </w:r>
    <w:r w:rsidR="00AB2546" w:rsidRPr="0022501F">
      <w:rPr>
        <w:rFonts w:ascii="Arial" w:hAnsi="Arial" w:cs="Arial"/>
        <w:sz w:val="20"/>
        <w:szCs w:val="20"/>
      </w:rPr>
      <w:fldChar w:fldCharType="separate"/>
    </w:r>
    <w:r w:rsidR="00B66B5A">
      <w:rPr>
        <w:rFonts w:ascii="Arial" w:hAnsi="Arial" w:cs="Arial"/>
        <w:noProof/>
        <w:sz w:val="20"/>
        <w:szCs w:val="20"/>
      </w:rPr>
      <w:t>50</w:t>
    </w:r>
    <w:r w:rsidR="00AB2546" w:rsidRPr="0022501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2D" w:rsidRDefault="00FE5F2D" w:rsidP="00C94DB1">
      <w:r>
        <w:separator/>
      </w:r>
    </w:p>
  </w:footnote>
  <w:footnote w:type="continuationSeparator" w:id="0">
    <w:p w:rsidR="00FE5F2D" w:rsidRDefault="00FE5F2D" w:rsidP="00C94DB1">
      <w:r>
        <w:continuationSeparator/>
      </w:r>
    </w:p>
  </w:footnote>
  <w:footnote w:id="1">
    <w:p w:rsidR="00FE5F2D" w:rsidRDefault="00FE5F2D">
      <w:pPr>
        <w:pStyle w:val="FootnoteText"/>
      </w:pPr>
      <w:r>
        <w:rPr>
          <w:rStyle w:val="FootnoteReference"/>
        </w:rPr>
        <w:footnoteRef/>
      </w:r>
      <w:r>
        <w:t xml:space="preserve"> </w:t>
      </w:r>
      <w:r w:rsidRPr="00AB05B9">
        <w:t>http://www.legislation.vic.gov.au/</w:t>
      </w:r>
    </w:p>
  </w:footnote>
  <w:footnote w:id="2">
    <w:p w:rsidR="00FE5F2D" w:rsidRDefault="00FE5F2D">
      <w:pPr>
        <w:pStyle w:val="FootnoteText"/>
      </w:pPr>
      <w:r>
        <w:rPr>
          <w:rStyle w:val="FootnoteReference"/>
        </w:rPr>
        <w:footnoteRef/>
      </w:r>
      <w:r w:rsidRPr="0071389F">
        <w:rPr>
          <w:sz w:val="18"/>
          <w:szCs w:val="18"/>
        </w:rPr>
        <w:t>http://www.safeworkaustralia.gov.au/AboutSafeWorkAustralia/WhatWeDo/Publications/Documents/598/Model_Work_Health_and_Safety_Bill_23_June_2011.pdf</w:t>
      </w:r>
    </w:p>
  </w:footnote>
  <w:footnote w:id="3">
    <w:p w:rsidR="00FE5F2D" w:rsidRPr="007768CB" w:rsidRDefault="00FE5F2D" w:rsidP="00D27F6A">
      <w:pPr>
        <w:pStyle w:val="FootnoteText"/>
      </w:pPr>
      <w:r>
        <w:rPr>
          <w:rStyle w:val="FootnoteReference"/>
        </w:rPr>
        <w:footnoteRef/>
      </w:r>
      <w:r>
        <w:t xml:space="preserve"> For a full explanation of occupational skill level categories see page 23 of this report.</w:t>
      </w:r>
    </w:p>
  </w:footnote>
  <w:footnote w:id="4">
    <w:p w:rsidR="00FE5F2D" w:rsidRPr="00253DB3" w:rsidRDefault="00FE5F2D" w:rsidP="003945E5">
      <w:pPr>
        <w:pStyle w:val="FootnoteText"/>
      </w:pPr>
      <w:r>
        <w:rPr>
          <w:rStyle w:val="FootnoteReference"/>
        </w:rPr>
        <w:footnoteRef/>
      </w:r>
      <w:r>
        <w:t>h</w:t>
      </w:r>
      <w:r w:rsidRPr="00253DB3">
        <w:t>ttp://www.abs.gov.au/Ausstats/ABS@.nsf/0/64AECDFA29CFFD6CCA2571E2008355FE?opendocument</w:t>
      </w:r>
    </w:p>
  </w:footnote>
  <w:footnote w:id="5">
    <w:p w:rsidR="00FE5F2D" w:rsidRDefault="00FE5F2D">
      <w:pPr>
        <w:pStyle w:val="FootnoteText"/>
      </w:pPr>
      <w:r>
        <w:rPr>
          <w:rStyle w:val="FootnoteReference"/>
        </w:rPr>
        <w:footnoteRef/>
      </w:r>
      <w:r>
        <w:t xml:space="preserve"> The industry sample size for Accommodation, cafes and restaurants was 91 workers. Therefore, all findings related to this industry should be treated with caution.</w:t>
      </w:r>
    </w:p>
  </w:footnote>
  <w:footnote w:id="6">
    <w:p w:rsidR="00FE5F2D" w:rsidRPr="00680E57" w:rsidRDefault="00FE5F2D" w:rsidP="00DC0248">
      <w:r>
        <w:rPr>
          <w:rStyle w:val="FootnoteReference"/>
        </w:rPr>
        <w:footnoteRef/>
      </w:r>
      <w:r>
        <w:t xml:space="preserve"> </w:t>
      </w:r>
      <w:r w:rsidRPr="007207F8">
        <w:rPr>
          <w:sz w:val="20"/>
          <w:szCs w:val="20"/>
        </w:rPr>
        <w:t xml:space="preserve">An odds ratio is a measure of the effect size, quantifying the strength of association between an outcome variable (eg reported exposure to </w:t>
      </w:r>
      <w:r w:rsidRPr="007207F8">
        <w:rPr>
          <w:i/>
          <w:sz w:val="20"/>
          <w:szCs w:val="20"/>
        </w:rPr>
        <w:t>Bases and alkalis</w:t>
      </w:r>
      <w:r w:rsidRPr="007207F8">
        <w:rPr>
          <w:sz w:val="20"/>
          <w:szCs w:val="20"/>
        </w:rPr>
        <w:t xml:space="preserve">) and a second variable which is hypothesised to be potentially associated with the outcome (eg gender). The 95% confidence interval is an indicator of the likely reliability of the odds ratio as an estimate of the ‘true’ ratio in the population. For example, the 95% confidence interval for females exposed to </w:t>
      </w:r>
      <w:r w:rsidRPr="007207F8">
        <w:rPr>
          <w:i/>
          <w:sz w:val="20"/>
          <w:szCs w:val="20"/>
        </w:rPr>
        <w:t>Bases and alkalis</w:t>
      </w:r>
      <w:r w:rsidRPr="007207F8">
        <w:rPr>
          <w:sz w:val="20"/>
          <w:szCs w:val="20"/>
        </w:rPr>
        <w:t xml:space="preserve"> is 1.99 to 3.80. This means that, if the statistical model is correct, there is only a 5% probability that the true population prevalence is outside this range. Confidence interval</w:t>
      </w:r>
      <w:r>
        <w:rPr>
          <w:sz w:val="20"/>
          <w:szCs w:val="20"/>
        </w:rPr>
        <w:t>s</w:t>
      </w:r>
      <w:r w:rsidRPr="007207F8">
        <w:rPr>
          <w:sz w:val="20"/>
          <w:szCs w:val="20"/>
        </w:rPr>
        <w:t xml:space="preserve"> </w:t>
      </w:r>
      <w:r>
        <w:rPr>
          <w:sz w:val="20"/>
          <w:szCs w:val="20"/>
        </w:rPr>
        <w:t>that</w:t>
      </w:r>
      <w:r w:rsidRPr="007207F8">
        <w:rPr>
          <w:sz w:val="20"/>
          <w:szCs w:val="20"/>
        </w:rPr>
        <w:t xml:space="preserve"> do not include 1.0 (the point of no difference) are said to be ‘statistically significant’ because it is unlikely that the true ratio in the population is on the other side of 1.0.</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991"/>
    <w:multiLevelType w:val="hybridMultilevel"/>
    <w:tmpl w:val="4FC0E136"/>
    <w:lvl w:ilvl="0" w:tplc="0C090001">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
    <w:nsid w:val="07E747E4"/>
    <w:multiLevelType w:val="hybridMultilevel"/>
    <w:tmpl w:val="01E6274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636040"/>
    <w:multiLevelType w:val="hybridMultilevel"/>
    <w:tmpl w:val="90D6E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785147"/>
    <w:multiLevelType w:val="hybridMultilevel"/>
    <w:tmpl w:val="9AB8066E"/>
    <w:lvl w:ilvl="0" w:tplc="42D2C5D2">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4">
    <w:nsid w:val="18DD11B0"/>
    <w:multiLevelType w:val="hybridMultilevel"/>
    <w:tmpl w:val="89AC2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D4708A"/>
    <w:multiLevelType w:val="hybridMultilevel"/>
    <w:tmpl w:val="5DCE0A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3D2E0E"/>
    <w:multiLevelType w:val="hybridMultilevel"/>
    <w:tmpl w:val="06867C20"/>
    <w:lvl w:ilvl="0" w:tplc="0C09000F">
      <w:start w:val="1"/>
      <w:numFmt w:val="decimal"/>
      <w:lvlText w:val="%1."/>
      <w:lvlJc w:val="lef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7">
    <w:nsid w:val="1C7F6E80"/>
    <w:multiLevelType w:val="hybridMultilevel"/>
    <w:tmpl w:val="C92A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17504"/>
    <w:multiLevelType w:val="hybridMultilevel"/>
    <w:tmpl w:val="DB2A7F10"/>
    <w:lvl w:ilvl="0" w:tplc="848090D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4E54B2"/>
    <w:multiLevelType w:val="hybridMultilevel"/>
    <w:tmpl w:val="CE226AE8"/>
    <w:lvl w:ilvl="0" w:tplc="848090D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2B4FFF"/>
    <w:multiLevelType w:val="hybridMultilevel"/>
    <w:tmpl w:val="504C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655E8D"/>
    <w:multiLevelType w:val="hybridMultilevel"/>
    <w:tmpl w:val="CF325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9229D3"/>
    <w:multiLevelType w:val="hybridMultilevel"/>
    <w:tmpl w:val="6594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E17EF0"/>
    <w:multiLevelType w:val="hybridMultilevel"/>
    <w:tmpl w:val="2064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093EF5"/>
    <w:multiLevelType w:val="hybridMultilevel"/>
    <w:tmpl w:val="F8CC3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C72210"/>
    <w:multiLevelType w:val="hybridMultilevel"/>
    <w:tmpl w:val="CB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945B12"/>
    <w:multiLevelType w:val="hybridMultilevel"/>
    <w:tmpl w:val="F16A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CF0023"/>
    <w:multiLevelType w:val="hybridMultilevel"/>
    <w:tmpl w:val="0F347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E635E8"/>
    <w:multiLevelType w:val="hybridMultilevel"/>
    <w:tmpl w:val="7C567B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1F49D9"/>
    <w:multiLevelType w:val="hybridMultilevel"/>
    <w:tmpl w:val="B3C0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B40F50"/>
    <w:multiLevelType w:val="hybridMultilevel"/>
    <w:tmpl w:val="6CA8E0B4"/>
    <w:lvl w:ilvl="0" w:tplc="DB087FA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843E26"/>
    <w:multiLevelType w:val="hybridMultilevel"/>
    <w:tmpl w:val="C628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8A1DEE"/>
    <w:multiLevelType w:val="hybridMultilevel"/>
    <w:tmpl w:val="C17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535B3F"/>
    <w:multiLevelType w:val="hybridMultilevel"/>
    <w:tmpl w:val="8D161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Wingdings"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Wingdings"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4BA7D67"/>
    <w:multiLevelType w:val="hybridMultilevel"/>
    <w:tmpl w:val="4260C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A4786C"/>
    <w:multiLevelType w:val="hybridMultilevel"/>
    <w:tmpl w:val="FC3A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77085D"/>
    <w:multiLevelType w:val="hybridMultilevel"/>
    <w:tmpl w:val="B37E5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6E25F2"/>
    <w:multiLevelType w:val="hybridMultilevel"/>
    <w:tmpl w:val="C0622B66"/>
    <w:lvl w:ilvl="0" w:tplc="3B1C03C4">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8">
    <w:nsid w:val="776708F9"/>
    <w:multiLevelType w:val="hybridMultilevel"/>
    <w:tmpl w:val="D64E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16080F"/>
    <w:multiLevelType w:val="hybridMultilevel"/>
    <w:tmpl w:val="9E2C8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60007F"/>
    <w:multiLevelType w:val="hybridMultilevel"/>
    <w:tmpl w:val="507E4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4"/>
  </w:num>
  <w:num w:numId="4">
    <w:abstractNumId w:val="4"/>
  </w:num>
  <w:num w:numId="5">
    <w:abstractNumId w:val="15"/>
  </w:num>
  <w:num w:numId="6">
    <w:abstractNumId w:val="10"/>
  </w:num>
  <w:num w:numId="7">
    <w:abstractNumId w:val="24"/>
  </w:num>
  <w:num w:numId="8">
    <w:abstractNumId w:val="29"/>
  </w:num>
  <w:num w:numId="9">
    <w:abstractNumId w:val="23"/>
  </w:num>
  <w:num w:numId="10">
    <w:abstractNumId w:val="25"/>
  </w:num>
  <w:num w:numId="11">
    <w:abstractNumId w:val="11"/>
  </w:num>
  <w:num w:numId="12">
    <w:abstractNumId w:val="0"/>
  </w:num>
  <w:num w:numId="13">
    <w:abstractNumId w:val="1"/>
  </w:num>
  <w:num w:numId="14">
    <w:abstractNumId w:val="7"/>
  </w:num>
  <w:num w:numId="15">
    <w:abstractNumId w:val="28"/>
  </w:num>
  <w:num w:numId="16">
    <w:abstractNumId w:val="13"/>
  </w:num>
  <w:num w:numId="17">
    <w:abstractNumId w:val="26"/>
  </w:num>
  <w:num w:numId="18">
    <w:abstractNumId w:val="27"/>
  </w:num>
  <w:num w:numId="19">
    <w:abstractNumId w:val="17"/>
  </w:num>
  <w:num w:numId="20">
    <w:abstractNumId w:val="3"/>
  </w:num>
  <w:num w:numId="21">
    <w:abstractNumId w:val="30"/>
  </w:num>
  <w:num w:numId="22">
    <w:abstractNumId w:val="20"/>
  </w:num>
  <w:num w:numId="23">
    <w:abstractNumId w:val="9"/>
  </w:num>
  <w:num w:numId="24">
    <w:abstractNumId w:val="8"/>
  </w:num>
  <w:num w:numId="25">
    <w:abstractNumId w:val="12"/>
  </w:num>
  <w:num w:numId="26">
    <w:abstractNumId w:val="18"/>
  </w:num>
  <w:num w:numId="27">
    <w:abstractNumId w:val="6"/>
  </w:num>
  <w:num w:numId="28">
    <w:abstractNumId w:val="5"/>
  </w:num>
  <w:num w:numId="29">
    <w:abstractNumId w:val="2"/>
  </w:num>
  <w:num w:numId="30">
    <w:abstractNumId w:val="1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21"/>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uthor-Date - Getting Heard projec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x9edz2tiw2008erzw75s5a65aepf9d2pvs9&quot;&gt;Tessa Keegel&amp;apos;s DermLibrary&lt;record-ids&gt;&lt;item&gt;216&lt;/item&gt;&lt;item&gt;223&lt;/item&gt;&lt;item&gt;290&lt;/item&gt;&lt;item&gt;300&lt;/item&gt;&lt;item&gt;314&lt;/item&gt;&lt;item&gt;318&lt;/item&gt;&lt;item&gt;322&lt;/item&gt;&lt;item&gt;337&lt;/item&gt;&lt;item&gt;342&lt;/item&gt;&lt;item&gt;359&lt;/item&gt;&lt;item&gt;364&lt;/item&gt;&lt;item&gt;406&lt;/item&gt;&lt;item&gt;418&lt;/item&gt;&lt;item&gt;425&lt;/item&gt;&lt;item&gt;460&lt;/item&gt;&lt;item&gt;462&lt;/item&gt;&lt;item&gt;463&lt;/item&gt;&lt;item&gt;480&lt;/item&gt;&lt;item&gt;495&lt;/item&gt;&lt;item&gt;523&lt;/item&gt;&lt;item&gt;611&lt;/item&gt;&lt;item&gt;617&lt;/item&gt;&lt;item&gt;784&lt;/item&gt;&lt;item&gt;1051&lt;/item&gt;&lt;item&gt;1054&lt;/item&gt;&lt;item&gt;1055&lt;/item&gt;&lt;item&gt;1056&lt;/item&gt;&lt;item&gt;1058&lt;/item&gt;&lt;item&gt;1059&lt;/item&gt;&lt;item&gt;1065&lt;/item&gt;&lt;item&gt;1066&lt;/item&gt;&lt;item&gt;1071&lt;/item&gt;&lt;item&gt;1072&lt;/item&gt;&lt;item&gt;1075&lt;/item&gt;&lt;item&gt;1086&lt;/item&gt;&lt;/record-ids&gt;&lt;/item&gt;&lt;/Libraries&gt;"/>
  </w:docVars>
  <w:rsids>
    <w:rsidRoot w:val="00244878"/>
    <w:rsid w:val="00016BF7"/>
    <w:rsid w:val="00021BC0"/>
    <w:rsid w:val="000253EA"/>
    <w:rsid w:val="00025B2C"/>
    <w:rsid w:val="0002658E"/>
    <w:rsid w:val="000278C0"/>
    <w:rsid w:val="00032028"/>
    <w:rsid w:val="000327D1"/>
    <w:rsid w:val="000329EB"/>
    <w:rsid w:val="000368DB"/>
    <w:rsid w:val="000407E2"/>
    <w:rsid w:val="0004193E"/>
    <w:rsid w:val="000429BB"/>
    <w:rsid w:val="00043820"/>
    <w:rsid w:val="00044290"/>
    <w:rsid w:val="00044F55"/>
    <w:rsid w:val="00050EAD"/>
    <w:rsid w:val="00051B9A"/>
    <w:rsid w:val="00053497"/>
    <w:rsid w:val="00054B41"/>
    <w:rsid w:val="00056206"/>
    <w:rsid w:val="0006035B"/>
    <w:rsid w:val="00060E25"/>
    <w:rsid w:val="000653EB"/>
    <w:rsid w:val="00065EBC"/>
    <w:rsid w:val="00066B77"/>
    <w:rsid w:val="00067466"/>
    <w:rsid w:val="00067A5D"/>
    <w:rsid w:val="00070066"/>
    <w:rsid w:val="00070777"/>
    <w:rsid w:val="00074C16"/>
    <w:rsid w:val="00075B0A"/>
    <w:rsid w:val="00075DB6"/>
    <w:rsid w:val="0007720F"/>
    <w:rsid w:val="00083A25"/>
    <w:rsid w:val="000843AE"/>
    <w:rsid w:val="00085299"/>
    <w:rsid w:val="000876E5"/>
    <w:rsid w:val="00090282"/>
    <w:rsid w:val="000907E6"/>
    <w:rsid w:val="00091CE2"/>
    <w:rsid w:val="00092F7B"/>
    <w:rsid w:val="0009301E"/>
    <w:rsid w:val="000933E1"/>
    <w:rsid w:val="0009489B"/>
    <w:rsid w:val="00094AC4"/>
    <w:rsid w:val="00095615"/>
    <w:rsid w:val="00095CDE"/>
    <w:rsid w:val="000A003F"/>
    <w:rsid w:val="000A16D2"/>
    <w:rsid w:val="000A36F8"/>
    <w:rsid w:val="000A65EA"/>
    <w:rsid w:val="000B5A3C"/>
    <w:rsid w:val="000B5AEC"/>
    <w:rsid w:val="000B64BB"/>
    <w:rsid w:val="000C3999"/>
    <w:rsid w:val="000C46C2"/>
    <w:rsid w:val="000C6664"/>
    <w:rsid w:val="000D1B45"/>
    <w:rsid w:val="000D50E8"/>
    <w:rsid w:val="000D5818"/>
    <w:rsid w:val="000D5CB6"/>
    <w:rsid w:val="000D6E06"/>
    <w:rsid w:val="000D6EEC"/>
    <w:rsid w:val="000E0216"/>
    <w:rsid w:val="000E1E3B"/>
    <w:rsid w:val="000E392B"/>
    <w:rsid w:val="000E3E6F"/>
    <w:rsid w:val="000F52E5"/>
    <w:rsid w:val="000F610B"/>
    <w:rsid w:val="000F6CAA"/>
    <w:rsid w:val="00103CFC"/>
    <w:rsid w:val="00103F12"/>
    <w:rsid w:val="00105296"/>
    <w:rsid w:val="00110E4B"/>
    <w:rsid w:val="00112016"/>
    <w:rsid w:val="001148DE"/>
    <w:rsid w:val="00114BD9"/>
    <w:rsid w:val="001159D9"/>
    <w:rsid w:val="00116E2F"/>
    <w:rsid w:val="0011744B"/>
    <w:rsid w:val="00120829"/>
    <w:rsid w:val="001215C9"/>
    <w:rsid w:val="00124A1E"/>
    <w:rsid w:val="00125F8E"/>
    <w:rsid w:val="00130B62"/>
    <w:rsid w:val="001316D6"/>
    <w:rsid w:val="00132994"/>
    <w:rsid w:val="001415A6"/>
    <w:rsid w:val="00154032"/>
    <w:rsid w:val="00154FA0"/>
    <w:rsid w:val="001579BC"/>
    <w:rsid w:val="00160C13"/>
    <w:rsid w:val="0016190A"/>
    <w:rsid w:val="00163515"/>
    <w:rsid w:val="0016610D"/>
    <w:rsid w:val="001766F5"/>
    <w:rsid w:val="00180044"/>
    <w:rsid w:val="0018056A"/>
    <w:rsid w:val="00184F76"/>
    <w:rsid w:val="0019240C"/>
    <w:rsid w:val="00196E03"/>
    <w:rsid w:val="001A1245"/>
    <w:rsid w:val="001A172D"/>
    <w:rsid w:val="001A3878"/>
    <w:rsid w:val="001A5A90"/>
    <w:rsid w:val="001A5F42"/>
    <w:rsid w:val="001A6773"/>
    <w:rsid w:val="001B0B68"/>
    <w:rsid w:val="001B1460"/>
    <w:rsid w:val="001B348C"/>
    <w:rsid w:val="001B4C39"/>
    <w:rsid w:val="001B5423"/>
    <w:rsid w:val="001B638B"/>
    <w:rsid w:val="001B7120"/>
    <w:rsid w:val="001B714E"/>
    <w:rsid w:val="001C0782"/>
    <w:rsid w:val="001C4CEE"/>
    <w:rsid w:val="001C4DAE"/>
    <w:rsid w:val="001C763C"/>
    <w:rsid w:val="001C7E7A"/>
    <w:rsid w:val="001D4360"/>
    <w:rsid w:val="001D4FDD"/>
    <w:rsid w:val="001D7C67"/>
    <w:rsid w:val="001E1C3A"/>
    <w:rsid w:val="001E477C"/>
    <w:rsid w:val="001F5193"/>
    <w:rsid w:val="001F6A8A"/>
    <w:rsid w:val="00200207"/>
    <w:rsid w:val="002031FF"/>
    <w:rsid w:val="00203E57"/>
    <w:rsid w:val="002051B5"/>
    <w:rsid w:val="00205FB5"/>
    <w:rsid w:val="002104D5"/>
    <w:rsid w:val="00212BF0"/>
    <w:rsid w:val="00213916"/>
    <w:rsid w:val="00217689"/>
    <w:rsid w:val="00220A22"/>
    <w:rsid w:val="00221D03"/>
    <w:rsid w:val="002223EF"/>
    <w:rsid w:val="00223122"/>
    <w:rsid w:val="002248E3"/>
    <w:rsid w:val="0022501F"/>
    <w:rsid w:val="0022757F"/>
    <w:rsid w:val="00230C51"/>
    <w:rsid w:val="002324C3"/>
    <w:rsid w:val="00237673"/>
    <w:rsid w:val="00244878"/>
    <w:rsid w:val="00247B17"/>
    <w:rsid w:val="00250F58"/>
    <w:rsid w:val="0025128B"/>
    <w:rsid w:val="00252A74"/>
    <w:rsid w:val="00253DB3"/>
    <w:rsid w:val="002572F7"/>
    <w:rsid w:val="00262B5F"/>
    <w:rsid w:val="00263BB7"/>
    <w:rsid w:val="00266970"/>
    <w:rsid w:val="00266EB2"/>
    <w:rsid w:val="0026773B"/>
    <w:rsid w:val="00270EC4"/>
    <w:rsid w:val="002773F9"/>
    <w:rsid w:val="00277826"/>
    <w:rsid w:val="0028525A"/>
    <w:rsid w:val="00285E59"/>
    <w:rsid w:val="00287351"/>
    <w:rsid w:val="00287635"/>
    <w:rsid w:val="00287BBA"/>
    <w:rsid w:val="00287FBB"/>
    <w:rsid w:val="00291DBB"/>
    <w:rsid w:val="002929F3"/>
    <w:rsid w:val="00295376"/>
    <w:rsid w:val="00296E67"/>
    <w:rsid w:val="002A0B87"/>
    <w:rsid w:val="002A24B8"/>
    <w:rsid w:val="002A359A"/>
    <w:rsid w:val="002A35C7"/>
    <w:rsid w:val="002A3FA7"/>
    <w:rsid w:val="002A7573"/>
    <w:rsid w:val="002B33BB"/>
    <w:rsid w:val="002C095C"/>
    <w:rsid w:val="002C2E3C"/>
    <w:rsid w:val="002C4667"/>
    <w:rsid w:val="002C4951"/>
    <w:rsid w:val="002C49A5"/>
    <w:rsid w:val="002C6797"/>
    <w:rsid w:val="002C67CB"/>
    <w:rsid w:val="002D0FF8"/>
    <w:rsid w:val="002D40C8"/>
    <w:rsid w:val="002D4779"/>
    <w:rsid w:val="002E11DE"/>
    <w:rsid w:val="002E1766"/>
    <w:rsid w:val="002E392B"/>
    <w:rsid w:val="002E4313"/>
    <w:rsid w:val="002E6875"/>
    <w:rsid w:val="002F0C11"/>
    <w:rsid w:val="002F4308"/>
    <w:rsid w:val="00300A67"/>
    <w:rsid w:val="00302E73"/>
    <w:rsid w:val="003040EB"/>
    <w:rsid w:val="00307C77"/>
    <w:rsid w:val="0031277B"/>
    <w:rsid w:val="003147DE"/>
    <w:rsid w:val="00315CE0"/>
    <w:rsid w:val="00316165"/>
    <w:rsid w:val="00317B19"/>
    <w:rsid w:val="003201F8"/>
    <w:rsid w:val="00323947"/>
    <w:rsid w:val="0032515B"/>
    <w:rsid w:val="00326A59"/>
    <w:rsid w:val="00327141"/>
    <w:rsid w:val="00327354"/>
    <w:rsid w:val="003276CE"/>
    <w:rsid w:val="00334573"/>
    <w:rsid w:val="00334843"/>
    <w:rsid w:val="00341DFA"/>
    <w:rsid w:val="00341EE8"/>
    <w:rsid w:val="003442E7"/>
    <w:rsid w:val="0034539C"/>
    <w:rsid w:val="003504BE"/>
    <w:rsid w:val="003506FE"/>
    <w:rsid w:val="00351710"/>
    <w:rsid w:val="003517A5"/>
    <w:rsid w:val="00354451"/>
    <w:rsid w:val="0035581D"/>
    <w:rsid w:val="00356510"/>
    <w:rsid w:val="00356D9D"/>
    <w:rsid w:val="0036074D"/>
    <w:rsid w:val="00361189"/>
    <w:rsid w:val="00362317"/>
    <w:rsid w:val="00363464"/>
    <w:rsid w:val="003635CC"/>
    <w:rsid w:val="00366934"/>
    <w:rsid w:val="003726E2"/>
    <w:rsid w:val="003755C9"/>
    <w:rsid w:val="00375D44"/>
    <w:rsid w:val="00380C85"/>
    <w:rsid w:val="00382059"/>
    <w:rsid w:val="003826A9"/>
    <w:rsid w:val="00391261"/>
    <w:rsid w:val="0039161B"/>
    <w:rsid w:val="00393D7E"/>
    <w:rsid w:val="003945E5"/>
    <w:rsid w:val="003959E5"/>
    <w:rsid w:val="00397D4E"/>
    <w:rsid w:val="003A05E6"/>
    <w:rsid w:val="003A1979"/>
    <w:rsid w:val="003A1D80"/>
    <w:rsid w:val="003A34C1"/>
    <w:rsid w:val="003A3971"/>
    <w:rsid w:val="003A64C7"/>
    <w:rsid w:val="003A67CC"/>
    <w:rsid w:val="003A6C26"/>
    <w:rsid w:val="003B1390"/>
    <w:rsid w:val="003B24D5"/>
    <w:rsid w:val="003B2510"/>
    <w:rsid w:val="003B47C6"/>
    <w:rsid w:val="003B4E61"/>
    <w:rsid w:val="003B5047"/>
    <w:rsid w:val="003B5EC9"/>
    <w:rsid w:val="003B6225"/>
    <w:rsid w:val="003B67D7"/>
    <w:rsid w:val="003B6F8A"/>
    <w:rsid w:val="003C1A61"/>
    <w:rsid w:val="003C30BF"/>
    <w:rsid w:val="003C394A"/>
    <w:rsid w:val="003C3A83"/>
    <w:rsid w:val="003C45CE"/>
    <w:rsid w:val="003C474D"/>
    <w:rsid w:val="003C6840"/>
    <w:rsid w:val="003D1FF3"/>
    <w:rsid w:val="003D33F1"/>
    <w:rsid w:val="003D3710"/>
    <w:rsid w:val="003D3F75"/>
    <w:rsid w:val="003E14B5"/>
    <w:rsid w:val="003E16E7"/>
    <w:rsid w:val="003E1C73"/>
    <w:rsid w:val="003E25A4"/>
    <w:rsid w:val="003E28DE"/>
    <w:rsid w:val="003E7A6C"/>
    <w:rsid w:val="003E7ACA"/>
    <w:rsid w:val="003F010B"/>
    <w:rsid w:val="003F04B6"/>
    <w:rsid w:val="003F05C3"/>
    <w:rsid w:val="003F08E8"/>
    <w:rsid w:val="003F217D"/>
    <w:rsid w:val="003F2917"/>
    <w:rsid w:val="003F3657"/>
    <w:rsid w:val="003F6155"/>
    <w:rsid w:val="00401887"/>
    <w:rsid w:val="00403EFA"/>
    <w:rsid w:val="00404A45"/>
    <w:rsid w:val="00404C77"/>
    <w:rsid w:val="004110C7"/>
    <w:rsid w:val="00411523"/>
    <w:rsid w:val="00411700"/>
    <w:rsid w:val="00413B4D"/>
    <w:rsid w:val="004141BE"/>
    <w:rsid w:val="00415202"/>
    <w:rsid w:val="00415A3F"/>
    <w:rsid w:val="00417465"/>
    <w:rsid w:val="00421AE6"/>
    <w:rsid w:val="00423F91"/>
    <w:rsid w:val="00424BBA"/>
    <w:rsid w:val="00426703"/>
    <w:rsid w:val="00426989"/>
    <w:rsid w:val="004277B9"/>
    <w:rsid w:val="00430FC5"/>
    <w:rsid w:val="0043193F"/>
    <w:rsid w:val="00431CFF"/>
    <w:rsid w:val="00434E67"/>
    <w:rsid w:val="0043668E"/>
    <w:rsid w:val="0043741D"/>
    <w:rsid w:val="004403FE"/>
    <w:rsid w:val="004421A5"/>
    <w:rsid w:val="004451D6"/>
    <w:rsid w:val="00445E5B"/>
    <w:rsid w:val="004501E7"/>
    <w:rsid w:val="004512B0"/>
    <w:rsid w:val="0045154D"/>
    <w:rsid w:val="00452306"/>
    <w:rsid w:val="00456140"/>
    <w:rsid w:val="00456E3D"/>
    <w:rsid w:val="004579FA"/>
    <w:rsid w:val="0046073E"/>
    <w:rsid w:val="004660E2"/>
    <w:rsid w:val="00466E3A"/>
    <w:rsid w:val="00470806"/>
    <w:rsid w:val="00471294"/>
    <w:rsid w:val="0047247E"/>
    <w:rsid w:val="00474B4D"/>
    <w:rsid w:val="00474E4A"/>
    <w:rsid w:val="00474FFF"/>
    <w:rsid w:val="004754B3"/>
    <w:rsid w:val="004824C1"/>
    <w:rsid w:val="00490D4C"/>
    <w:rsid w:val="00493D8B"/>
    <w:rsid w:val="00493DC3"/>
    <w:rsid w:val="00494D64"/>
    <w:rsid w:val="004951DB"/>
    <w:rsid w:val="00497C74"/>
    <w:rsid w:val="004A14A7"/>
    <w:rsid w:val="004A32A1"/>
    <w:rsid w:val="004A7A7F"/>
    <w:rsid w:val="004B4198"/>
    <w:rsid w:val="004B4922"/>
    <w:rsid w:val="004B6880"/>
    <w:rsid w:val="004C3F16"/>
    <w:rsid w:val="004C5D78"/>
    <w:rsid w:val="004C697E"/>
    <w:rsid w:val="004C7B1B"/>
    <w:rsid w:val="004D22FA"/>
    <w:rsid w:val="004D3A2F"/>
    <w:rsid w:val="004D3EF0"/>
    <w:rsid w:val="004D56AF"/>
    <w:rsid w:val="004D7002"/>
    <w:rsid w:val="004D7504"/>
    <w:rsid w:val="004D7DEF"/>
    <w:rsid w:val="004E0CF1"/>
    <w:rsid w:val="004E13EF"/>
    <w:rsid w:val="004E1818"/>
    <w:rsid w:val="004E1F3C"/>
    <w:rsid w:val="004E62CD"/>
    <w:rsid w:val="004E684A"/>
    <w:rsid w:val="004F10B8"/>
    <w:rsid w:val="004F122A"/>
    <w:rsid w:val="004F2CFA"/>
    <w:rsid w:val="004F32CC"/>
    <w:rsid w:val="004F4E3C"/>
    <w:rsid w:val="00500313"/>
    <w:rsid w:val="005011DC"/>
    <w:rsid w:val="005022E1"/>
    <w:rsid w:val="00504518"/>
    <w:rsid w:val="00504A11"/>
    <w:rsid w:val="005057A9"/>
    <w:rsid w:val="00506EFC"/>
    <w:rsid w:val="00511895"/>
    <w:rsid w:val="00511FD2"/>
    <w:rsid w:val="00517AD0"/>
    <w:rsid w:val="00520375"/>
    <w:rsid w:val="00525630"/>
    <w:rsid w:val="005262C8"/>
    <w:rsid w:val="005273E9"/>
    <w:rsid w:val="00530A3F"/>
    <w:rsid w:val="00531547"/>
    <w:rsid w:val="00531D2C"/>
    <w:rsid w:val="00534693"/>
    <w:rsid w:val="0053557D"/>
    <w:rsid w:val="00544C68"/>
    <w:rsid w:val="005477BA"/>
    <w:rsid w:val="005478A5"/>
    <w:rsid w:val="00550BFC"/>
    <w:rsid w:val="00550CFD"/>
    <w:rsid w:val="00551B99"/>
    <w:rsid w:val="00553BED"/>
    <w:rsid w:val="00554861"/>
    <w:rsid w:val="00555C5F"/>
    <w:rsid w:val="0055625C"/>
    <w:rsid w:val="00561F6B"/>
    <w:rsid w:val="005656A4"/>
    <w:rsid w:val="00571A69"/>
    <w:rsid w:val="00572C88"/>
    <w:rsid w:val="00574C95"/>
    <w:rsid w:val="005756E2"/>
    <w:rsid w:val="00577533"/>
    <w:rsid w:val="00581D8E"/>
    <w:rsid w:val="00582DD1"/>
    <w:rsid w:val="00592282"/>
    <w:rsid w:val="005A4744"/>
    <w:rsid w:val="005B3F50"/>
    <w:rsid w:val="005B40DF"/>
    <w:rsid w:val="005B4C61"/>
    <w:rsid w:val="005B6213"/>
    <w:rsid w:val="005B7991"/>
    <w:rsid w:val="005C1057"/>
    <w:rsid w:val="005C3AB5"/>
    <w:rsid w:val="005C4749"/>
    <w:rsid w:val="005F1DD4"/>
    <w:rsid w:val="005F25A5"/>
    <w:rsid w:val="005F261A"/>
    <w:rsid w:val="005F3C98"/>
    <w:rsid w:val="005F5151"/>
    <w:rsid w:val="005F75CE"/>
    <w:rsid w:val="0060015F"/>
    <w:rsid w:val="00600A52"/>
    <w:rsid w:val="006020D2"/>
    <w:rsid w:val="00602620"/>
    <w:rsid w:val="00602679"/>
    <w:rsid w:val="00604117"/>
    <w:rsid w:val="00604873"/>
    <w:rsid w:val="00604C5A"/>
    <w:rsid w:val="00604D89"/>
    <w:rsid w:val="006051A6"/>
    <w:rsid w:val="006072F7"/>
    <w:rsid w:val="00610AAC"/>
    <w:rsid w:val="006116CA"/>
    <w:rsid w:val="006138E4"/>
    <w:rsid w:val="00615084"/>
    <w:rsid w:val="006152D5"/>
    <w:rsid w:val="006163E8"/>
    <w:rsid w:val="00633356"/>
    <w:rsid w:val="00633BAC"/>
    <w:rsid w:val="00634A93"/>
    <w:rsid w:val="00635B7A"/>
    <w:rsid w:val="00640B68"/>
    <w:rsid w:val="006411AC"/>
    <w:rsid w:val="00641C53"/>
    <w:rsid w:val="006444D3"/>
    <w:rsid w:val="00644D08"/>
    <w:rsid w:val="00644E17"/>
    <w:rsid w:val="00645BEF"/>
    <w:rsid w:val="00646246"/>
    <w:rsid w:val="00647F43"/>
    <w:rsid w:val="006540D1"/>
    <w:rsid w:val="006577B6"/>
    <w:rsid w:val="00660974"/>
    <w:rsid w:val="0066114D"/>
    <w:rsid w:val="006617B5"/>
    <w:rsid w:val="00661BC5"/>
    <w:rsid w:val="00662899"/>
    <w:rsid w:val="0066783F"/>
    <w:rsid w:val="00671170"/>
    <w:rsid w:val="00672B8E"/>
    <w:rsid w:val="006809DA"/>
    <w:rsid w:val="00680E57"/>
    <w:rsid w:val="006829D2"/>
    <w:rsid w:val="00682CDD"/>
    <w:rsid w:val="006837FF"/>
    <w:rsid w:val="0068632F"/>
    <w:rsid w:val="00686445"/>
    <w:rsid w:val="006872D4"/>
    <w:rsid w:val="006925CC"/>
    <w:rsid w:val="006926F0"/>
    <w:rsid w:val="00694BDB"/>
    <w:rsid w:val="006953EA"/>
    <w:rsid w:val="0069612E"/>
    <w:rsid w:val="006A1B10"/>
    <w:rsid w:val="006A1CC7"/>
    <w:rsid w:val="006A2C87"/>
    <w:rsid w:val="006A3FE5"/>
    <w:rsid w:val="006A4223"/>
    <w:rsid w:val="006A494E"/>
    <w:rsid w:val="006A49FD"/>
    <w:rsid w:val="006A5BE1"/>
    <w:rsid w:val="006A692D"/>
    <w:rsid w:val="006A74D9"/>
    <w:rsid w:val="006B3DBA"/>
    <w:rsid w:val="006B4F17"/>
    <w:rsid w:val="006C0D07"/>
    <w:rsid w:val="006C4D34"/>
    <w:rsid w:val="006C60CA"/>
    <w:rsid w:val="006D0116"/>
    <w:rsid w:val="006D01B5"/>
    <w:rsid w:val="006D1C22"/>
    <w:rsid w:val="006D3FDE"/>
    <w:rsid w:val="006D41D5"/>
    <w:rsid w:val="006D43A2"/>
    <w:rsid w:val="006D5B56"/>
    <w:rsid w:val="006D7D41"/>
    <w:rsid w:val="006E1237"/>
    <w:rsid w:val="006E181B"/>
    <w:rsid w:val="006E3446"/>
    <w:rsid w:val="006E4939"/>
    <w:rsid w:val="006E52C8"/>
    <w:rsid w:val="006F0E44"/>
    <w:rsid w:val="006F19AD"/>
    <w:rsid w:val="006F23F5"/>
    <w:rsid w:val="006F4DD0"/>
    <w:rsid w:val="006F7B65"/>
    <w:rsid w:val="00701CB9"/>
    <w:rsid w:val="00703D90"/>
    <w:rsid w:val="00704518"/>
    <w:rsid w:val="0070477E"/>
    <w:rsid w:val="00704B95"/>
    <w:rsid w:val="00707B80"/>
    <w:rsid w:val="00707DF7"/>
    <w:rsid w:val="00712E7D"/>
    <w:rsid w:val="0071389F"/>
    <w:rsid w:val="00716C1E"/>
    <w:rsid w:val="007207F8"/>
    <w:rsid w:val="0072087E"/>
    <w:rsid w:val="007241AE"/>
    <w:rsid w:val="00724ECF"/>
    <w:rsid w:val="00727DB1"/>
    <w:rsid w:val="00732A4D"/>
    <w:rsid w:val="0073476A"/>
    <w:rsid w:val="007400D4"/>
    <w:rsid w:val="00745525"/>
    <w:rsid w:val="00747E66"/>
    <w:rsid w:val="00750161"/>
    <w:rsid w:val="007518FA"/>
    <w:rsid w:val="007556FF"/>
    <w:rsid w:val="00755C10"/>
    <w:rsid w:val="00756F39"/>
    <w:rsid w:val="00756FEE"/>
    <w:rsid w:val="00760E37"/>
    <w:rsid w:val="007617B4"/>
    <w:rsid w:val="007623CA"/>
    <w:rsid w:val="0076435A"/>
    <w:rsid w:val="00764A51"/>
    <w:rsid w:val="00764F9C"/>
    <w:rsid w:val="00767EFA"/>
    <w:rsid w:val="00770452"/>
    <w:rsid w:val="007768CB"/>
    <w:rsid w:val="007802D6"/>
    <w:rsid w:val="007828B1"/>
    <w:rsid w:val="007834E7"/>
    <w:rsid w:val="007837C7"/>
    <w:rsid w:val="00784786"/>
    <w:rsid w:val="00785922"/>
    <w:rsid w:val="007873BD"/>
    <w:rsid w:val="0079395C"/>
    <w:rsid w:val="0079653F"/>
    <w:rsid w:val="007A2462"/>
    <w:rsid w:val="007A4514"/>
    <w:rsid w:val="007A6029"/>
    <w:rsid w:val="007A747E"/>
    <w:rsid w:val="007B2493"/>
    <w:rsid w:val="007B2C5F"/>
    <w:rsid w:val="007B34FD"/>
    <w:rsid w:val="007B468C"/>
    <w:rsid w:val="007B5804"/>
    <w:rsid w:val="007B5DC6"/>
    <w:rsid w:val="007B5E0B"/>
    <w:rsid w:val="007B680D"/>
    <w:rsid w:val="007C0C7A"/>
    <w:rsid w:val="007C2F3D"/>
    <w:rsid w:val="007C2FF8"/>
    <w:rsid w:val="007C515D"/>
    <w:rsid w:val="007C604E"/>
    <w:rsid w:val="007C76C9"/>
    <w:rsid w:val="007D0E43"/>
    <w:rsid w:val="007D568D"/>
    <w:rsid w:val="007E1406"/>
    <w:rsid w:val="007E320D"/>
    <w:rsid w:val="007E5502"/>
    <w:rsid w:val="007E682A"/>
    <w:rsid w:val="007E6AF2"/>
    <w:rsid w:val="007E70F7"/>
    <w:rsid w:val="007E797E"/>
    <w:rsid w:val="007F0E4C"/>
    <w:rsid w:val="007F19EA"/>
    <w:rsid w:val="007F292E"/>
    <w:rsid w:val="007F2EDE"/>
    <w:rsid w:val="007F7339"/>
    <w:rsid w:val="00801A42"/>
    <w:rsid w:val="008020D2"/>
    <w:rsid w:val="00802923"/>
    <w:rsid w:val="0080518D"/>
    <w:rsid w:val="00806476"/>
    <w:rsid w:val="00806A25"/>
    <w:rsid w:val="00806E6F"/>
    <w:rsid w:val="00812473"/>
    <w:rsid w:val="00814072"/>
    <w:rsid w:val="00815AF9"/>
    <w:rsid w:val="008161A1"/>
    <w:rsid w:val="00820FF7"/>
    <w:rsid w:val="00821844"/>
    <w:rsid w:val="00821B2B"/>
    <w:rsid w:val="00823400"/>
    <w:rsid w:val="0082574E"/>
    <w:rsid w:val="008274B5"/>
    <w:rsid w:val="008326A1"/>
    <w:rsid w:val="00832CAC"/>
    <w:rsid w:val="008332EB"/>
    <w:rsid w:val="0083334F"/>
    <w:rsid w:val="0083487E"/>
    <w:rsid w:val="0083759A"/>
    <w:rsid w:val="008405BA"/>
    <w:rsid w:val="0084541A"/>
    <w:rsid w:val="0084723B"/>
    <w:rsid w:val="00847724"/>
    <w:rsid w:val="00847EA5"/>
    <w:rsid w:val="0085003D"/>
    <w:rsid w:val="00850BC7"/>
    <w:rsid w:val="00850EA2"/>
    <w:rsid w:val="00852074"/>
    <w:rsid w:val="00855A41"/>
    <w:rsid w:val="00861602"/>
    <w:rsid w:val="00863315"/>
    <w:rsid w:val="00865005"/>
    <w:rsid w:val="00865DD6"/>
    <w:rsid w:val="00865E8C"/>
    <w:rsid w:val="00867D80"/>
    <w:rsid w:val="008721B7"/>
    <w:rsid w:val="00875A8B"/>
    <w:rsid w:val="0087769E"/>
    <w:rsid w:val="00880F9F"/>
    <w:rsid w:val="00881DDD"/>
    <w:rsid w:val="00883CFC"/>
    <w:rsid w:val="008841AE"/>
    <w:rsid w:val="008859DF"/>
    <w:rsid w:val="008900FA"/>
    <w:rsid w:val="00893AB5"/>
    <w:rsid w:val="00894AD7"/>
    <w:rsid w:val="008958D7"/>
    <w:rsid w:val="008A10A9"/>
    <w:rsid w:val="008A1A9F"/>
    <w:rsid w:val="008A2AD7"/>
    <w:rsid w:val="008A42B5"/>
    <w:rsid w:val="008B237F"/>
    <w:rsid w:val="008B5C92"/>
    <w:rsid w:val="008B64A7"/>
    <w:rsid w:val="008B77E9"/>
    <w:rsid w:val="008C1378"/>
    <w:rsid w:val="008C3B32"/>
    <w:rsid w:val="008C44F7"/>
    <w:rsid w:val="008C79FD"/>
    <w:rsid w:val="008D01E2"/>
    <w:rsid w:val="008D187D"/>
    <w:rsid w:val="008E2C8E"/>
    <w:rsid w:val="008E5BFB"/>
    <w:rsid w:val="008E7615"/>
    <w:rsid w:val="008F13C6"/>
    <w:rsid w:val="008F1B6B"/>
    <w:rsid w:val="008F2E2A"/>
    <w:rsid w:val="008F3298"/>
    <w:rsid w:val="008F3F12"/>
    <w:rsid w:val="008F647D"/>
    <w:rsid w:val="008F7CB9"/>
    <w:rsid w:val="00900A58"/>
    <w:rsid w:val="00904BCF"/>
    <w:rsid w:val="00905C38"/>
    <w:rsid w:val="009066C2"/>
    <w:rsid w:val="00912DC2"/>
    <w:rsid w:val="00913310"/>
    <w:rsid w:val="009138FE"/>
    <w:rsid w:val="009201A4"/>
    <w:rsid w:val="00920BAC"/>
    <w:rsid w:val="00922B79"/>
    <w:rsid w:val="009231E4"/>
    <w:rsid w:val="0092330F"/>
    <w:rsid w:val="00923829"/>
    <w:rsid w:val="00924F6E"/>
    <w:rsid w:val="00930AD3"/>
    <w:rsid w:val="00930F20"/>
    <w:rsid w:val="00932ECD"/>
    <w:rsid w:val="009366B7"/>
    <w:rsid w:val="009368B9"/>
    <w:rsid w:val="00940C9B"/>
    <w:rsid w:val="00942DEC"/>
    <w:rsid w:val="00945ED3"/>
    <w:rsid w:val="00946126"/>
    <w:rsid w:val="0094671A"/>
    <w:rsid w:val="00951B93"/>
    <w:rsid w:val="00953A58"/>
    <w:rsid w:val="00955335"/>
    <w:rsid w:val="00955C67"/>
    <w:rsid w:val="00955F0A"/>
    <w:rsid w:val="00957BD3"/>
    <w:rsid w:val="009604C0"/>
    <w:rsid w:val="009614C8"/>
    <w:rsid w:val="00970154"/>
    <w:rsid w:val="009702DD"/>
    <w:rsid w:val="00970A79"/>
    <w:rsid w:val="00971245"/>
    <w:rsid w:val="0098090B"/>
    <w:rsid w:val="0098297B"/>
    <w:rsid w:val="00983B0A"/>
    <w:rsid w:val="009852D2"/>
    <w:rsid w:val="00985E66"/>
    <w:rsid w:val="0099020E"/>
    <w:rsid w:val="00990AC1"/>
    <w:rsid w:val="009910FB"/>
    <w:rsid w:val="0099300D"/>
    <w:rsid w:val="009A25BC"/>
    <w:rsid w:val="009A27C8"/>
    <w:rsid w:val="009A4B25"/>
    <w:rsid w:val="009B2B80"/>
    <w:rsid w:val="009B426C"/>
    <w:rsid w:val="009B5A3F"/>
    <w:rsid w:val="009C2CFD"/>
    <w:rsid w:val="009C4568"/>
    <w:rsid w:val="009C4D78"/>
    <w:rsid w:val="009C5413"/>
    <w:rsid w:val="009C6EA0"/>
    <w:rsid w:val="009D2116"/>
    <w:rsid w:val="009D6448"/>
    <w:rsid w:val="009E38A9"/>
    <w:rsid w:val="009F0490"/>
    <w:rsid w:val="009F0819"/>
    <w:rsid w:val="009F3D4A"/>
    <w:rsid w:val="009F3E44"/>
    <w:rsid w:val="009F4D37"/>
    <w:rsid w:val="009F5D65"/>
    <w:rsid w:val="009F7529"/>
    <w:rsid w:val="009F76CC"/>
    <w:rsid w:val="00A001EE"/>
    <w:rsid w:val="00A02661"/>
    <w:rsid w:val="00A03ADE"/>
    <w:rsid w:val="00A04495"/>
    <w:rsid w:val="00A05C38"/>
    <w:rsid w:val="00A10E12"/>
    <w:rsid w:val="00A119A9"/>
    <w:rsid w:val="00A12511"/>
    <w:rsid w:val="00A15392"/>
    <w:rsid w:val="00A161FC"/>
    <w:rsid w:val="00A2051D"/>
    <w:rsid w:val="00A208CA"/>
    <w:rsid w:val="00A24910"/>
    <w:rsid w:val="00A252B0"/>
    <w:rsid w:val="00A31067"/>
    <w:rsid w:val="00A3295C"/>
    <w:rsid w:val="00A32AD2"/>
    <w:rsid w:val="00A33321"/>
    <w:rsid w:val="00A37DBD"/>
    <w:rsid w:val="00A4026E"/>
    <w:rsid w:val="00A42CA3"/>
    <w:rsid w:val="00A4302B"/>
    <w:rsid w:val="00A43096"/>
    <w:rsid w:val="00A46825"/>
    <w:rsid w:val="00A50494"/>
    <w:rsid w:val="00A50D4B"/>
    <w:rsid w:val="00A53EB3"/>
    <w:rsid w:val="00A5438C"/>
    <w:rsid w:val="00A54857"/>
    <w:rsid w:val="00A6243E"/>
    <w:rsid w:val="00A62643"/>
    <w:rsid w:val="00A6304E"/>
    <w:rsid w:val="00A63454"/>
    <w:rsid w:val="00A669FA"/>
    <w:rsid w:val="00A67B8C"/>
    <w:rsid w:val="00A67F83"/>
    <w:rsid w:val="00A70EBF"/>
    <w:rsid w:val="00A71D3E"/>
    <w:rsid w:val="00A745DE"/>
    <w:rsid w:val="00A76CC0"/>
    <w:rsid w:val="00A7751C"/>
    <w:rsid w:val="00A801A5"/>
    <w:rsid w:val="00A80BFA"/>
    <w:rsid w:val="00A83658"/>
    <w:rsid w:val="00A85169"/>
    <w:rsid w:val="00A870AE"/>
    <w:rsid w:val="00A903DC"/>
    <w:rsid w:val="00A91873"/>
    <w:rsid w:val="00A92ABE"/>
    <w:rsid w:val="00A92D60"/>
    <w:rsid w:val="00A94A48"/>
    <w:rsid w:val="00A9614F"/>
    <w:rsid w:val="00AA3C99"/>
    <w:rsid w:val="00AA497E"/>
    <w:rsid w:val="00AA641D"/>
    <w:rsid w:val="00AB05B9"/>
    <w:rsid w:val="00AB1E9F"/>
    <w:rsid w:val="00AB2546"/>
    <w:rsid w:val="00AB308E"/>
    <w:rsid w:val="00AB438E"/>
    <w:rsid w:val="00AC15E1"/>
    <w:rsid w:val="00AC2771"/>
    <w:rsid w:val="00AC3307"/>
    <w:rsid w:val="00AC784D"/>
    <w:rsid w:val="00AC7B25"/>
    <w:rsid w:val="00AD21D8"/>
    <w:rsid w:val="00AD4087"/>
    <w:rsid w:val="00AD5359"/>
    <w:rsid w:val="00AD5C6E"/>
    <w:rsid w:val="00AD6990"/>
    <w:rsid w:val="00AD6ECA"/>
    <w:rsid w:val="00AD7750"/>
    <w:rsid w:val="00AD7EDD"/>
    <w:rsid w:val="00AD7FD2"/>
    <w:rsid w:val="00AE26CB"/>
    <w:rsid w:val="00AF29C3"/>
    <w:rsid w:val="00AF3BF5"/>
    <w:rsid w:val="00AF3DEB"/>
    <w:rsid w:val="00AF57D8"/>
    <w:rsid w:val="00AF5FF4"/>
    <w:rsid w:val="00AF759F"/>
    <w:rsid w:val="00B00D79"/>
    <w:rsid w:val="00B02AC7"/>
    <w:rsid w:val="00B02FA1"/>
    <w:rsid w:val="00B067E1"/>
    <w:rsid w:val="00B109FF"/>
    <w:rsid w:val="00B10FC8"/>
    <w:rsid w:val="00B145F5"/>
    <w:rsid w:val="00B1566C"/>
    <w:rsid w:val="00B1625C"/>
    <w:rsid w:val="00B22041"/>
    <w:rsid w:val="00B2210C"/>
    <w:rsid w:val="00B2637A"/>
    <w:rsid w:val="00B2747A"/>
    <w:rsid w:val="00B30D36"/>
    <w:rsid w:val="00B3196A"/>
    <w:rsid w:val="00B36E7C"/>
    <w:rsid w:val="00B37248"/>
    <w:rsid w:val="00B40953"/>
    <w:rsid w:val="00B41916"/>
    <w:rsid w:val="00B41D90"/>
    <w:rsid w:val="00B42FAF"/>
    <w:rsid w:val="00B44947"/>
    <w:rsid w:val="00B46E97"/>
    <w:rsid w:val="00B50940"/>
    <w:rsid w:val="00B53CE0"/>
    <w:rsid w:val="00B540D1"/>
    <w:rsid w:val="00B5417B"/>
    <w:rsid w:val="00B55A81"/>
    <w:rsid w:val="00B565FB"/>
    <w:rsid w:val="00B63608"/>
    <w:rsid w:val="00B659E0"/>
    <w:rsid w:val="00B66B5A"/>
    <w:rsid w:val="00B73995"/>
    <w:rsid w:val="00B74546"/>
    <w:rsid w:val="00B75B80"/>
    <w:rsid w:val="00B80BE8"/>
    <w:rsid w:val="00B8487A"/>
    <w:rsid w:val="00B85312"/>
    <w:rsid w:val="00B862A4"/>
    <w:rsid w:val="00B902CE"/>
    <w:rsid w:val="00B90723"/>
    <w:rsid w:val="00B93667"/>
    <w:rsid w:val="00B95B1D"/>
    <w:rsid w:val="00B96F16"/>
    <w:rsid w:val="00BA05C8"/>
    <w:rsid w:val="00BA173A"/>
    <w:rsid w:val="00BA2B6A"/>
    <w:rsid w:val="00BA2D7B"/>
    <w:rsid w:val="00BA45D2"/>
    <w:rsid w:val="00BA7211"/>
    <w:rsid w:val="00BB1F6A"/>
    <w:rsid w:val="00BB23E7"/>
    <w:rsid w:val="00BB33CD"/>
    <w:rsid w:val="00BB4263"/>
    <w:rsid w:val="00BB4296"/>
    <w:rsid w:val="00BB5DA3"/>
    <w:rsid w:val="00BC06A0"/>
    <w:rsid w:val="00BC28AD"/>
    <w:rsid w:val="00BC2957"/>
    <w:rsid w:val="00BC2BCF"/>
    <w:rsid w:val="00BC5FA6"/>
    <w:rsid w:val="00BC6482"/>
    <w:rsid w:val="00BD3B03"/>
    <w:rsid w:val="00BD3D51"/>
    <w:rsid w:val="00BD5875"/>
    <w:rsid w:val="00BE0A9B"/>
    <w:rsid w:val="00BE142A"/>
    <w:rsid w:val="00BE1669"/>
    <w:rsid w:val="00BE27A0"/>
    <w:rsid w:val="00BE3AC4"/>
    <w:rsid w:val="00BE3CCE"/>
    <w:rsid w:val="00BE5322"/>
    <w:rsid w:val="00BE65F8"/>
    <w:rsid w:val="00BE6F75"/>
    <w:rsid w:val="00BF047F"/>
    <w:rsid w:val="00BF6838"/>
    <w:rsid w:val="00C009F7"/>
    <w:rsid w:val="00C03065"/>
    <w:rsid w:val="00C030C5"/>
    <w:rsid w:val="00C0744E"/>
    <w:rsid w:val="00C07D73"/>
    <w:rsid w:val="00C10FB8"/>
    <w:rsid w:val="00C16256"/>
    <w:rsid w:val="00C22054"/>
    <w:rsid w:val="00C230BA"/>
    <w:rsid w:val="00C24A9A"/>
    <w:rsid w:val="00C25793"/>
    <w:rsid w:val="00C25AB0"/>
    <w:rsid w:val="00C27E42"/>
    <w:rsid w:val="00C344D4"/>
    <w:rsid w:val="00C347EE"/>
    <w:rsid w:val="00C35094"/>
    <w:rsid w:val="00C3727E"/>
    <w:rsid w:val="00C411C2"/>
    <w:rsid w:val="00C4320F"/>
    <w:rsid w:val="00C45763"/>
    <w:rsid w:val="00C466DC"/>
    <w:rsid w:val="00C46D21"/>
    <w:rsid w:val="00C47513"/>
    <w:rsid w:val="00C5222C"/>
    <w:rsid w:val="00C54392"/>
    <w:rsid w:val="00C54669"/>
    <w:rsid w:val="00C547C4"/>
    <w:rsid w:val="00C558E2"/>
    <w:rsid w:val="00C653C2"/>
    <w:rsid w:val="00C707B8"/>
    <w:rsid w:val="00C7180B"/>
    <w:rsid w:val="00C81D97"/>
    <w:rsid w:val="00C902A4"/>
    <w:rsid w:val="00C90D4A"/>
    <w:rsid w:val="00C93481"/>
    <w:rsid w:val="00C94DB1"/>
    <w:rsid w:val="00C9717B"/>
    <w:rsid w:val="00CA086B"/>
    <w:rsid w:val="00CA17E8"/>
    <w:rsid w:val="00CA2D05"/>
    <w:rsid w:val="00CA52F6"/>
    <w:rsid w:val="00CA633E"/>
    <w:rsid w:val="00CC3FD3"/>
    <w:rsid w:val="00CC517A"/>
    <w:rsid w:val="00CD2308"/>
    <w:rsid w:val="00CE33AA"/>
    <w:rsid w:val="00CF0C34"/>
    <w:rsid w:val="00CF389F"/>
    <w:rsid w:val="00CF6E0E"/>
    <w:rsid w:val="00CF7F7B"/>
    <w:rsid w:val="00D022A8"/>
    <w:rsid w:val="00D02903"/>
    <w:rsid w:val="00D02C84"/>
    <w:rsid w:val="00D05DE4"/>
    <w:rsid w:val="00D05F55"/>
    <w:rsid w:val="00D05FB8"/>
    <w:rsid w:val="00D07B6A"/>
    <w:rsid w:val="00D10943"/>
    <w:rsid w:val="00D11650"/>
    <w:rsid w:val="00D144FE"/>
    <w:rsid w:val="00D177FB"/>
    <w:rsid w:val="00D213B2"/>
    <w:rsid w:val="00D224B4"/>
    <w:rsid w:val="00D22EFB"/>
    <w:rsid w:val="00D27F6A"/>
    <w:rsid w:val="00D31434"/>
    <w:rsid w:val="00D31903"/>
    <w:rsid w:val="00D31F2C"/>
    <w:rsid w:val="00D3240A"/>
    <w:rsid w:val="00D35C9E"/>
    <w:rsid w:val="00D37139"/>
    <w:rsid w:val="00D402DA"/>
    <w:rsid w:val="00D405A3"/>
    <w:rsid w:val="00D41A46"/>
    <w:rsid w:val="00D42420"/>
    <w:rsid w:val="00D44BA6"/>
    <w:rsid w:val="00D459B5"/>
    <w:rsid w:val="00D4716D"/>
    <w:rsid w:val="00D52DDB"/>
    <w:rsid w:val="00D562B7"/>
    <w:rsid w:val="00D57978"/>
    <w:rsid w:val="00D57A82"/>
    <w:rsid w:val="00D60EB3"/>
    <w:rsid w:val="00D61EAB"/>
    <w:rsid w:val="00D64836"/>
    <w:rsid w:val="00D64897"/>
    <w:rsid w:val="00D74908"/>
    <w:rsid w:val="00D77D38"/>
    <w:rsid w:val="00D77E1E"/>
    <w:rsid w:val="00D86BD5"/>
    <w:rsid w:val="00D901BD"/>
    <w:rsid w:val="00D90CCD"/>
    <w:rsid w:val="00D92A15"/>
    <w:rsid w:val="00D97694"/>
    <w:rsid w:val="00DA16BA"/>
    <w:rsid w:val="00DA3B3E"/>
    <w:rsid w:val="00DA4511"/>
    <w:rsid w:val="00DB17CF"/>
    <w:rsid w:val="00DB1A83"/>
    <w:rsid w:val="00DB41D8"/>
    <w:rsid w:val="00DB5022"/>
    <w:rsid w:val="00DB53B2"/>
    <w:rsid w:val="00DC0248"/>
    <w:rsid w:val="00DC1BD3"/>
    <w:rsid w:val="00DC36F8"/>
    <w:rsid w:val="00DC6B7D"/>
    <w:rsid w:val="00DC6E50"/>
    <w:rsid w:val="00DD7068"/>
    <w:rsid w:val="00DF1FAD"/>
    <w:rsid w:val="00DF5932"/>
    <w:rsid w:val="00DF67AC"/>
    <w:rsid w:val="00E025FE"/>
    <w:rsid w:val="00E05362"/>
    <w:rsid w:val="00E0554B"/>
    <w:rsid w:val="00E0594F"/>
    <w:rsid w:val="00E05C39"/>
    <w:rsid w:val="00E1350D"/>
    <w:rsid w:val="00E14ECB"/>
    <w:rsid w:val="00E172E3"/>
    <w:rsid w:val="00E1793E"/>
    <w:rsid w:val="00E228B4"/>
    <w:rsid w:val="00E25DBA"/>
    <w:rsid w:val="00E266A4"/>
    <w:rsid w:val="00E26D9D"/>
    <w:rsid w:val="00E27444"/>
    <w:rsid w:val="00E27EE5"/>
    <w:rsid w:val="00E348AD"/>
    <w:rsid w:val="00E36F36"/>
    <w:rsid w:val="00E43E8D"/>
    <w:rsid w:val="00E47CAF"/>
    <w:rsid w:val="00E555F6"/>
    <w:rsid w:val="00E55D46"/>
    <w:rsid w:val="00E63D44"/>
    <w:rsid w:val="00E66CFA"/>
    <w:rsid w:val="00E70AE6"/>
    <w:rsid w:val="00E7133F"/>
    <w:rsid w:val="00E731E7"/>
    <w:rsid w:val="00E745CD"/>
    <w:rsid w:val="00E81BA8"/>
    <w:rsid w:val="00E84A17"/>
    <w:rsid w:val="00E84B52"/>
    <w:rsid w:val="00E85B89"/>
    <w:rsid w:val="00E85D69"/>
    <w:rsid w:val="00E9112F"/>
    <w:rsid w:val="00E9162B"/>
    <w:rsid w:val="00E94A55"/>
    <w:rsid w:val="00E97B23"/>
    <w:rsid w:val="00EA0861"/>
    <w:rsid w:val="00EA1D18"/>
    <w:rsid w:val="00EA5183"/>
    <w:rsid w:val="00EB04DD"/>
    <w:rsid w:val="00EB27C5"/>
    <w:rsid w:val="00EB2B99"/>
    <w:rsid w:val="00EB497D"/>
    <w:rsid w:val="00EB5C7F"/>
    <w:rsid w:val="00EC185F"/>
    <w:rsid w:val="00EC191C"/>
    <w:rsid w:val="00EC1A4C"/>
    <w:rsid w:val="00EC2F52"/>
    <w:rsid w:val="00EC426F"/>
    <w:rsid w:val="00ED0F9B"/>
    <w:rsid w:val="00ED1113"/>
    <w:rsid w:val="00ED3356"/>
    <w:rsid w:val="00ED6CEB"/>
    <w:rsid w:val="00ED7FBB"/>
    <w:rsid w:val="00EE6D5A"/>
    <w:rsid w:val="00EE781A"/>
    <w:rsid w:val="00EF2838"/>
    <w:rsid w:val="00EF3CF5"/>
    <w:rsid w:val="00EF5C14"/>
    <w:rsid w:val="00F00A83"/>
    <w:rsid w:val="00F03A85"/>
    <w:rsid w:val="00F05468"/>
    <w:rsid w:val="00F10888"/>
    <w:rsid w:val="00F10D60"/>
    <w:rsid w:val="00F10E8B"/>
    <w:rsid w:val="00F11893"/>
    <w:rsid w:val="00F1312E"/>
    <w:rsid w:val="00F15092"/>
    <w:rsid w:val="00F15EA6"/>
    <w:rsid w:val="00F23C59"/>
    <w:rsid w:val="00F245A7"/>
    <w:rsid w:val="00F274D1"/>
    <w:rsid w:val="00F300EB"/>
    <w:rsid w:val="00F32219"/>
    <w:rsid w:val="00F345F1"/>
    <w:rsid w:val="00F3557B"/>
    <w:rsid w:val="00F37B39"/>
    <w:rsid w:val="00F418FE"/>
    <w:rsid w:val="00F428AE"/>
    <w:rsid w:val="00F43D84"/>
    <w:rsid w:val="00F45289"/>
    <w:rsid w:val="00F4591E"/>
    <w:rsid w:val="00F460B3"/>
    <w:rsid w:val="00F5051E"/>
    <w:rsid w:val="00F50FB9"/>
    <w:rsid w:val="00F543B4"/>
    <w:rsid w:val="00F550EA"/>
    <w:rsid w:val="00F60B3B"/>
    <w:rsid w:val="00F6140F"/>
    <w:rsid w:val="00F6220A"/>
    <w:rsid w:val="00F63514"/>
    <w:rsid w:val="00F63BF7"/>
    <w:rsid w:val="00F65109"/>
    <w:rsid w:val="00F67A4F"/>
    <w:rsid w:val="00F723B8"/>
    <w:rsid w:val="00F7340F"/>
    <w:rsid w:val="00F76CE4"/>
    <w:rsid w:val="00F8408C"/>
    <w:rsid w:val="00F913D0"/>
    <w:rsid w:val="00F92B3A"/>
    <w:rsid w:val="00F935B5"/>
    <w:rsid w:val="00F95422"/>
    <w:rsid w:val="00F96C35"/>
    <w:rsid w:val="00F976FC"/>
    <w:rsid w:val="00FA238C"/>
    <w:rsid w:val="00FA2943"/>
    <w:rsid w:val="00FA5C10"/>
    <w:rsid w:val="00FA6280"/>
    <w:rsid w:val="00FB4BCB"/>
    <w:rsid w:val="00FB5A66"/>
    <w:rsid w:val="00FB650E"/>
    <w:rsid w:val="00FB7924"/>
    <w:rsid w:val="00FC13E3"/>
    <w:rsid w:val="00FC18DD"/>
    <w:rsid w:val="00FC208F"/>
    <w:rsid w:val="00FC4DDB"/>
    <w:rsid w:val="00FC5D1A"/>
    <w:rsid w:val="00FD0D12"/>
    <w:rsid w:val="00FD10EF"/>
    <w:rsid w:val="00FD5D14"/>
    <w:rsid w:val="00FE051D"/>
    <w:rsid w:val="00FE12C2"/>
    <w:rsid w:val="00FE1C7D"/>
    <w:rsid w:val="00FE460F"/>
    <w:rsid w:val="00FE5F2D"/>
    <w:rsid w:val="00FE62DE"/>
    <w:rsid w:val="00FF0075"/>
    <w:rsid w:val="00FF2B13"/>
    <w:rsid w:val="00FF40AA"/>
    <w:rsid w:val="00FF4CBB"/>
    <w:rsid w:val="00FF5588"/>
    <w:rsid w:val="00FF5C94"/>
    <w:rsid w:val="00FF692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510"/>
    <w:pPr>
      <w:spacing w:after="120"/>
    </w:pPr>
    <w:rPr>
      <w:rFonts w:ascii="Arial" w:hAnsi="Arial"/>
      <w:sz w:val="22"/>
      <w:szCs w:val="24"/>
      <w:lang w:eastAsia="en-US"/>
    </w:rPr>
  </w:style>
  <w:style w:type="paragraph" w:styleId="Heading1">
    <w:name w:val="heading 1"/>
    <w:basedOn w:val="Normal"/>
    <w:next w:val="Normal"/>
    <w:link w:val="Heading1Char"/>
    <w:uiPriority w:val="9"/>
    <w:qFormat/>
    <w:rsid w:val="006444D3"/>
    <w:pPr>
      <w:keepNext/>
      <w:spacing w:before="120" w:after="240"/>
      <w:outlineLvl w:val="0"/>
    </w:pPr>
    <w:rPr>
      <w:b/>
      <w:bCs/>
      <w:kern w:val="32"/>
      <w:sz w:val="32"/>
      <w:szCs w:val="32"/>
    </w:rPr>
  </w:style>
  <w:style w:type="paragraph" w:styleId="Heading2">
    <w:name w:val="heading 2"/>
    <w:basedOn w:val="Normal"/>
    <w:next w:val="Normal"/>
    <w:link w:val="Heading2Char"/>
    <w:uiPriority w:val="9"/>
    <w:qFormat/>
    <w:rsid w:val="0066783F"/>
    <w:pPr>
      <w:keepNext/>
      <w:spacing w:before="120"/>
      <w:outlineLvl w:val="1"/>
    </w:pPr>
    <w:rPr>
      <w:b/>
      <w:bCs/>
      <w:iCs/>
      <w:sz w:val="28"/>
      <w:szCs w:val="28"/>
    </w:rPr>
  </w:style>
  <w:style w:type="paragraph" w:styleId="Heading3">
    <w:name w:val="heading 3"/>
    <w:basedOn w:val="Normal"/>
    <w:next w:val="Normal"/>
    <w:link w:val="Heading3Char"/>
    <w:autoRedefine/>
    <w:unhideWhenUsed/>
    <w:qFormat/>
    <w:rsid w:val="006A692D"/>
    <w:pPr>
      <w:keepNext/>
      <w:spacing w:before="120" w:after="60"/>
      <w:outlineLvl w:val="2"/>
    </w:pPr>
    <w:rPr>
      <w:b/>
      <w:bCs/>
      <w:color w:val="000000" w:themeColor="text1"/>
      <w:sz w:val="24"/>
      <w:szCs w:val="32"/>
      <w:lang w:bidi="en-US"/>
    </w:rPr>
  </w:style>
  <w:style w:type="paragraph" w:styleId="Heading4">
    <w:name w:val="heading 4"/>
    <w:basedOn w:val="Normal"/>
    <w:next w:val="Normal"/>
    <w:link w:val="Heading4Char"/>
    <w:unhideWhenUsed/>
    <w:qFormat/>
    <w:rsid w:val="00D10943"/>
    <w:pPr>
      <w:keepNext/>
      <w:spacing w:after="0"/>
      <w:outlineLvl w:val="3"/>
    </w:pPr>
    <w:rPr>
      <w:b/>
      <w:bCs/>
      <w:sz w:val="24"/>
      <w:szCs w:val="28"/>
    </w:rPr>
  </w:style>
  <w:style w:type="paragraph" w:styleId="Heading5">
    <w:name w:val="heading 5"/>
    <w:basedOn w:val="Normal"/>
    <w:next w:val="Normal"/>
    <w:link w:val="Heading5Char"/>
    <w:uiPriority w:val="9"/>
    <w:unhideWhenUsed/>
    <w:qFormat/>
    <w:rsid w:val="00BC5F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4D3"/>
    <w:rPr>
      <w:rFonts w:ascii="Arial" w:hAnsi="Arial"/>
      <w:b/>
      <w:bCs/>
      <w:kern w:val="32"/>
      <w:sz w:val="32"/>
      <w:szCs w:val="32"/>
    </w:rPr>
  </w:style>
  <w:style w:type="character" w:customStyle="1" w:styleId="Heading2Char">
    <w:name w:val="Heading 2 Char"/>
    <w:link w:val="Heading2"/>
    <w:uiPriority w:val="9"/>
    <w:rsid w:val="0066783F"/>
    <w:rPr>
      <w:rFonts w:ascii="Arial" w:hAnsi="Arial"/>
      <w:b/>
      <w:bCs/>
      <w:iCs/>
      <w:sz w:val="28"/>
      <w:szCs w:val="28"/>
    </w:rPr>
  </w:style>
  <w:style w:type="paragraph" w:customStyle="1" w:styleId="StyleCaptionArial">
    <w:name w:val="Style Caption + Arial"/>
    <w:basedOn w:val="Caption"/>
    <w:link w:val="StyleCaptionArialChar"/>
    <w:rsid w:val="006D7D41"/>
    <w:pPr>
      <w:spacing w:after="40"/>
    </w:pPr>
  </w:style>
  <w:style w:type="character" w:customStyle="1" w:styleId="StyleCaptionArialChar">
    <w:name w:val="Style Caption + Arial Char"/>
    <w:link w:val="StyleCaptionArial"/>
    <w:rsid w:val="006D7D41"/>
    <w:rPr>
      <w:rFonts w:ascii="Arial" w:hAnsi="Arial"/>
      <w:b/>
      <w:bCs/>
    </w:rPr>
  </w:style>
  <w:style w:type="paragraph" w:styleId="Caption">
    <w:name w:val="caption"/>
    <w:basedOn w:val="Normal"/>
    <w:next w:val="Normal"/>
    <w:unhideWhenUsed/>
    <w:qFormat/>
    <w:rsid w:val="00AB438E"/>
    <w:pPr>
      <w:spacing w:after="60"/>
    </w:pPr>
    <w:rPr>
      <w:b/>
      <w:bCs/>
      <w:sz w:val="20"/>
      <w:szCs w:val="20"/>
    </w:rPr>
  </w:style>
  <w:style w:type="paragraph" w:styleId="Header">
    <w:name w:val="header"/>
    <w:basedOn w:val="Normal"/>
    <w:link w:val="HeaderChar"/>
    <w:rsid w:val="00C94DB1"/>
    <w:pPr>
      <w:tabs>
        <w:tab w:val="center" w:pos="4680"/>
        <w:tab w:val="right" w:pos="9360"/>
      </w:tabs>
    </w:pPr>
    <w:rPr>
      <w:rFonts w:ascii="Times New Roman" w:hAnsi="Times New Roman"/>
      <w:sz w:val="24"/>
    </w:rPr>
  </w:style>
  <w:style w:type="character" w:customStyle="1" w:styleId="HeaderChar">
    <w:name w:val="Header Char"/>
    <w:link w:val="Header"/>
    <w:rsid w:val="00C94DB1"/>
    <w:rPr>
      <w:sz w:val="24"/>
      <w:szCs w:val="24"/>
    </w:rPr>
  </w:style>
  <w:style w:type="paragraph" w:styleId="Footer">
    <w:name w:val="footer"/>
    <w:basedOn w:val="Normal"/>
    <w:link w:val="FooterChar"/>
    <w:uiPriority w:val="99"/>
    <w:rsid w:val="00C94DB1"/>
    <w:pPr>
      <w:tabs>
        <w:tab w:val="center" w:pos="4680"/>
        <w:tab w:val="right" w:pos="9360"/>
      </w:tabs>
    </w:pPr>
    <w:rPr>
      <w:rFonts w:ascii="Times New Roman" w:hAnsi="Times New Roman"/>
      <w:sz w:val="24"/>
    </w:rPr>
  </w:style>
  <w:style w:type="character" w:customStyle="1" w:styleId="FooterChar">
    <w:name w:val="Footer Char"/>
    <w:link w:val="Footer"/>
    <w:uiPriority w:val="99"/>
    <w:rsid w:val="00C94DB1"/>
    <w:rPr>
      <w:sz w:val="24"/>
      <w:szCs w:val="24"/>
    </w:rPr>
  </w:style>
  <w:style w:type="character" w:customStyle="1" w:styleId="Heading3Char">
    <w:name w:val="Heading 3 Char"/>
    <w:link w:val="Heading3"/>
    <w:rsid w:val="006A692D"/>
    <w:rPr>
      <w:rFonts w:ascii="Arial" w:hAnsi="Arial"/>
      <w:b/>
      <w:bCs/>
      <w:color w:val="000000" w:themeColor="text1"/>
      <w:sz w:val="24"/>
      <w:szCs w:val="32"/>
      <w:lang w:eastAsia="en-US" w:bidi="en-US"/>
    </w:rPr>
  </w:style>
  <w:style w:type="character" w:customStyle="1" w:styleId="Heading4Char">
    <w:name w:val="Heading 4 Char"/>
    <w:link w:val="Heading4"/>
    <w:rsid w:val="00D10943"/>
    <w:rPr>
      <w:rFonts w:ascii="Arial" w:hAnsi="Arial"/>
      <w:b/>
      <w:bCs/>
      <w:sz w:val="24"/>
      <w:szCs w:val="28"/>
      <w:lang w:eastAsia="en-US"/>
    </w:rPr>
  </w:style>
  <w:style w:type="character" w:styleId="CommentReference">
    <w:name w:val="annotation reference"/>
    <w:uiPriority w:val="99"/>
    <w:unhideWhenUsed/>
    <w:rsid w:val="00B3196A"/>
    <w:rPr>
      <w:sz w:val="16"/>
      <w:szCs w:val="16"/>
    </w:rPr>
  </w:style>
  <w:style w:type="paragraph" w:styleId="CommentText">
    <w:name w:val="annotation text"/>
    <w:basedOn w:val="Normal"/>
    <w:link w:val="CommentTextChar"/>
    <w:uiPriority w:val="99"/>
    <w:unhideWhenUsed/>
    <w:rsid w:val="00B3196A"/>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B3196A"/>
    <w:rPr>
      <w:rFonts w:ascii="Calibri" w:eastAsia="Calibri" w:hAnsi="Calibri"/>
      <w:lang w:eastAsia="en-US"/>
    </w:rPr>
  </w:style>
  <w:style w:type="paragraph" w:styleId="BalloonText">
    <w:name w:val="Balloon Text"/>
    <w:basedOn w:val="Normal"/>
    <w:link w:val="BalloonTextChar"/>
    <w:rsid w:val="00B3196A"/>
    <w:rPr>
      <w:rFonts w:ascii="Tahoma" w:hAnsi="Tahoma"/>
      <w:sz w:val="16"/>
      <w:szCs w:val="16"/>
    </w:rPr>
  </w:style>
  <w:style w:type="character" w:customStyle="1" w:styleId="BalloonTextChar">
    <w:name w:val="Balloon Text Char"/>
    <w:link w:val="BalloonText"/>
    <w:rsid w:val="00B3196A"/>
    <w:rPr>
      <w:rFonts w:ascii="Tahoma" w:hAnsi="Tahoma" w:cs="Tahoma"/>
      <w:sz w:val="16"/>
      <w:szCs w:val="16"/>
      <w:lang w:val="en-US" w:eastAsia="en-US"/>
    </w:rPr>
  </w:style>
  <w:style w:type="paragraph" w:styleId="FootnoteText">
    <w:name w:val="footnote text"/>
    <w:basedOn w:val="Normal"/>
    <w:link w:val="FootnoteTextChar"/>
    <w:rsid w:val="00253DB3"/>
    <w:rPr>
      <w:sz w:val="20"/>
      <w:szCs w:val="20"/>
    </w:rPr>
  </w:style>
  <w:style w:type="character" w:customStyle="1" w:styleId="FootnoteTextChar">
    <w:name w:val="Footnote Text Char"/>
    <w:link w:val="FootnoteText"/>
    <w:rsid w:val="00253DB3"/>
    <w:rPr>
      <w:rFonts w:ascii="Arial" w:hAnsi="Arial"/>
      <w:lang w:val="en-US" w:eastAsia="en-US"/>
    </w:rPr>
  </w:style>
  <w:style w:type="character" w:styleId="FootnoteReference">
    <w:name w:val="footnote reference"/>
    <w:rsid w:val="00253DB3"/>
    <w:rPr>
      <w:vertAlign w:val="superscript"/>
    </w:rPr>
  </w:style>
  <w:style w:type="character" w:styleId="Hyperlink">
    <w:name w:val="Hyperlink"/>
    <w:uiPriority w:val="99"/>
    <w:rsid w:val="00160C13"/>
    <w:rPr>
      <w:color w:val="0000FF"/>
      <w:u w:val="single"/>
    </w:rPr>
  </w:style>
  <w:style w:type="paragraph" w:styleId="CommentSubject">
    <w:name w:val="annotation subject"/>
    <w:basedOn w:val="CommentText"/>
    <w:next w:val="CommentText"/>
    <w:link w:val="CommentSubjectChar"/>
    <w:rsid w:val="00517AD0"/>
    <w:pPr>
      <w:spacing w:after="0" w:line="240" w:lineRule="auto"/>
    </w:pPr>
    <w:rPr>
      <w:rFonts w:ascii="Arial" w:hAnsi="Arial"/>
      <w:b/>
      <w:bCs/>
      <w:lang w:val="en-US"/>
    </w:rPr>
  </w:style>
  <w:style w:type="character" w:customStyle="1" w:styleId="CommentSubjectChar">
    <w:name w:val="Comment Subject Char"/>
    <w:link w:val="CommentSubject"/>
    <w:rsid w:val="00517AD0"/>
    <w:rPr>
      <w:rFonts w:ascii="Arial" w:eastAsia="Calibri" w:hAnsi="Arial"/>
      <w:b/>
      <w:bCs/>
      <w:lang w:val="en-US" w:eastAsia="en-US"/>
    </w:rPr>
  </w:style>
  <w:style w:type="paragraph" w:styleId="ListParagraph">
    <w:name w:val="List Paragraph"/>
    <w:basedOn w:val="Normal"/>
    <w:uiPriority w:val="34"/>
    <w:qFormat/>
    <w:rsid w:val="00105296"/>
    <w:pPr>
      <w:ind w:left="720"/>
      <w:contextualSpacing/>
    </w:pPr>
    <w:rPr>
      <w:rFonts w:ascii="Times New Roman" w:hAnsi="Times New Roman"/>
      <w:sz w:val="24"/>
    </w:rPr>
  </w:style>
  <w:style w:type="paragraph" w:styleId="TOCHeading">
    <w:name w:val="TOC Heading"/>
    <w:basedOn w:val="Heading1"/>
    <w:next w:val="Normal"/>
    <w:uiPriority w:val="39"/>
    <w:unhideWhenUsed/>
    <w:qFormat/>
    <w:rsid w:val="00784786"/>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rsid w:val="00B74546"/>
  </w:style>
  <w:style w:type="paragraph" w:styleId="TOC2">
    <w:name w:val="toc 2"/>
    <w:basedOn w:val="Normal"/>
    <w:next w:val="Normal"/>
    <w:autoRedefine/>
    <w:uiPriority w:val="39"/>
    <w:rsid w:val="00784786"/>
    <w:pPr>
      <w:ind w:left="220"/>
    </w:pPr>
  </w:style>
  <w:style w:type="paragraph" w:styleId="TOC3">
    <w:name w:val="toc 3"/>
    <w:basedOn w:val="Normal"/>
    <w:next w:val="Normal"/>
    <w:autoRedefine/>
    <w:uiPriority w:val="39"/>
    <w:rsid w:val="00784786"/>
    <w:pPr>
      <w:ind w:left="440"/>
    </w:pPr>
  </w:style>
  <w:style w:type="paragraph" w:styleId="NoSpacing">
    <w:name w:val="No Spacing"/>
    <w:link w:val="NoSpacingChar"/>
    <w:uiPriority w:val="1"/>
    <w:qFormat/>
    <w:rsid w:val="00E14ECB"/>
    <w:rPr>
      <w:rFonts w:ascii="Calibri" w:hAnsi="Calibri"/>
      <w:sz w:val="22"/>
      <w:szCs w:val="22"/>
      <w:lang w:val="en-US" w:eastAsia="en-US"/>
    </w:rPr>
  </w:style>
  <w:style w:type="character" w:customStyle="1" w:styleId="NoSpacingChar">
    <w:name w:val="No Spacing Char"/>
    <w:link w:val="NoSpacing"/>
    <w:uiPriority w:val="1"/>
    <w:rsid w:val="00E14ECB"/>
    <w:rPr>
      <w:rFonts w:ascii="Calibri" w:hAnsi="Calibri"/>
      <w:sz w:val="22"/>
      <w:szCs w:val="22"/>
      <w:lang w:val="en-US" w:eastAsia="en-US" w:bidi="ar-SA"/>
    </w:rPr>
  </w:style>
  <w:style w:type="paragraph" w:styleId="TableofFigures">
    <w:name w:val="table of figures"/>
    <w:basedOn w:val="Normal"/>
    <w:next w:val="Normal"/>
    <w:uiPriority w:val="99"/>
    <w:rsid w:val="00F76CE4"/>
  </w:style>
  <w:style w:type="paragraph" w:styleId="Revision">
    <w:name w:val="Revision"/>
    <w:hidden/>
    <w:uiPriority w:val="99"/>
    <w:semiHidden/>
    <w:rsid w:val="004F4E3C"/>
    <w:rPr>
      <w:rFonts w:ascii="Arial" w:hAnsi="Arial"/>
      <w:sz w:val="22"/>
      <w:szCs w:val="24"/>
      <w:lang w:val="en-US" w:eastAsia="en-US"/>
    </w:rPr>
  </w:style>
  <w:style w:type="character" w:customStyle="1" w:styleId="Heading5Char">
    <w:name w:val="Heading 5 Char"/>
    <w:link w:val="Heading5"/>
    <w:uiPriority w:val="9"/>
    <w:rsid w:val="00BC5FA6"/>
    <w:rPr>
      <w:rFonts w:ascii="Calibri" w:hAnsi="Calibri"/>
      <w:b/>
      <w:bCs/>
      <w:i/>
      <w:iCs/>
      <w:sz w:val="26"/>
      <w:szCs w:val="26"/>
      <w:lang w:val="en-US" w:eastAsia="en-US"/>
    </w:rPr>
  </w:style>
  <w:style w:type="character" w:styleId="FollowedHyperlink">
    <w:name w:val="FollowedHyperlink"/>
    <w:rsid w:val="002D0FF8"/>
    <w:rPr>
      <w:color w:val="800080"/>
      <w:u w:val="single"/>
    </w:rPr>
  </w:style>
  <w:style w:type="paragraph" w:styleId="Title">
    <w:name w:val="Title"/>
    <w:basedOn w:val="Normal"/>
    <w:next w:val="Normal"/>
    <w:link w:val="TitleChar"/>
    <w:qFormat/>
    <w:rsid w:val="0043741D"/>
    <w:pPr>
      <w:spacing w:before="120" w:after="240"/>
      <w:contextualSpacing/>
      <w:jc w:val="center"/>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43741D"/>
    <w:rPr>
      <w:rFonts w:ascii="Arial" w:eastAsiaTheme="majorEastAsia" w:hAnsi="Arial" w:cstheme="majorBidi"/>
      <w:color w:val="000000" w:themeColor="text1"/>
      <w:spacing w:val="5"/>
      <w:kern w:val="28"/>
      <w:sz w:val="52"/>
      <w:szCs w:val="52"/>
      <w:lang w:eastAsia="en-US"/>
    </w:rPr>
  </w:style>
  <w:style w:type="table" w:styleId="TableGrid">
    <w:name w:val="Table Grid"/>
    <w:basedOn w:val="TableNormal"/>
    <w:rsid w:val="001A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43B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54257">
      <w:bodyDiv w:val="1"/>
      <w:marLeft w:val="0"/>
      <w:marRight w:val="0"/>
      <w:marTop w:val="0"/>
      <w:marBottom w:val="0"/>
      <w:divBdr>
        <w:top w:val="none" w:sz="0" w:space="0" w:color="auto"/>
        <w:left w:val="none" w:sz="0" w:space="0" w:color="auto"/>
        <w:bottom w:val="none" w:sz="0" w:space="0" w:color="auto"/>
        <w:right w:val="none" w:sz="0" w:space="0" w:color="auto"/>
      </w:divBdr>
    </w:div>
    <w:div w:id="259916912">
      <w:bodyDiv w:val="1"/>
      <w:marLeft w:val="0"/>
      <w:marRight w:val="0"/>
      <w:marTop w:val="0"/>
      <w:marBottom w:val="0"/>
      <w:divBdr>
        <w:top w:val="none" w:sz="0" w:space="0" w:color="auto"/>
        <w:left w:val="none" w:sz="0" w:space="0" w:color="auto"/>
        <w:bottom w:val="none" w:sz="0" w:space="0" w:color="auto"/>
        <w:right w:val="none" w:sz="0" w:space="0" w:color="auto"/>
      </w:divBdr>
    </w:div>
    <w:div w:id="475026743">
      <w:bodyDiv w:val="1"/>
      <w:marLeft w:val="0"/>
      <w:marRight w:val="0"/>
      <w:marTop w:val="0"/>
      <w:marBottom w:val="0"/>
      <w:divBdr>
        <w:top w:val="none" w:sz="0" w:space="0" w:color="auto"/>
        <w:left w:val="none" w:sz="0" w:space="0" w:color="auto"/>
        <w:bottom w:val="none" w:sz="0" w:space="0" w:color="auto"/>
        <w:right w:val="none" w:sz="0" w:space="0" w:color="auto"/>
      </w:divBdr>
    </w:div>
    <w:div w:id="1077021464">
      <w:bodyDiv w:val="1"/>
      <w:marLeft w:val="0"/>
      <w:marRight w:val="0"/>
      <w:marTop w:val="0"/>
      <w:marBottom w:val="0"/>
      <w:divBdr>
        <w:top w:val="none" w:sz="0" w:space="0" w:color="auto"/>
        <w:left w:val="none" w:sz="0" w:space="0" w:color="auto"/>
        <w:bottom w:val="none" w:sz="0" w:space="0" w:color="auto"/>
        <w:right w:val="none" w:sz="0" w:space="0" w:color="auto"/>
      </w:divBdr>
    </w:div>
    <w:div w:id="1270773321">
      <w:bodyDiv w:val="1"/>
      <w:marLeft w:val="0"/>
      <w:marRight w:val="0"/>
      <w:marTop w:val="0"/>
      <w:marBottom w:val="0"/>
      <w:divBdr>
        <w:top w:val="none" w:sz="0" w:space="0" w:color="auto"/>
        <w:left w:val="none" w:sz="0" w:space="0" w:color="auto"/>
        <w:bottom w:val="none" w:sz="0" w:space="0" w:color="auto"/>
        <w:right w:val="none" w:sz="0" w:space="0" w:color="auto"/>
      </w:divBdr>
    </w:div>
    <w:div w:id="1729063322">
      <w:bodyDiv w:val="1"/>
      <w:marLeft w:val="0"/>
      <w:marRight w:val="0"/>
      <w:marTop w:val="0"/>
      <w:marBottom w:val="0"/>
      <w:divBdr>
        <w:top w:val="none" w:sz="0" w:space="0" w:color="auto"/>
        <w:left w:val="none" w:sz="0" w:space="0" w:color="auto"/>
        <w:bottom w:val="none" w:sz="0" w:space="0" w:color="auto"/>
        <w:right w:val="none" w:sz="0" w:space="0" w:color="auto"/>
      </w:divBdr>
    </w:div>
    <w:div w:id="1763989364">
      <w:bodyDiv w:val="1"/>
      <w:marLeft w:val="0"/>
      <w:marRight w:val="0"/>
      <w:marTop w:val="0"/>
      <w:marBottom w:val="0"/>
      <w:divBdr>
        <w:top w:val="none" w:sz="0" w:space="0" w:color="auto"/>
        <w:left w:val="none" w:sz="0" w:space="0" w:color="auto"/>
        <w:bottom w:val="none" w:sz="0" w:space="0" w:color="auto"/>
        <w:right w:val="none" w:sz="0" w:space="0" w:color="auto"/>
      </w:divBdr>
    </w:div>
    <w:div w:id="1831486505">
      <w:bodyDiv w:val="1"/>
      <w:marLeft w:val="0"/>
      <w:marRight w:val="0"/>
      <w:marTop w:val="0"/>
      <w:marBottom w:val="0"/>
      <w:divBdr>
        <w:top w:val="none" w:sz="0" w:space="0" w:color="auto"/>
        <w:left w:val="none" w:sz="0" w:space="0" w:color="auto"/>
        <w:bottom w:val="none" w:sz="0" w:space="0" w:color="auto"/>
        <w:right w:val="none" w:sz="0" w:space="0" w:color="auto"/>
      </w:divBdr>
    </w:div>
    <w:div w:id="1991056242">
      <w:bodyDiv w:val="1"/>
      <w:marLeft w:val="0"/>
      <w:marRight w:val="0"/>
      <w:marTop w:val="0"/>
      <w:marBottom w:val="0"/>
      <w:divBdr>
        <w:top w:val="none" w:sz="0" w:space="0" w:color="auto"/>
        <w:left w:val="none" w:sz="0" w:space="0" w:color="auto"/>
        <w:bottom w:val="none" w:sz="0" w:space="0" w:color="auto"/>
        <w:right w:val="none" w:sz="0" w:space="0" w:color="auto"/>
      </w:divBdr>
    </w:div>
    <w:div w:id="21235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safeworkaustralia.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afeworkaustralia.gov.au/" TargetMode="External"/><Relationship Id="rId17" Type="http://schemas.openxmlformats.org/officeDocument/2006/relationships/chart" Target="charts/chart5.xml"/><Relationship Id="rId25" Type="http://schemas.openxmlformats.org/officeDocument/2006/relationships/hyperlink" Target="http://www.cdc.gov/niosh/topics/skin/recommendations.html%3e"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iosh/topics/skin/recommendations.htm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hsis.ascc.gov.au/" TargetMode="External"/><Relationship Id="rId19" Type="http://schemas.openxmlformats.org/officeDocument/2006/relationships/footer" Target="foot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CNSP010\FC2508$\My%20Documents\Chemicals%20report%20data%20&amp;%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hart>
    <c:autoTitleDeleted val="1"/>
    <c:plotArea>
      <c:layout/>
      <c:barChart>
        <c:barDir val="bar"/>
        <c:grouping val="clustered"/>
        <c:ser>
          <c:idx val="0"/>
          <c:order val="0"/>
          <c:tx>
            <c:strRef>
              <c:f>Sheet1!$B$3</c:f>
              <c:strCache>
                <c:ptCount val="1"/>
                <c:pt idx="0">
                  <c:v>Mean duration of exposure (h/week)</c:v>
                </c:pt>
              </c:strCache>
            </c:strRef>
          </c:tx>
          <c:cat>
            <c:strRef>
              <c:f>Sheet1!$A$4:$A$18</c:f>
              <c:strCache>
                <c:ptCount val="15"/>
                <c:pt idx="0">
                  <c:v>Finance &amp; insurance</c:v>
                </c:pt>
                <c:pt idx="1">
                  <c:v>Communication services</c:v>
                </c:pt>
                <c:pt idx="2">
                  <c:v>Government administration &amp; defence</c:v>
                </c:pt>
                <c:pt idx="3">
                  <c:v>Education</c:v>
                </c:pt>
                <c:pt idx="4">
                  <c:v>Electricity, gas &amp; water supply</c:v>
                </c:pt>
                <c:pt idx="5">
                  <c:v>Cultural, recreational &amp; personal services</c:v>
                </c:pt>
                <c:pt idx="6">
                  <c:v>Property &amp; business services</c:v>
                </c:pt>
                <c:pt idx="7">
                  <c:v>Retail &amp; wholesale trade</c:v>
                </c:pt>
                <c:pt idx="8">
                  <c:v>Transport &amp; storage</c:v>
                </c:pt>
                <c:pt idx="9">
                  <c:v>Health &amp; community services</c:v>
                </c:pt>
                <c:pt idx="10">
                  <c:v>Accommodation, cafes &amp; restaurants</c:v>
                </c:pt>
                <c:pt idx="11">
                  <c:v>Agriculture, forestry &amp; fishing</c:v>
                </c:pt>
                <c:pt idx="12">
                  <c:v>Manufacturing </c:v>
                </c:pt>
                <c:pt idx="13">
                  <c:v>Mining</c:v>
                </c:pt>
                <c:pt idx="14">
                  <c:v>Construction</c:v>
                </c:pt>
              </c:strCache>
            </c:strRef>
          </c:cat>
          <c:val>
            <c:numRef>
              <c:f>Sheet1!$B$4:$B$18</c:f>
              <c:numCache>
                <c:formatCode>0.00</c:formatCode>
                <c:ptCount val="15"/>
                <c:pt idx="0">
                  <c:v>6.6489400000000004E-2</c:v>
                </c:pt>
                <c:pt idx="1">
                  <c:v>0.23</c:v>
                </c:pt>
                <c:pt idx="2">
                  <c:v>0.86059669999999999</c:v>
                </c:pt>
                <c:pt idx="3">
                  <c:v>1.151367</c:v>
                </c:pt>
                <c:pt idx="4">
                  <c:v>2.1722969999999977</c:v>
                </c:pt>
                <c:pt idx="5">
                  <c:v>2.2296049999999998</c:v>
                </c:pt>
                <c:pt idx="6">
                  <c:v>2.275763</c:v>
                </c:pt>
                <c:pt idx="7">
                  <c:v>2.3738129999999922</c:v>
                </c:pt>
                <c:pt idx="8">
                  <c:v>3.0155049999999997</c:v>
                </c:pt>
                <c:pt idx="9">
                  <c:v>3.3362249999999967</c:v>
                </c:pt>
                <c:pt idx="10">
                  <c:v>3.7438189999999998</c:v>
                </c:pt>
                <c:pt idx="11">
                  <c:v>4.1999209999999945</c:v>
                </c:pt>
                <c:pt idx="12">
                  <c:v>4.459296000000017</c:v>
                </c:pt>
                <c:pt idx="13">
                  <c:v>4.5789470000000003</c:v>
                </c:pt>
                <c:pt idx="14">
                  <c:v>6.1792940000000014</c:v>
                </c:pt>
              </c:numCache>
            </c:numRef>
          </c:val>
        </c:ser>
        <c:axId val="234432384"/>
        <c:axId val="234433920"/>
      </c:barChart>
      <c:catAx>
        <c:axId val="234432384"/>
        <c:scaling>
          <c:orientation val="minMax"/>
        </c:scaling>
        <c:axPos val="l"/>
        <c:tickLblPos val="nextTo"/>
        <c:crossAx val="234433920"/>
        <c:crosses val="autoZero"/>
        <c:auto val="1"/>
        <c:lblAlgn val="ctr"/>
        <c:lblOffset val="100"/>
      </c:catAx>
      <c:valAx>
        <c:axId val="234433920"/>
        <c:scaling>
          <c:orientation val="minMax"/>
        </c:scaling>
        <c:axPos val="b"/>
        <c:majorGridlines/>
        <c:title>
          <c:tx>
            <c:rich>
              <a:bodyPr/>
              <a:lstStyle/>
              <a:p>
                <a:pPr>
                  <a:defRPr/>
                </a:pPr>
                <a:r>
                  <a:rPr lang="en-AU"/>
                  <a:t>Average hours per week</a:t>
                </a:r>
              </a:p>
            </c:rich>
          </c:tx>
        </c:title>
        <c:numFmt formatCode="0" sourceLinked="0"/>
        <c:tickLblPos val="nextTo"/>
        <c:crossAx val="234432384"/>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0774753938146442"/>
          <c:y val="3.9058985433698172E-2"/>
          <c:w val="0.8730673829843465"/>
          <c:h val="0.64404777206275265"/>
        </c:manualLayout>
      </c:layout>
      <c:barChart>
        <c:barDir val="col"/>
        <c:grouping val="clustered"/>
        <c:ser>
          <c:idx val="0"/>
          <c:order val="0"/>
          <c:tx>
            <c:strRef>
              <c:f>Sheet1!$H$3</c:f>
              <c:strCache>
                <c:ptCount val="1"/>
                <c:pt idx="0">
                  <c:v>Male</c:v>
                </c:pt>
              </c:strCache>
            </c:strRef>
          </c:tx>
          <c:spPr>
            <a:solidFill>
              <a:srgbClr val="00456B"/>
            </a:solidFill>
          </c:spPr>
          <c:cat>
            <c:strRef>
              <c:f>Sheet1!$G$4:$G$10</c:f>
              <c:strCache>
                <c:ptCount val="7"/>
                <c:pt idx="0">
                  <c:v>Bases &amp; alkalis</c:v>
                </c:pt>
                <c:pt idx="1">
                  <c:v>Disinfectants</c:v>
                </c:pt>
                <c:pt idx="2">
                  <c:v>Non- bituminous hydrocarbon fuels</c:v>
                </c:pt>
                <c:pt idx="3">
                  <c:v>Paints, varnishes &amp; inks</c:v>
                </c:pt>
                <c:pt idx="4">
                  <c:v>Cement &amp; lime</c:v>
                </c:pt>
                <c:pt idx="5">
                  <c:v>Detergents</c:v>
                </c:pt>
                <c:pt idx="6">
                  <c:v>Organic solvents</c:v>
                </c:pt>
              </c:strCache>
            </c:strRef>
          </c:cat>
          <c:val>
            <c:numRef>
              <c:f>Sheet1!$H$4:$H$10</c:f>
              <c:numCache>
                <c:formatCode>General</c:formatCode>
                <c:ptCount val="7"/>
                <c:pt idx="0">
                  <c:v>2.66</c:v>
                </c:pt>
                <c:pt idx="1">
                  <c:v>3.18</c:v>
                </c:pt>
                <c:pt idx="2">
                  <c:v>6.04</c:v>
                </c:pt>
                <c:pt idx="3">
                  <c:v>6.1199999999999966</c:v>
                </c:pt>
                <c:pt idx="4">
                  <c:v>6.84</c:v>
                </c:pt>
                <c:pt idx="5">
                  <c:v>8.9500000000000028</c:v>
                </c:pt>
                <c:pt idx="6">
                  <c:v>11.41</c:v>
                </c:pt>
              </c:numCache>
            </c:numRef>
          </c:val>
        </c:ser>
        <c:ser>
          <c:idx val="1"/>
          <c:order val="1"/>
          <c:tx>
            <c:strRef>
              <c:f>Sheet1!$I$3</c:f>
              <c:strCache>
                <c:ptCount val="1"/>
                <c:pt idx="0">
                  <c:v>Female</c:v>
                </c:pt>
              </c:strCache>
            </c:strRef>
          </c:tx>
          <c:spPr>
            <a:solidFill>
              <a:srgbClr val="C41230"/>
            </a:solidFill>
          </c:spPr>
          <c:cat>
            <c:strRef>
              <c:f>Sheet1!$G$4:$G$10</c:f>
              <c:strCache>
                <c:ptCount val="7"/>
                <c:pt idx="0">
                  <c:v>Bases &amp; alkalis</c:v>
                </c:pt>
                <c:pt idx="1">
                  <c:v>Disinfectants</c:v>
                </c:pt>
                <c:pt idx="2">
                  <c:v>Non- bituminous hydrocarbon fuels</c:v>
                </c:pt>
                <c:pt idx="3">
                  <c:v>Paints, varnishes &amp; inks</c:v>
                </c:pt>
                <c:pt idx="4">
                  <c:v>Cement &amp; lime</c:v>
                </c:pt>
                <c:pt idx="5">
                  <c:v>Detergents</c:v>
                </c:pt>
                <c:pt idx="6">
                  <c:v>Organic solvents</c:v>
                </c:pt>
              </c:strCache>
            </c:strRef>
          </c:cat>
          <c:val>
            <c:numRef>
              <c:f>Sheet1!$I$4:$I$10</c:f>
              <c:numCache>
                <c:formatCode>General</c:formatCode>
                <c:ptCount val="7"/>
                <c:pt idx="0">
                  <c:v>6.6499999999999995</c:v>
                </c:pt>
                <c:pt idx="1">
                  <c:v>13.4</c:v>
                </c:pt>
                <c:pt idx="2">
                  <c:v>0.76000000000000223</c:v>
                </c:pt>
                <c:pt idx="3">
                  <c:v>1.6600000000000001</c:v>
                </c:pt>
                <c:pt idx="4">
                  <c:v>0.2</c:v>
                </c:pt>
                <c:pt idx="5">
                  <c:v>17.479999999999986</c:v>
                </c:pt>
                <c:pt idx="6">
                  <c:v>8.92</c:v>
                </c:pt>
              </c:numCache>
            </c:numRef>
          </c:val>
        </c:ser>
        <c:axId val="236078976"/>
        <c:axId val="238987904"/>
      </c:barChart>
      <c:catAx>
        <c:axId val="236078976"/>
        <c:scaling>
          <c:orientation val="minMax"/>
        </c:scaling>
        <c:axPos val="b"/>
        <c:title>
          <c:tx>
            <c:rich>
              <a:bodyPr/>
              <a:lstStyle/>
              <a:p>
                <a:pPr>
                  <a:defRPr/>
                </a:pPr>
                <a:r>
                  <a:rPr lang="en-AU"/>
                  <a:t>Chemical</a:t>
                </a:r>
                <a:r>
                  <a:rPr lang="en-AU" baseline="0"/>
                  <a:t> exposure groups</a:t>
                </a:r>
                <a:endParaRPr lang="en-AU"/>
              </a:p>
            </c:rich>
          </c:tx>
          <c:layout>
            <c:manualLayout>
              <c:xMode val="edge"/>
              <c:yMode val="edge"/>
              <c:x val="0.40172699889023938"/>
              <c:y val="0.92169104089171461"/>
            </c:manualLayout>
          </c:layout>
        </c:title>
        <c:tickLblPos val="nextTo"/>
        <c:crossAx val="238987904"/>
        <c:crosses val="autoZero"/>
        <c:auto val="1"/>
        <c:lblAlgn val="ctr"/>
        <c:lblOffset val="100"/>
      </c:catAx>
      <c:valAx>
        <c:axId val="238987904"/>
        <c:scaling>
          <c:orientation val="minMax"/>
        </c:scaling>
        <c:axPos val="l"/>
        <c:majorGridlines/>
        <c:title>
          <c:tx>
            <c:rich>
              <a:bodyPr rot="-5400000" vert="horz"/>
              <a:lstStyle/>
              <a:p>
                <a:pPr>
                  <a:defRPr/>
                </a:pPr>
                <a:r>
                  <a:rPr lang="en-AU"/>
                  <a:t>Percentage of workers</a:t>
                </a:r>
              </a:p>
            </c:rich>
          </c:tx>
          <c:layout>
            <c:manualLayout>
              <c:xMode val="edge"/>
              <c:yMode val="edge"/>
              <c:x val="9.5374235938628527E-3"/>
              <c:y val="0.13670904547481949"/>
            </c:manualLayout>
          </c:layout>
        </c:title>
        <c:numFmt formatCode="General" sourceLinked="1"/>
        <c:tickLblPos val="nextTo"/>
        <c:crossAx val="236078976"/>
        <c:crosses val="autoZero"/>
        <c:crossBetween val="between"/>
      </c:valAx>
    </c:plotArea>
    <c:legend>
      <c:legendPos val="r"/>
      <c:layout>
        <c:manualLayout>
          <c:xMode val="edge"/>
          <c:yMode val="edge"/>
          <c:x val="3.3725669865231234E-2"/>
          <c:y val="0.84447514332505269"/>
          <c:w val="0.10426059997533869"/>
          <c:h val="0.15163863661049723"/>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6010249903596176E-2"/>
          <c:y val="3.7288059395598198E-2"/>
          <c:w val="0.88013616781314363"/>
          <c:h val="0.75560324480850771"/>
        </c:manualLayout>
      </c:layout>
      <c:barChart>
        <c:barDir val="col"/>
        <c:grouping val="clustered"/>
        <c:ser>
          <c:idx val="0"/>
          <c:order val="0"/>
          <c:tx>
            <c:strRef>
              <c:f>Sheet1!$L$3</c:f>
              <c:strCache>
                <c:ptCount val="1"/>
                <c:pt idx="0">
                  <c:v>15-24 years</c:v>
                </c:pt>
              </c:strCache>
            </c:strRef>
          </c:tx>
          <c:spPr>
            <a:solidFill>
              <a:srgbClr val="00456B"/>
            </a:solidFill>
          </c:spPr>
          <c:cat>
            <c:strRef>
              <c:f>Sheet1!$K$4:$K$10</c:f>
              <c:strCache>
                <c:ptCount val="7"/>
                <c:pt idx="0">
                  <c:v>Non- bituminous hydrocarbon fuels</c:v>
                </c:pt>
                <c:pt idx="1">
                  <c:v>Paints, varnishes &amp; inks</c:v>
                </c:pt>
                <c:pt idx="2">
                  <c:v>Bases &amp; alkalis</c:v>
                </c:pt>
                <c:pt idx="3">
                  <c:v>Cement &amp; lime</c:v>
                </c:pt>
                <c:pt idx="4">
                  <c:v>Disinfectants</c:v>
                </c:pt>
                <c:pt idx="5">
                  <c:v>Organic solvents</c:v>
                </c:pt>
                <c:pt idx="6">
                  <c:v>Detergents</c:v>
                </c:pt>
              </c:strCache>
            </c:strRef>
          </c:cat>
          <c:val>
            <c:numRef>
              <c:f>Sheet1!$L$4:$L$10</c:f>
              <c:numCache>
                <c:formatCode>0.00</c:formatCode>
                <c:ptCount val="7"/>
                <c:pt idx="0">
                  <c:v>3.6</c:v>
                </c:pt>
                <c:pt idx="1">
                  <c:v>5.6</c:v>
                </c:pt>
                <c:pt idx="2">
                  <c:v>6</c:v>
                </c:pt>
                <c:pt idx="3">
                  <c:v>6.8</c:v>
                </c:pt>
                <c:pt idx="4">
                  <c:v>10</c:v>
                </c:pt>
                <c:pt idx="5">
                  <c:v>10.8</c:v>
                </c:pt>
                <c:pt idx="6">
                  <c:v>22</c:v>
                </c:pt>
              </c:numCache>
            </c:numRef>
          </c:val>
        </c:ser>
        <c:ser>
          <c:idx val="1"/>
          <c:order val="1"/>
          <c:tx>
            <c:strRef>
              <c:f>Sheet1!$M$3</c:f>
              <c:strCache>
                <c:ptCount val="1"/>
                <c:pt idx="0">
                  <c:v>25-34 years</c:v>
                </c:pt>
              </c:strCache>
            </c:strRef>
          </c:tx>
          <c:spPr>
            <a:solidFill>
              <a:srgbClr val="C41230"/>
            </a:solidFill>
          </c:spPr>
          <c:cat>
            <c:strRef>
              <c:f>Sheet1!$K$4:$K$10</c:f>
              <c:strCache>
                <c:ptCount val="7"/>
                <c:pt idx="0">
                  <c:v>Non- bituminous hydrocarbon fuels</c:v>
                </c:pt>
                <c:pt idx="1">
                  <c:v>Paints, varnishes &amp; inks</c:v>
                </c:pt>
                <c:pt idx="2">
                  <c:v>Bases &amp; alkalis</c:v>
                </c:pt>
                <c:pt idx="3">
                  <c:v>Cement &amp; lime</c:v>
                </c:pt>
                <c:pt idx="4">
                  <c:v>Disinfectants</c:v>
                </c:pt>
                <c:pt idx="5">
                  <c:v>Organic solvents</c:v>
                </c:pt>
                <c:pt idx="6">
                  <c:v>Detergents</c:v>
                </c:pt>
              </c:strCache>
            </c:strRef>
          </c:cat>
          <c:val>
            <c:numRef>
              <c:f>Sheet1!$M$4:$M$10</c:f>
              <c:numCache>
                <c:formatCode>0.00</c:formatCode>
                <c:ptCount val="7"/>
                <c:pt idx="0">
                  <c:v>4.78</c:v>
                </c:pt>
                <c:pt idx="1">
                  <c:v>5.9</c:v>
                </c:pt>
                <c:pt idx="2">
                  <c:v>5.26</c:v>
                </c:pt>
                <c:pt idx="3">
                  <c:v>4.78</c:v>
                </c:pt>
                <c:pt idx="4">
                  <c:v>6.8599999999999985</c:v>
                </c:pt>
                <c:pt idx="5">
                  <c:v>11.32</c:v>
                </c:pt>
                <c:pt idx="6">
                  <c:v>13.72</c:v>
                </c:pt>
              </c:numCache>
            </c:numRef>
          </c:val>
        </c:ser>
        <c:ser>
          <c:idx val="2"/>
          <c:order val="2"/>
          <c:tx>
            <c:strRef>
              <c:f>Sheet1!$N$3</c:f>
              <c:strCache>
                <c:ptCount val="1"/>
                <c:pt idx="0">
                  <c:v>35-44 years</c:v>
                </c:pt>
              </c:strCache>
            </c:strRef>
          </c:tx>
          <c:spPr>
            <a:solidFill>
              <a:srgbClr val="716814"/>
            </a:solidFill>
          </c:spPr>
          <c:cat>
            <c:strRef>
              <c:f>Sheet1!$K$4:$K$10</c:f>
              <c:strCache>
                <c:ptCount val="7"/>
                <c:pt idx="0">
                  <c:v>Non- bituminous hydrocarbon fuels</c:v>
                </c:pt>
                <c:pt idx="1">
                  <c:v>Paints, varnishes &amp; inks</c:v>
                </c:pt>
                <c:pt idx="2">
                  <c:v>Bases &amp; alkalis</c:v>
                </c:pt>
                <c:pt idx="3">
                  <c:v>Cement &amp; lime</c:v>
                </c:pt>
                <c:pt idx="4">
                  <c:v>Disinfectants</c:v>
                </c:pt>
                <c:pt idx="5">
                  <c:v>Organic solvents</c:v>
                </c:pt>
                <c:pt idx="6">
                  <c:v>Detergents</c:v>
                </c:pt>
              </c:strCache>
            </c:strRef>
          </c:cat>
          <c:val>
            <c:numRef>
              <c:f>Sheet1!$N$4:$N$10</c:f>
              <c:numCache>
                <c:formatCode>0.00</c:formatCode>
                <c:ptCount val="7"/>
                <c:pt idx="0">
                  <c:v>4.09</c:v>
                </c:pt>
                <c:pt idx="1">
                  <c:v>4.09</c:v>
                </c:pt>
                <c:pt idx="2">
                  <c:v>4.4400000000000004</c:v>
                </c:pt>
                <c:pt idx="3">
                  <c:v>4.4400000000000004</c:v>
                </c:pt>
                <c:pt idx="4">
                  <c:v>6.53</c:v>
                </c:pt>
                <c:pt idx="5">
                  <c:v>11.23</c:v>
                </c:pt>
                <c:pt idx="6">
                  <c:v>12.88</c:v>
                </c:pt>
              </c:numCache>
            </c:numRef>
          </c:val>
        </c:ser>
        <c:ser>
          <c:idx val="3"/>
          <c:order val="3"/>
          <c:tx>
            <c:strRef>
              <c:f>Sheet1!$O$3</c:f>
              <c:strCache>
                <c:ptCount val="1"/>
                <c:pt idx="0">
                  <c:v>45-54 years</c:v>
                </c:pt>
              </c:strCache>
            </c:strRef>
          </c:tx>
          <c:spPr>
            <a:solidFill>
              <a:srgbClr val="56004E"/>
            </a:solidFill>
          </c:spPr>
          <c:cat>
            <c:strRef>
              <c:f>Sheet1!$K$4:$K$10</c:f>
              <c:strCache>
                <c:ptCount val="7"/>
                <c:pt idx="0">
                  <c:v>Non- bituminous hydrocarbon fuels</c:v>
                </c:pt>
                <c:pt idx="1">
                  <c:v>Paints, varnishes &amp; inks</c:v>
                </c:pt>
                <c:pt idx="2">
                  <c:v>Bases &amp; alkalis</c:v>
                </c:pt>
                <c:pt idx="3">
                  <c:v>Cement &amp; lime</c:v>
                </c:pt>
                <c:pt idx="4">
                  <c:v>Disinfectants</c:v>
                </c:pt>
                <c:pt idx="5">
                  <c:v>Organic solvents</c:v>
                </c:pt>
                <c:pt idx="6">
                  <c:v>Detergents</c:v>
                </c:pt>
              </c:strCache>
            </c:strRef>
          </c:cat>
          <c:val>
            <c:numRef>
              <c:f>Sheet1!$O$4:$O$10</c:f>
              <c:numCache>
                <c:formatCode>0.00</c:formatCode>
                <c:ptCount val="7"/>
                <c:pt idx="0">
                  <c:v>3.3499999999999988</c:v>
                </c:pt>
                <c:pt idx="1">
                  <c:v>3.42</c:v>
                </c:pt>
                <c:pt idx="2">
                  <c:v>4.51</c:v>
                </c:pt>
                <c:pt idx="3">
                  <c:v>3.4899999999999998</c:v>
                </c:pt>
                <c:pt idx="4">
                  <c:v>7.87</c:v>
                </c:pt>
                <c:pt idx="5">
                  <c:v>9.23</c:v>
                </c:pt>
                <c:pt idx="6">
                  <c:v>10.81</c:v>
                </c:pt>
              </c:numCache>
            </c:numRef>
          </c:val>
        </c:ser>
        <c:ser>
          <c:idx val="4"/>
          <c:order val="4"/>
          <c:tx>
            <c:strRef>
              <c:f>Sheet1!$P$3</c:f>
              <c:strCache>
                <c:ptCount val="1"/>
                <c:pt idx="0">
                  <c:v>55+ years</c:v>
                </c:pt>
              </c:strCache>
            </c:strRef>
          </c:tx>
          <c:spPr>
            <a:solidFill>
              <a:srgbClr val="505050"/>
            </a:solidFill>
          </c:spPr>
          <c:cat>
            <c:strRef>
              <c:f>Sheet1!$K$4:$K$10</c:f>
              <c:strCache>
                <c:ptCount val="7"/>
                <c:pt idx="0">
                  <c:v>Non- bituminous hydrocarbon fuels</c:v>
                </c:pt>
                <c:pt idx="1">
                  <c:v>Paints, varnishes &amp; inks</c:v>
                </c:pt>
                <c:pt idx="2">
                  <c:v>Bases &amp; alkalis</c:v>
                </c:pt>
                <c:pt idx="3">
                  <c:v>Cement &amp; lime</c:v>
                </c:pt>
                <c:pt idx="4">
                  <c:v>Disinfectants</c:v>
                </c:pt>
                <c:pt idx="5">
                  <c:v>Organic solvents</c:v>
                </c:pt>
                <c:pt idx="6">
                  <c:v>Detergents</c:v>
                </c:pt>
              </c:strCache>
            </c:strRef>
          </c:cat>
          <c:val>
            <c:numRef>
              <c:f>Sheet1!$P$4:$P$10</c:f>
              <c:numCache>
                <c:formatCode>0.00</c:formatCode>
                <c:ptCount val="7"/>
                <c:pt idx="0">
                  <c:v>3.2800000000000002</c:v>
                </c:pt>
                <c:pt idx="1">
                  <c:v>3.8899999999999997</c:v>
                </c:pt>
                <c:pt idx="2">
                  <c:v>3.38</c:v>
                </c:pt>
                <c:pt idx="3">
                  <c:v>2.66</c:v>
                </c:pt>
                <c:pt idx="4">
                  <c:v>8.4</c:v>
                </c:pt>
                <c:pt idx="5">
                  <c:v>10.14</c:v>
                </c:pt>
                <c:pt idx="6">
                  <c:v>12.09</c:v>
                </c:pt>
              </c:numCache>
            </c:numRef>
          </c:val>
        </c:ser>
        <c:axId val="178556928"/>
        <c:axId val="178558848"/>
      </c:barChart>
      <c:catAx>
        <c:axId val="178556928"/>
        <c:scaling>
          <c:orientation val="minMax"/>
        </c:scaling>
        <c:axPos val="b"/>
        <c:title>
          <c:tx>
            <c:rich>
              <a:bodyPr/>
              <a:lstStyle/>
              <a:p>
                <a:pPr>
                  <a:defRPr/>
                </a:pPr>
                <a:r>
                  <a:rPr lang="en-US"/>
                  <a:t>Chemical exposure groups</a:t>
                </a:r>
              </a:p>
            </c:rich>
          </c:tx>
        </c:title>
        <c:tickLblPos val="nextTo"/>
        <c:crossAx val="178558848"/>
        <c:crosses val="autoZero"/>
        <c:auto val="1"/>
        <c:lblAlgn val="ctr"/>
        <c:lblOffset val="100"/>
      </c:catAx>
      <c:valAx>
        <c:axId val="178558848"/>
        <c:scaling>
          <c:orientation val="minMax"/>
        </c:scaling>
        <c:axPos val="l"/>
        <c:majorGridlines/>
        <c:title>
          <c:tx>
            <c:rich>
              <a:bodyPr rot="-5400000" vert="horz"/>
              <a:lstStyle/>
              <a:p>
                <a:pPr>
                  <a:defRPr/>
                </a:pPr>
                <a:r>
                  <a:rPr lang="en-US"/>
                  <a:t>Percentage of workers</a:t>
                </a:r>
              </a:p>
            </c:rich>
          </c:tx>
          <c:layout>
            <c:manualLayout>
              <c:xMode val="edge"/>
              <c:yMode val="edge"/>
              <c:x val="7.2880463401790684E-3"/>
              <c:y val="0.24130294796273891"/>
            </c:manualLayout>
          </c:layout>
        </c:title>
        <c:numFmt formatCode="0" sourceLinked="0"/>
        <c:tickLblPos val="nextTo"/>
        <c:crossAx val="178556928"/>
        <c:crosses val="autoZero"/>
        <c:crossBetween val="between"/>
      </c:valAx>
    </c:plotArea>
    <c:legend>
      <c:legendPos val="r"/>
      <c:layout>
        <c:manualLayout>
          <c:xMode val="edge"/>
          <c:yMode val="edge"/>
          <c:x val="9.9895759475563228E-2"/>
          <c:y val="4.2544807843603934E-2"/>
          <c:w val="0.13537551881844137"/>
          <c:h val="0.30365933477458895"/>
        </c:manualLayout>
      </c:layout>
      <c:spPr>
        <a:solidFill>
          <a:schemeClr val="bg1"/>
        </a:solidFill>
      </c:sp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7426230812057549E-2"/>
          <c:y val="4.6116384984587422E-2"/>
          <c:w val="0.88093354807921487"/>
          <c:h val="0.67961944276080299"/>
        </c:manualLayout>
      </c:layout>
      <c:barChart>
        <c:barDir val="col"/>
        <c:grouping val="clustered"/>
        <c:ser>
          <c:idx val="0"/>
          <c:order val="0"/>
          <c:tx>
            <c:strRef>
              <c:f>Sheet1!$H$44</c:f>
              <c:strCache>
                <c:ptCount val="1"/>
                <c:pt idx="0">
                  <c:v>Permanent / fixed term</c:v>
                </c:pt>
              </c:strCache>
            </c:strRef>
          </c:tx>
          <c:spPr>
            <a:solidFill>
              <a:srgbClr val="00456B"/>
            </a:solidFill>
          </c:spPr>
          <c:cat>
            <c:strRef>
              <c:f>Sheet1!$G$45:$G$51</c:f>
              <c:strCache>
                <c:ptCount val="7"/>
                <c:pt idx="0">
                  <c:v>Cement &amp; lime</c:v>
                </c:pt>
                <c:pt idx="1">
                  <c:v>Non- bituminous hydrocarbon fuels </c:v>
                </c:pt>
                <c:pt idx="2">
                  <c:v>Paints, varnishes &amp; inks</c:v>
                </c:pt>
                <c:pt idx="3">
                  <c:v>Bases &amp; alkalis</c:v>
                </c:pt>
                <c:pt idx="4">
                  <c:v>Disinfectants </c:v>
                </c:pt>
                <c:pt idx="5">
                  <c:v>Organic solvents</c:v>
                </c:pt>
                <c:pt idx="6">
                  <c:v>Detergents </c:v>
                </c:pt>
              </c:strCache>
            </c:strRef>
          </c:cat>
          <c:val>
            <c:numRef>
              <c:f>Sheet1!$H$45:$H$51</c:f>
              <c:numCache>
                <c:formatCode>0.00</c:formatCode>
                <c:ptCount val="7"/>
                <c:pt idx="0">
                  <c:v>2.3899999999999997</c:v>
                </c:pt>
                <c:pt idx="1">
                  <c:v>3.68</c:v>
                </c:pt>
                <c:pt idx="2">
                  <c:v>3.74</c:v>
                </c:pt>
                <c:pt idx="3">
                  <c:v>4.3599999999999985</c:v>
                </c:pt>
                <c:pt idx="4">
                  <c:v>7.3199999999999985</c:v>
                </c:pt>
                <c:pt idx="5">
                  <c:v>11.16</c:v>
                </c:pt>
                <c:pt idx="6">
                  <c:v>12.360000000000024</c:v>
                </c:pt>
              </c:numCache>
            </c:numRef>
          </c:val>
        </c:ser>
        <c:ser>
          <c:idx val="1"/>
          <c:order val="1"/>
          <c:tx>
            <c:strRef>
              <c:f>Sheet1!$I$44</c:f>
              <c:strCache>
                <c:ptCount val="1"/>
                <c:pt idx="0">
                  <c:v>Temporary / casual </c:v>
                </c:pt>
              </c:strCache>
            </c:strRef>
          </c:tx>
          <c:spPr>
            <a:solidFill>
              <a:srgbClr val="C41230"/>
            </a:solidFill>
          </c:spPr>
          <c:cat>
            <c:strRef>
              <c:f>Sheet1!$G$45:$G$51</c:f>
              <c:strCache>
                <c:ptCount val="7"/>
                <c:pt idx="0">
                  <c:v>Cement &amp; lime</c:v>
                </c:pt>
                <c:pt idx="1">
                  <c:v>Non- bituminous hydrocarbon fuels </c:v>
                </c:pt>
                <c:pt idx="2">
                  <c:v>Paints, varnishes &amp; inks</c:v>
                </c:pt>
                <c:pt idx="3">
                  <c:v>Bases &amp; alkalis</c:v>
                </c:pt>
                <c:pt idx="4">
                  <c:v>Disinfectants </c:v>
                </c:pt>
                <c:pt idx="5">
                  <c:v>Organic solvents</c:v>
                </c:pt>
                <c:pt idx="6">
                  <c:v>Detergents </c:v>
                </c:pt>
              </c:strCache>
            </c:strRef>
          </c:cat>
          <c:val>
            <c:numRef>
              <c:f>Sheet1!$I$45:$I$51</c:f>
              <c:numCache>
                <c:formatCode>0.00</c:formatCode>
                <c:ptCount val="7"/>
                <c:pt idx="0">
                  <c:v>3.03</c:v>
                </c:pt>
                <c:pt idx="1">
                  <c:v>2.84</c:v>
                </c:pt>
                <c:pt idx="2">
                  <c:v>4.17</c:v>
                </c:pt>
                <c:pt idx="3">
                  <c:v>6.63</c:v>
                </c:pt>
                <c:pt idx="4">
                  <c:v>12.12</c:v>
                </c:pt>
                <c:pt idx="5">
                  <c:v>9.2800000000000011</c:v>
                </c:pt>
                <c:pt idx="6">
                  <c:v>19.32</c:v>
                </c:pt>
              </c:numCache>
            </c:numRef>
          </c:val>
        </c:ser>
        <c:axId val="211085568"/>
        <c:axId val="211227008"/>
      </c:barChart>
      <c:catAx>
        <c:axId val="211085568"/>
        <c:scaling>
          <c:orientation val="minMax"/>
        </c:scaling>
        <c:axPos val="b"/>
        <c:title>
          <c:tx>
            <c:rich>
              <a:bodyPr/>
              <a:lstStyle/>
              <a:p>
                <a:pPr>
                  <a:defRPr/>
                </a:pPr>
                <a:r>
                  <a:rPr lang="en-US"/>
                  <a:t>Chemical exposure groups</a:t>
                </a:r>
              </a:p>
            </c:rich>
          </c:tx>
        </c:title>
        <c:tickLblPos val="nextTo"/>
        <c:crossAx val="211227008"/>
        <c:crosses val="autoZero"/>
        <c:auto val="1"/>
        <c:lblAlgn val="ctr"/>
        <c:lblOffset val="100"/>
      </c:catAx>
      <c:valAx>
        <c:axId val="211227008"/>
        <c:scaling>
          <c:orientation val="minMax"/>
        </c:scaling>
        <c:axPos val="l"/>
        <c:majorGridlines/>
        <c:title>
          <c:tx>
            <c:rich>
              <a:bodyPr rot="-5400000" vert="horz"/>
              <a:lstStyle/>
              <a:p>
                <a:pPr>
                  <a:defRPr/>
                </a:pPr>
                <a:r>
                  <a:rPr lang="en-US"/>
                  <a:t>Percentage of workers</a:t>
                </a:r>
              </a:p>
            </c:rich>
          </c:tx>
        </c:title>
        <c:numFmt formatCode="0" sourceLinked="0"/>
        <c:tickLblPos val="nextTo"/>
        <c:crossAx val="211085568"/>
        <c:crosses val="autoZero"/>
        <c:crossBetween val="between"/>
      </c:valAx>
    </c:plotArea>
    <c:legend>
      <c:legendPos val="r"/>
      <c:layout>
        <c:manualLayout>
          <c:xMode val="edge"/>
          <c:yMode val="edge"/>
          <c:x val="0.12987489965816118"/>
          <c:y val="7.3357981338157824E-2"/>
          <c:w val="0.25789124297607124"/>
          <c:h val="0.13175160800550517"/>
        </c:manualLayout>
      </c:layout>
      <c:spPr>
        <a:solidFill>
          <a:schemeClr val="bg1"/>
        </a:solidFill>
      </c:sp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2139310759529705E-2"/>
          <c:y val="4.0668570274869455E-2"/>
          <c:w val="0.89478641021265526"/>
          <c:h val="0.69093190274292637"/>
        </c:manualLayout>
      </c:layout>
      <c:barChart>
        <c:barDir val="col"/>
        <c:grouping val="clustered"/>
        <c:ser>
          <c:idx val="0"/>
          <c:order val="0"/>
          <c:tx>
            <c:strRef>
              <c:f>Sheet1!$L$44</c:f>
              <c:strCache>
                <c:ptCount val="1"/>
                <c:pt idx="0">
                  <c:v>1: highest skill</c:v>
                </c:pt>
              </c:strCache>
            </c:strRef>
          </c:tx>
          <c:spPr>
            <a:solidFill>
              <a:srgbClr val="00456B"/>
            </a:solidFill>
          </c:spPr>
          <c:cat>
            <c:strRef>
              <c:f>Sheet1!$K$45:$K$51</c:f>
              <c:strCache>
                <c:ptCount val="7"/>
                <c:pt idx="0">
                  <c:v>Non- bituminous hydrocarbon fuels </c:v>
                </c:pt>
                <c:pt idx="1">
                  <c:v>Paints, varnishes &amp; inks</c:v>
                </c:pt>
                <c:pt idx="2">
                  <c:v>Cement &amp; lime</c:v>
                </c:pt>
                <c:pt idx="3">
                  <c:v>Bases &amp; alkalis</c:v>
                </c:pt>
                <c:pt idx="4">
                  <c:v>Disinfectants </c:v>
                </c:pt>
                <c:pt idx="5">
                  <c:v>Organic solvents</c:v>
                </c:pt>
                <c:pt idx="6">
                  <c:v>Detergents </c:v>
                </c:pt>
              </c:strCache>
            </c:strRef>
          </c:cat>
          <c:val>
            <c:numRef>
              <c:f>Sheet1!$L$45:$L$51</c:f>
              <c:numCache>
                <c:formatCode>0.00</c:formatCode>
                <c:ptCount val="7"/>
                <c:pt idx="0">
                  <c:v>1.37</c:v>
                </c:pt>
                <c:pt idx="1">
                  <c:v>2.9299999999999997</c:v>
                </c:pt>
                <c:pt idx="2">
                  <c:v>2.3499999999999988</c:v>
                </c:pt>
                <c:pt idx="3">
                  <c:v>2.21</c:v>
                </c:pt>
                <c:pt idx="4">
                  <c:v>6.91</c:v>
                </c:pt>
                <c:pt idx="5">
                  <c:v>7.4300000000000024</c:v>
                </c:pt>
                <c:pt idx="6">
                  <c:v>8.08</c:v>
                </c:pt>
              </c:numCache>
            </c:numRef>
          </c:val>
        </c:ser>
        <c:ser>
          <c:idx val="1"/>
          <c:order val="1"/>
          <c:tx>
            <c:strRef>
              <c:f>Sheet1!$M$44</c:f>
              <c:strCache>
                <c:ptCount val="1"/>
                <c:pt idx="0">
                  <c:v>2</c:v>
                </c:pt>
              </c:strCache>
            </c:strRef>
          </c:tx>
          <c:spPr>
            <a:solidFill>
              <a:srgbClr val="C41230"/>
            </a:solidFill>
          </c:spPr>
          <c:cat>
            <c:strRef>
              <c:f>Sheet1!$K$45:$K$51</c:f>
              <c:strCache>
                <c:ptCount val="7"/>
                <c:pt idx="0">
                  <c:v>Non- bituminous hydrocarbon fuels </c:v>
                </c:pt>
                <c:pt idx="1">
                  <c:v>Paints, varnishes &amp; inks</c:v>
                </c:pt>
                <c:pt idx="2">
                  <c:v>Cement &amp; lime</c:v>
                </c:pt>
                <c:pt idx="3">
                  <c:v>Bases &amp; alkalis</c:v>
                </c:pt>
                <c:pt idx="4">
                  <c:v>Disinfectants </c:v>
                </c:pt>
                <c:pt idx="5">
                  <c:v>Organic solvents</c:v>
                </c:pt>
                <c:pt idx="6">
                  <c:v>Detergents </c:v>
                </c:pt>
              </c:strCache>
            </c:strRef>
          </c:cat>
          <c:val>
            <c:numRef>
              <c:f>Sheet1!$M$45:$M$51</c:f>
              <c:numCache>
                <c:formatCode>0.00</c:formatCode>
                <c:ptCount val="7"/>
                <c:pt idx="0">
                  <c:v>2.02</c:v>
                </c:pt>
                <c:pt idx="1">
                  <c:v>1.26</c:v>
                </c:pt>
                <c:pt idx="2">
                  <c:v>1.26</c:v>
                </c:pt>
                <c:pt idx="3">
                  <c:v>5.54</c:v>
                </c:pt>
                <c:pt idx="4">
                  <c:v>8.06</c:v>
                </c:pt>
                <c:pt idx="5">
                  <c:v>10.08</c:v>
                </c:pt>
                <c:pt idx="6">
                  <c:v>14.11</c:v>
                </c:pt>
              </c:numCache>
            </c:numRef>
          </c:val>
        </c:ser>
        <c:ser>
          <c:idx val="2"/>
          <c:order val="2"/>
          <c:tx>
            <c:strRef>
              <c:f>Sheet1!$N$44</c:f>
              <c:strCache>
                <c:ptCount val="1"/>
                <c:pt idx="0">
                  <c:v>3</c:v>
                </c:pt>
              </c:strCache>
            </c:strRef>
          </c:tx>
          <c:spPr>
            <a:solidFill>
              <a:srgbClr val="716814"/>
            </a:solidFill>
          </c:spPr>
          <c:cat>
            <c:strRef>
              <c:f>Sheet1!$K$45:$K$51</c:f>
              <c:strCache>
                <c:ptCount val="7"/>
                <c:pt idx="0">
                  <c:v>Non- bituminous hydrocarbon fuels </c:v>
                </c:pt>
                <c:pt idx="1">
                  <c:v>Paints, varnishes &amp; inks</c:v>
                </c:pt>
                <c:pt idx="2">
                  <c:v>Cement &amp; lime</c:v>
                </c:pt>
                <c:pt idx="3">
                  <c:v>Bases &amp; alkalis</c:v>
                </c:pt>
                <c:pt idx="4">
                  <c:v>Disinfectants </c:v>
                </c:pt>
                <c:pt idx="5">
                  <c:v>Organic solvents</c:v>
                </c:pt>
                <c:pt idx="6">
                  <c:v>Detergents </c:v>
                </c:pt>
              </c:strCache>
            </c:strRef>
          </c:cat>
          <c:val>
            <c:numRef>
              <c:f>Sheet1!$N$45:$N$51</c:f>
              <c:numCache>
                <c:formatCode>0.00</c:formatCode>
                <c:ptCount val="7"/>
                <c:pt idx="0">
                  <c:v>9.73</c:v>
                </c:pt>
                <c:pt idx="1">
                  <c:v>11.7</c:v>
                </c:pt>
                <c:pt idx="2">
                  <c:v>8.99</c:v>
                </c:pt>
                <c:pt idx="3">
                  <c:v>3.94</c:v>
                </c:pt>
                <c:pt idx="4">
                  <c:v>2.8299999999999987</c:v>
                </c:pt>
                <c:pt idx="5">
                  <c:v>20.939999999999987</c:v>
                </c:pt>
                <c:pt idx="6">
                  <c:v>8.3700000000000028</c:v>
                </c:pt>
              </c:numCache>
            </c:numRef>
          </c:val>
        </c:ser>
        <c:ser>
          <c:idx val="3"/>
          <c:order val="3"/>
          <c:tx>
            <c:strRef>
              <c:f>Sheet1!$O$44</c:f>
              <c:strCache>
                <c:ptCount val="1"/>
                <c:pt idx="0">
                  <c:v>4</c:v>
                </c:pt>
              </c:strCache>
            </c:strRef>
          </c:tx>
          <c:spPr>
            <a:solidFill>
              <a:srgbClr val="56004E"/>
            </a:solidFill>
          </c:spPr>
          <c:cat>
            <c:strRef>
              <c:f>Sheet1!$K$45:$K$51</c:f>
              <c:strCache>
                <c:ptCount val="7"/>
                <c:pt idx="0">
                  <c:v>Non- bituminous hydrocarbon fuels </c:v>
                </c:pt>
                <c:pt idx="1">
                  <c:v>Paints, varnishes &amp; inks</c:v>
                </c:pt>
                <c:pt idx="2">
                  <c:v>Cement &amp; lime</c:v>
                </c:pt>
                <c:pt idx="3">
                  <c:v>Bases &amp; alkalis</c:v>
                </c:pt>
                <c:pt idx="4">
                  <c:v>Disinfectants </c:v>
                </c:pt>
                <c:pt idx="5">
                  <c:v>Organic solvents</c:v>
                </c:pt>
                <c:pt idx="6">
                  <c:v>Detergents </c:v>
                </c:pt>
              </c:strCache>
            </c:strRef>
          </c:cat>
          <c:val>
            <c:numRef>
              <c:f>Sheet1!$O$45:$O$51</c:f>
              <c:numCache>
                <c:formatCode>0.00</c:formatCode>
                <c:ptCount val="7"/>
                <c:pt idx="0">
                  <c:v>3.29</c:v>
                </c:pt>
                <c:pt idx="1">
                  <c:v>1.6</c:v>
                </c:pt>
                <c:pt idx="2">
                  <c:v>2.16</c:v>
                </c:pt>
                <c:pt idx="3">
                  <c:v>5.35</c:v>
                </c:pt>
                <c:pt idx="4">
                  <c:v>11.17</c:v>
                </c:pt>
                <c:pt idx="5">
                  <c:v>6.1</c:v>
                </c:pt>
                <c:pt idx="6">
                  <c:v>16.899999999999999</c:v>
                </c:pt>
              </c:numCache>
            </c:numRef>
          </c:val>
        </c:ser>
        <c:ser>
          <c:idx val="4"/>
          <c:order val="4"/>
          <c:tx>
            <c:strRef>
              <c:f>Sheet1!$P$44</c:f>
              <c:strCache>
                <c:ptCount val="1"/>
                <c:pt idx="0">
                  <c:v>5: lowest skill</c:v>
                </c:pt>
              </c:strCache>
            </c:strRef>
          </c:tx>
          <c:spPr>
            <a:solidFill>
              <a:srgbClr val="505050"/>
            </a:solidFill>
          </c:spPr>
          <c:cat>
            <c:strRef>
              <c:f>Sheet1!$K$45:$K$51</c:f>
              <c:strCache>
                <c:ptCount val="7"/>
                <c:pt idx="0">
                  <c:v>Non- bituminous hydrocarbon fuels </c:v>
                </c:pt>
                <c:pt idx="1">
                  <c:v>Paints, varnishes &amp; inks</c:v>
                </c:pt>
                <c:pt idx="2">
                  <c:v>Cement &amp; lime</c:v>
                </c:pt>
                <c:pt idx="3">
                  <c:v>Bases &amp; alkalis</c:v>
                </c:pt>
                <c:pt idx="4">
                  <c:v>Disinfectants </c:v>
                </c:pt>
                <c:pt idx="5">
                  <c:v>Organic solvents</c:v>
                </c:pt>
                <c:pt idx="6">
                  <c:v>Detergents </c:v>
                </c:pt>
              </c:strCache>
            </c:strRef>
          </c:cat>
          <c:val>
            <c:numRef>
              <c:f>Sheet1!$P$45:$P$51</c:f>
              <c:numCache>
                <c:formatCode>0.00</c:formatCode>
                <c:ptCount val="7"/>
                <c:pt idx="0">
                  <c:v>3.77</c:v>
                </c:pt>
                <c:pt idx="1">
                  <c:v>3.77</c:v>
                </c:pt>
                <c:pt idx="2">
                  <c:v>6.35</c:v>
                </c:pt>
                <c:pt idx="3">
                  <c:v>8.75</c:v>
                </c:pt>
                <c:pt idx="4">
                  <c:v>10.63</c:v>
                </c:pt>
                <c:pt idx="5">
                  <c:v>11.49</c:v>
                </c:pt>
                <c:pt idx="6">
                  <c:v>22.979999999999986</c:v>
                </c:pt>
              </c:numCache>
            </c:numRef>
          </c:val>
        </c:ser>
        <c:axId val="211901440"/>
        <c:axId val="212653184"/>
      </c:barChart>
      <c:catAx>
        <c:axId val="211901440"/>
        <c:scaling>
          <c:orientation val="minMax"/>
        </c:scaling>
        <c:axPos val="b"/>
        <c:title>
          <c:tx>
            <c:rich>
              <a:bodyPr/>
              <a:lstStyle/>
              <a:p>
                <a:pPr>
                  <a:defRPr/>
                </a:pPr>
                <a:r>
                  <a:rPr lang="en-US"/>
                  <a:t>Chemical exposure groups</a:t>
                </a:r>
              </a:p>
            </c:rich>
          </c:tx>
        </c:title>
        <c:tickLblPos val="nextTo"/>
        <c:crossAx val="212653184"/>
        <c:crosses val="autoZero"/>
        <c:auto val="1"/>
        <c:lblAlgn val="ctr"/>
        <c:lblOffset val="100"/>
      </c:catAx>
      <c:valAx>
        <c:axId val="212653184"/>
        <c:scaling>
          <c:orientation val="minMax"/>
        </c:scaling>
        <c:axPos val="l"/>
        <c:majorGridlines/>
        <c:title>
          <c:tx>
            <c:rich>
              <a:bodyPr rot="-5400000" vert="horz"/>
              <a:lstStyle/>
              <a:p>
                <a:pPr>
                  <a:defRPr/>
                </a:pPr>
                <a:r>
                  <a:rPr lang="en-US"/>
                  <a:t>Percentage of workers</a:t>
                </a:r>
              </a:p>
            </c:rich>
          </c:tx>
        </c:title>
        <c:numFmt formatCode="0" sourceLinked="0"/>
        <c:tickLblPos val="nextTo"/>
        <c:crossAx val="211901440"/>
        <c:crosses val="autoZero"/>
        <c:crossBetween val="between"/>
      </c:valAx>
    </c:plotArea>
    <c:legend>
      <c:legendPos val="r"/>
      <c:layout>
        <c:manualLayout>
          <c:xMode val="edge"/>
          <c:yMode val="edge"/>
          <c:x val="0.10300205948970897"/>
          <c:y val="5.9680136136829084E-2"/>
          <c:w val="0.16168458551163975"/>
          <c:h val="0.3311888898503102"/>
        </c:manualLayout>
      </c:layout>
      <c:spPr>
        <a:solidFill>
          <a:schemeClr val="bg1"/>
        </a:solidFill>
      </c:sp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7291994270411145E-2"/>
          <c:y val="4.2784276242926723E-2"/>
          <c:w val="0.8849513876979832"/>
          <c:h val="0.66404836678652446"/>
        </c:manualLayout>
      </c:layout>
      <c:barChart>
        <c:barDir val="col"/>
        <c:grouping val="clustered"/>
        <c:ser>
          <c:idx val="0"/>
          <c:order val="0"/>
          <c:tx>
            <c:strRef>
              <c:f>Sheet1!$U$44</c:f>
              <c:strCache>
                <c:ptCount val="1"/>
                <c:pt idx="0">
                  <c:v>&lt; 5 employees</c:v>
                </c:pt>
              </c:strCache>
            </c:strRef>
          </c:tx>
          <c:spPr>
            <a:solidFill>
              <a:srgbClr val="00456B"/>
            </a:solidFill>
          </c:spPr>
          <c:cat>
            <c:strRef>
              <c:f>Sheet1!$T$45:$T$51</c:f>
              <c:strCache>
                <c:ptCount val="7"/>
                <c:pt idx="0">
                  <c:v>Bases &amp; alkalis </c:v>
                </c:pt>
                <c:pt idx="1">
                  <c:v>Non- bituminous hydrocarbon fuels</c:v>
                </c:pt>
                <c:pt idx="2">
                  <c:v>Paints, varnishes &amp; inks</c:v>
                </c:pt>
                <c:pt idx="3">
                  <c:v>Disinfectants</c:v>
                </c:pt>
                <c:pt idx="4">
                  <c:v>Cement &amp; lime</c:v>
                </c:pt>
                <c:pt idx="5">
                  <c:v>Organic solvents</c:v>
                </c:pt>
                <c:pt idx="6">
                  <c:v>Detergents</c:v>
                </c:pt>
              </c:strCache>
            </c:strRef>
          </c:cat>
          <c:val>
            <c:numRef>
              <c:f>Sheet1!$U$45:$U$51</c:f>
              <c:numCache>
                <c:formatCode>0</c:formatCode>
                <c:ptCount val="7"/>
                <c:pt idx="0">
                  <c:v>3.79</c:v>
                </c:pt>
                <c:pt idx="1">
                  <c:v>4.71</c:v>
                </c:pt>
                <c:pt idx="2">
                  <c:v>6.35</c:v>
                </c:pt>
                <c:pt idx="3">
                  <c:v>6.55</c:v>
                </c:pt>
                <c:pt idx="4">
                  <c:v>8.7000000000000011</c:v>
                </c:pt>
                <c:pt idx="5">
                  <c:v>9.42</c:v>
                </c:pt>
                <c:pt idx="6">
                  <c:v>10.850000000000026</c:v>
                </c:pt>
              </c:numCache>
            </c:numRef>
          </c:val>
        </c:ser>
        <c:ser>
          <c:idx val="1"/>
          <c:order val="1"/>
          <c:tx>
            <c:strRef>
              <c:f>Sheet1!$V$44</c:f>
              <c:strCache>
                <c:ptCount val="1"/>
                <c:pt idx="0">
                  <c:v>5-19 employees</c:v>
                </c:pt>
              </c:strCache>
            </c:strRef>
          </c:tx>
          <c:spPr>
            <a:solidFill>
              <a:srgbClr val="C41230"/>
            </a:solidFill>
          </c:spPr>
          <c:cat>
            <c:strRef>
              <c:f>Sheet1!$T$45:$T$51</c:f>
              <c:strCache>
                <c:ptCount val="7"/>
                <c:pt idx="0">
                  <c:v>Bases &amp; alkalis </c:v>
                </c:pt>
                <c:pt idx="1">
                  <c:v>Non- bituminous hydrocarbon fuels</c:v>
                </c:pt>
                <c:pt idx="2">
                  <c:v>Paints, varnishes &amp; inks</c:v>
                </c:pt>
                <c:pt idx="3">
                  <c:v>Disinfectants</c:v>
                </c:pt>
                <c:pt idx="4">
                  <c:v>Cement &amp; lime</c:v>
                </c:pt>
                <c:pt idx="5">
                  <c:v>Organic solvents</c:v>
                </c:pt>
                <c:pt idx="6">
                  <c:v>Detergents</c:v>
                </c:pt>
              </c:strCache>
            </c:strRef>
          </c:cat>
          <c:val>
            <c:numRef>
              <c:f>Sheet1!$V$45:$V$51</c:f>
              <c:numCache>
                <c:formatCode>0</c:formatCode>
                <c:ptCount val="7"/>
                <c:pt idx="0">
                  <c:v>4.92</c:v>
                </c:pt>
                <c:pt idx="1">
                  <c:v>4.29</c:v>
                </c:pt>
                <c:pt idx="2">
                  <c:v>4.5999999999999996</c:v>
                </c:pt>
                <c:pt idx="3">
                  <c:v>9</c:v>
                </c:pt>
                <c:pt idx="4">
                  <c:v>5.6499999999999995</c:v>
                </c:pt>
                <c:pt idx="5">
                  <c:v>10.88</c:v>
                </c:pt>
                <c:pt idx="6">
                  <c:v>15.59</c:v>
                </c:pt>
              </c:numCache>
            </c:numRef>
          </c:val>
        </c:ser>
        <c:ser>
          <c:idx val="2"/>
          <c:order val="2"/>
          <c:tx>
            <c:strRef>
              <c:f>Sheet1!$W$44</c:f>
              <c:strCache>
                <c:ptCount val="1"/>
                <c:pt idx="0">
                  <c:v>20-199 employees</c:v>
                </c:pt>
              </c:strCache>
            </c:strRef>
          </c:tx>
          <c:spPr>
            <a:solidFill>
              <a:srgbClr val="716814"/>
            </a:solidFill>
          </c:spPr>
          <c:cat>
            <c:strRef>
              <c:f>Sheet1!$T$45:$T$51</c:f>
              <c:strCache>
                <c:ptCount val="7"/>
                <c:pt idx="0">
                  <c:v>Bases &amp; alkalis </c:v>
                </c:pt>
                <c:pt idx="1">
                  <c:v>Non- bituminous hydrocarbon fuels</c:v>
                </c:pt>
                <c:pt idx="2">
                  <c:v>Paints, varnishes &amp; inks</c:v>
                </c:pt>
                <c:pt idx="3">
                  <c:v>Disinfectants</c:v>
                </c:pt>
                <c:pt idx="4">
                  <c:v>Cement &amp; lime</c:v>
                </c:pt>
                <c:pt idx="5">
                  <c:v>Organic solvents</c:v>
                </c:pt>
                <c:pt idx="6">
                  <c:v>Detergents</c:v>
                </c:pt>
              </c:strCache>
            </c:strRef>
          </c:cat>
          <c:val>
            <c:numRef>
              <c:f>Sheet1!$W$45:$W$51</c:f>
              <c:numCache>
                <c:formatCode>0</c:formatCode>
                <c:ptCount val="7"/>
                <c:pt idx="0">
                  <c:v>3.7</c:v>
                </c:pt>
                <c:pt idx="1">
                  <c:v>3.17</c:v>
                </c:pt>
                <c:pt idx="2">
                  <c:v>3.57</c:v>
                </c:pt>
                <c:pt idx="3">
                  <c:v>7.41</c:v>
                </c:pt>
                <c:pt idx="4">
                  <c:v>1.46</c:v>
                </c:pt>
                <c:pt idx="5">
                  <c:v>9.92</c:v>
                </c:pt>
                <c:pt idx="6">
                  <c:v>12.63</c:v>
                </c:pt>
              </c:numCache>
            </c:numRef>
          </c:val>
        </c:ser>
        <c:ser>
          <c:idx val="3"/>
          <c:order val="3"/>
          <c:tx>
            <c:strRef>
              <c:f>Sheet1!$X$44</c:f>
              <c:strCache>
                <c:ptCount val="1"/>
                <c:pt idx="0">
                  <c:v>200+ employees</c:v>
                </c:pt>
              </c:strCache>
            </c:strRef>
          </c:tx>
          <c:spPr>
            <a:solidFill>
              <a:srgbClr val="56004E"/>
            </a:solidFill>
          </c:spPr>
          <c:cat>
            <c:strRef>
              <c:f>Sheet1!$T$45:$T$51</c:f>
              <c:strCache>
                <c:ptCount val="7"/>
                <c:pt idx="0">
                  <c:v>Bases &amp; alkalis </c:v>
                </c:pt>
                <c:pt idx="1">
                  <c:v>Non- bituminous hydrocarbon fuels</c:v>
                </c:pt>
                <c:pt idx="2">
                  <c:v>Paints, varnishes &amp; inks</c:v>
                </c:pt>
                <c:pt idx="3">
                  <c:v>Disinfectants</c:v>
                </c:pt>
                <c:pt idx="4">
                  <c:v>Cement &amp; lime</c:v>
                </c:pt>
                <c:pt idx="5">
                  <c:v>Organic solvents</c:v>
                </c:pt>
                <c:pt idx="6">
                  <c:v>Detergents</c:v>
                </c:pt>
              </c:strCache>
            </c:strRef>
          </c:cat>
          <c:val>
            <c:numRef>
              <c:f>Sheet1!$X$45:$X$51</c:f>
              <c:numCache>
                <c:formatCode>0</c:formatCode>
                <c:ptCount val="7"/>
                <c:pt idx="0">
                  <c:v>5.3599999999999985</c:v>
                </c:pt>
                <c:pt idx="1">
                  <c:v>3.02</c:v>
                </c:pt>
                <c:pt idx="2">
                  <c:v>2.4299999999999997</c:v>
                </c:pt>
                <c:pt idx="3">
                  <c:v>8.08</c:v>
                </c:pt>
                <c:pt idx="4">
                  <c:v>1.27</c:v>
                </c:pt>
                <c:pt idx="5">
                  <c:v>10.81</c:v>
                </c:pt>
                <c:pt idx="6">
                  <c:v>11.59</c:v>
                </c:pt>
              </c:numCache>
            </c:numRef>
          </c:val>
        </c:ser>
        <c:axId val="213203968"/>
        <c:axId val="213992576"/>
      </c:barChart>
      <c:catAx>
        <c:axId val="213203968"/>
        <c:scaling>
          <c:orientation val="minMax"/>
        </c:scaling>
        <c:axPos val="b"/>
        <c:title>
          <c:tx>
            <c:rich>
              <a:bodyPr/>
              <a:lstStyle/>
              <a:p>
                <a:pPr>
                  <a:defRPr/>
                </a:pPr>
                <a:r>
                  <a:rPr lang="en-US"/>
                  <a:t>Chemical exposure groups</a:t>
                </a:r>
              </a:p>
            </c:rich>
          </c:tx>
        </c:title>
        <c:tickLblPos val="nextTo"/>
        <c:crossAx val="213992576"/>
        <c:crosses val="autoZero"/>
        <c:auto val="1"/>
        <c:lblAlgn val="ctr"/>
        <c:lblOffset val="100"/>
      </c:catAx>
      <c:valAx>
        <c:axId val="213992576"/>
        <c:scaling>
          <c:orientation val="minMax"/>
        </c:scaling>
        <c:axPos val="l"/>
        <c:majorGridlines/>
        <c:title>
          <c:tx>
            <c:rich>
              <a:bodyPr rot="-5400000" vert="horz"/>
              <a:lstStyle/>
              <a:p>
                <a:pPr>
                  <a:defRPr/>
                </a:pPr>
                <a:r>
                  <a:rPr lang="en-US"/>
                  <a:t>Percentage of workers</a:t>
                </a:r>
              </a:p>
            </c:rich>
          </c:tx>
          <c:layout>
            <c:manualLayout>
              <c:xMode val="edge"/>
              <c:yMode val="edge"/>
              <c:x val="9.1819197669574682E-3"/>
              <c:y val="0.18311289123541641"/>
            </c:manualLayout>
          </c:layout>
        </c:title>
        <c:numFmt formatCode="0" sourceLinked="1"/>
        <c:tickLblPos val="nextTo"/>
        <c:crossAx val="213203968"/>
        <c:crosses val="autoZero"/>
        <c:crossBetween val="between"/>
      </c:valAx>
    </c:plotArea>
    <c:legend>
      <c:legendPos val="r"/>
      <c:layout>
        <c:manualLayout>
          <c:xMode val="edge"/>
          <c:yMode val="edge"/>
          <c:x val="0.10646699767095796"/>
          <c:y val="5.2347488355863114E-2"/>
          <c:w val="0.20682329694674345"/>
          <c:h val="0.27873469573528742"/>
        </c:manualLayout>
      </c:layout>
      <c:spPr>
        <a:solidFill>
          <a:sysClr val="window" lastClr="FFFFFF"/>
        </a:solidFill>
      </c:sp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cationIdentifier xmlns="http://schemas.microsoft.com/sharepoint/v3/fields">978-0-642-33338-4</PublicationIdentifier>
    <ParentFolderID xmlns="http://schemas.microsoft.com/sharepoint/v3/fields">673</ParentFolderID>
  </documentManagement>
</p:properties>
</file>

<file path=customXml/itemProps1.xml><?xml version="1.0" encoding="utf-8"?>
<ds:datastoreItem xmlns:ds="http://schemas.openxmlformats.org/officeDocument/2006/customXml" ds:itemID="{14455355-A293-4BC1-8B50-1DFE21D79648}"/>
</file>

<file path=customXml/itemProps2.xml><?xml version="1.0" encoding="utf-8"?>
<ds:datastoreItem xmlns:ds="http://schemas.openxmlformats.org/officeDocument/2006/customXml" ds:itemID="{00104E32-344B-4293-8E98-D731A010E0D0}"/>
</file>

<file path=customXml/itemProps3.xml><?xml version="1.0" encoding="utf-8"?>
<ds:datastoreItem xmlns:ds="http://schemas.openxmlformats.org/officeDocument/2006/customXml" ds:itemID="{502552FE-0792-4487-8562-618318A632AB}"/>
</file>

<file path=docProps/app.xml><?xml version="1.0" encoding="utf-8"?>
<Properties xmlns="http://schemas.openxmlformats.org/officeDocument/2006/extended-properties" xmlns:vt="http://schemas.openxmlformats.org/officeDocument/2006/docPropsVTypes">
  <Template>Normal.dotm</Template>
  <TotalTime>0</TotalTime>
  <Pages>56</Pages>
  <Words>23064</Words>
  <Characters>169304</Characters>
  <Application>Microsoft Office Word</Application>
  <DocSecurity>4</DocSecurity>
  <Lines>4232</Lines>
  <Paragraphs>1563</Paragraphs>
  <ScaleCrop>false</ScaleCrop>
  <HeadingPairs>
    <vt:vector size="2" baseType="variant">
      <vt:variant>
        <vt:lpstr>Title</vt:lpstr>
      </vt:variant>
      <vt:variant>
        <vt:i4>1</vt:i4>
      </vt:variant>
    </vt:vector>
  </HeadingPairs>
  <TitlesOfParts>
    <vt:vector size="1" baseType="lpstr">
      <vt:lpstr>Chemical Exposures and the Provision of Controls in Australian Workplaces</vt:lpstr>
    </vt:vector>
  </TitlesOfParts>
  <Company>Monash Centre for Occupational and Environmental Health</Company>
  <LinksUpToDate>false</LinksUpToDate>
  <CharactersWithSpaces>190805</CharactersWithSpaces>
  <SharedDoc>false</SharedDoc>
  <HLinks>
    <vt:vector size="684" baseType="variant">
      <vt:variant>
        <vt:i4>589891</vt:i4>
      </vt:variant>
      <vt:variant>
        <vt:i4>809</vt:i4>
      </vt:variant>
      <vt:variant>
        <vt:i4>0</vt:i4>
      </vt:variant>
      <vt:variant>
        <vt:i4>5</vt:i4>
      </vt:variant>
      <vt:variant>
        <vt:lpwstr>http://www.safeworkaustralia.gov.au/</vt:lpwstr>
      </vt:variant>
      <vt:variant>
        <vt:lpwstr/>
      </vt:variant>
      <vt:variant>
        <vt:i4>1507383</vt:i4>
      </vt:variant>
      <vt:variant>
        <vt:i4>802</vt:i4>
      </vt:variant>
      <vt:variant>
        <vt:i4>0</vt:i4>
      </vt:variant>
      <vt:variant>
        <vt:i4>5</vt:i4>
      </vt:variant>
      <vt:variant>
        <vt:lpwstr/>
      </vt:variant>
      <vt:variant>
        <vt:lpwstr>_Toc302142236</vt:lpwstr>
      </vt:variant>
      <vt:variant>
        <vt:i4>1507383</vt:i4>
      </vt:variant>
      <vt:variant>
        <vt:i4>796</vt:i4>
      </vt:variant>
      <vt:variant>
        <vt:i4>0</vt:i4>
      </vt:variant>
      <vt:variant>
        <vt:i4>5</vt:i4>
      </vt:variant>
      <vt:variant>
        <vt:lpwstr/>
      </vt:variant>
      <vt:variant>
        <vt:lpwstr>_Toc302142235</vt:lpwstr>
      </vt:variant>
      <vt:variant>
        <vt:i4>1507383</vt:i4>
      </vt:variant>
      <vt:variant>
        <vt:i4>790</vt:i4>
      </vt:variant>
      <vt:variant>
        <vt:i4>0</vt:i4>
      </vt:variant>
      <vt:variant>
        <vt:i4>5</vt:i4>
      </vt:variant>
      <vt:variant>
        <vt:lpwstr/>
      </vt:variant>
      <vt:variant>
        <vt:lpwstr>_Toc302142234</vt:lpwstr>
      </vt:variant>
      <vt:variant>
        <vt:i4>1507383</vt:i4>
      </vt:variant>
      <vt:variant>
        <vt:i4>784</vt:i4>
      </vt:variant>
      <vt:variant>
        <vt:i4>0</vt:i4>
      </vt:variant>
      <vt:variant>
        <vt:i4>5</vt:i4>
      </vt:variant>
      <vt:variant>
        <vt:lpwstr/>
      </vt:variant>
      <vt:variant>
        <vt:lpwstr>_Toc302142233</vt:lpwstr>
      </vt:variant>
      <vt:variant>
        <vt:i4>1507383</vt:i4>
      </vt:variant>
      <vt:variant>
        <vt:i4>778</vt:i4>
      </vt:variant>
      <vt:variant>
        <vt:i4>0</vt:i4>
      </vt:variant>
      <vt:variant>
        <vt:i4>5</vt:i4>
      </vt:variant>
      <vt:variant>
        <vt:lpwstr/>
      </vt:variant>
      <vt:variant>
        <vt:lpwstr>_Toc302142232</vt:lpwstr>
      </vt:variant>
      <vt:variant>
        <vt:i4>1507383</vt:i4>
      </vt:variant>
      <vt:variant>
        <vt:i4>772</vt:i4>
      </vt:variant>
      <vt:variant>
        <vt:i4>0</vt:i4>
      </vt:variant>
      <vt:variant>
        <vt:i4>5</vt:i4>
      </vt:variant>
      <vt:variant>
        <vt:lpwstr/>
      </vt:variant>
      <vt:variant>
        <vt:lpwstr>_Toc302142231</vt:lpwstr>
      </vt:variant>
      <vt:variant>
        <vt:i4>1507383</vt:i4>
      </vt:variant>
      <vt:variant>
        <vt:i4>766</vt:i4>
      </vt:variant>
      <vt:variant>
        <vt:i4>0</vt:i4>
      </vt:variant>
      <vt:variant>
        <vt:i4>5</vt:i4>
      </vt:variant>
      <vt:variant>
        <vt:lpwstr/>
      </vt:variant>
      <vt:variant>
        <vt:lpwstr>_Toc302142230</vt:lpwstr>
      </vt:variant>
      <vt:variant>
        <vt:i4>1114167</vt:i4>
      </vt:variant>
      <vt:variant>
        <vt:i4>757</vt:i4>
      </vt:variant>
      <vt:variant>
        <vt:i4>0</vt:i4>
      </vt:variant>
      <vt:variant>
        <vt:i4>5</vt:i4>
      </vt:variant>
      <vt:variant>
        <vt:lpwstr/>
      </vt:variant>
      <vt:variant>
        <vt:lpwstr>_Toc302142252</vt:lpwstr>
      </vt:variant>
      <vt:variant>
        <vt:i4>1114167</vt:i4>
      </vt:variant>
      <vt:variant>
        <vt:i4>751</vt:i4>
      </vt:variant>
      <vt:variant>
        <vt:i4>0</vt:i4>
      </vt:variant>
      <vt:variant>
        <vt:i4>5</vt:i4>
      </vt:variant>
      <vt:variant>
        <vt:lpwstr/>
      </vt:variant>
      <vt:variant>
        <vt:lpwstr>_Toc302142251</vt:lpwstr>
      </vt:variant>
      <vt:variant>
        <vt:i4>1114167</vt:i4>
      </vt:variant>
      <vt:variant>
        <vt:i4>745</vt:i4>
      </vt:variant>
      <vt:variant>
        <vt:i4>0</vt:i4>
      </vt:variant>
      <vt:variant>
        <vt:i4>5</vt:i4>
      </vt:variant>
      <vt:variant>
        <vt:lpwstr/>
      </vt:variant>
      <vt:variant>
        <vt:lpwstr>_Toc302142250</vt:lpwstr>
      </vt:variant>
      <vt:variant>
        <vt:i4>1048631</vt:i4>
      </vt:variant>
      <vt:variant>
        <vt:i4>739</vt:i4>
      </vt:variant>
      <vt:variant>
        <vt:i4>0</vt:i4>
      </vt:variant>
      <vt:variant>
        <vt:i4>5</vt:i4>
      </vt:variant>
      <vt:variant>
        <vt:lpwstr/>
      </vt:variant>
      <vt:variant>
        <vt:lpwstr>_Toc302142249</vt:lpwstr>
      </vt:variant>
      <vt:variant>
        <vt:i4>1048631</vt:i4>
      </vt:variant>
      <vt:variant>
        <vt:i4>733</vt:i4>
      </vt:variant>
      <vt:variant>
        <vt:i4>0</vt:i4>
      </vt:variant>
      <vt:variant>
        <vt:i4>5</vt:i4>
      </vt:variant>
      <vt:variant>
        <vt:lpwstr/>
      </vt:variant>
      <vt:variant>
        <vt:lpwstr>_Toc302142248</vt:lpwstr>
      </vt:variant>
      <vt:variant>
        <vt:i4>1048631</vt:i4>
      </vt:variant>
      <vt:variant>
        <vt:i4>727</vt:i4>
      </vt:variant>
      <vt:variant>
        <vt:i4>0</vt:i4>
      </vt:variant>
      <vt:variant>
        <vt:i4>5</vt:i4>
      </vt:variant>
      <vt:variant>
        <vt:lpwstr/>
      </vt:variant>
      <vt:variant>
        <vt:lpwstr>_Toc302142247</vt:lpwstr>
      </vt:variant>
      <vt:variant>
        <vt:i4>1048631</vt:i4>
      </vt:variant>
      <vt:variant>
        <vt:i4>721</vt:i4>
      </vt:variant>
      <vt:variant>
        <vt:i4>0</vt:i4>
      </vt:variant>
      <vt:variant>
        <vt:i4>5</vt:i4>
      </vt:variant>
      <vt:variant>
        <vt:lpwstr/>
      </vt:variant>
      <vt:variant>
        <vt:lpwstr>_Toc302142246</vt:lpwstr>
      </vt:variant>
      <vt:variant>
        <vt:i4>1048631</vt:i4>
      </vt:variant>
      <vt:variant>
        <vt:i4>715</vt:i4>
      </vt:variant>
      <vt:variant>
        <vt:i4>0</vt:i4>
      </vt:variant>
      <vt:variant>
        <vt:i4>5</vt:i4>
      </vt:variant>
      <vt:variant>
        <vt:lpwstr/>
      </vt:variant>
      <vt:variant>
        <vt:lpwstr>_Toc302142245</vt:lpwstr>
      </vt:variant>
      <vt:variant>
        <vt:i4>1048631</vt:i4>
      </vt:variant>
      <vt:variant>
        <vt:i4>709</vt:i4>
      </vt:variant>
      <vt:variant>
        <vt:i4>0</vt:i4>
      </vt:variant>
      <vt:variant>
        <vt:i4>5</vt:i4>
      </vt:variant>
      <vt:variant>
        <vt:lpwstr/>
      </vt:variant>
      <vt:variant>
        <vt:lpwstr>_Toc302142244</vt:lpwstr>
      </vt:variant>
      <vt:variant>
        <vt:i4>1048631</vt:i4>
      </vt:variant>
      <vt:variant>
        <vt:i4>703</vt:i4>
      </vt:variant>
      <vt:variant>
        <vt:i4>0</vt:i4>
      </vt:variant>
      <vt:variant>
        <vt:i4>5</vt:i4>
      </vt:variant>
      <vt:variant>
        <vt:lpwstr/>
      </vt:variant>
      <vt:variant>
        <vt:lpwstr>_Toc302142243</vt:lpwstr>
      </vt:variant>
      <vt:variant>
        <vt:i4>1048631</vt:i4>
      </vt:variant>
      <vt:variant>
        <vt:i4>697</vt:i4>
      </vt:variant>
      <vt:variant>
        <vt:i4>0</vt:i4>
      </vt:variant>
      <vt:variant>
        <vt:i4>5</vt:i4>
      </vt:variant>
      <vt:variant>
        <vt:lpwstr/>
      </vt:variant>
      <vt:variant>
        <vt:lpwstr>_Toc302142242</vt:lpwstr>
      </vt:variant>
      <vt:variant>
        <vt:i4>1048631</vt:i4>
      </vt:variant>
      <vt:variant>
        <vt:i4>691</vt:i4>
      </vt:variant>
      <vt:variant>
        <vt:i4>0</vt:i4>
      </vt:variant>
      <vt:variant>
        <vt:i4>5</vt:i4>
      </vt:variant>
      <vt:variant>
        <vt:lpwstr/>
      </vt:variant>
      <vt:variant>
        <vt:lpwstr>_Toc302142241</vt:lpwstr>
      </vt:variant>
      <vt:variant>
        <vt:i4>1048631</vt:i4>
      </vt:variant>
      <vt:variant>
        <vt:i4>685</vt:i4>
      </vt:variant>
      <vt:variant>
        <vt:i4>0</vt:i4>
      </vt:variant>
      <vt:variant>
        <vt:i4>5</vt:i4>
      </vt:variant>
      <vt:variant>
        <vt:lpwstr/>
      </vt:variant>
      <vt:variant>
        <vt:lpwstr>_Toc302142240</vt:lpwstr>
      </vt:variant>
      <vt:variant>
        <vt:i4>917530</vt:i4>
      </vt:variant>
      <vt:variant>
        <vt:i4>679</vt:i4>
      </vt:variant>
      <vt:variant>
        <vt:i4>0</vt:i4>
      </vt:variant>
      <vt:variant>
        <vt:i4>5</vt:i4>
      </vt:variant>
      <vt:variant>
        <vt:lpwstr>http://www.cdc.gov/niosh/topics/skin/recommendations.html</vt:lpwstr>
      </vt:variant>
      <vt:variant>
        <vt:lpwstr/>
      </vt:variant>
      <vt:variant>
        <vt:i4>7274549</vt:i4>
      </vt:variant>
      <vt:variant>
        <vt:i4>676</vt:i4>
      </vt:variant>
      <vt:variant>
        <vt:i4>0</vt:i4>
      </vt:variant>
      <vt:variant>
        <vt:i4>5</vt:i4>
      </vt:variant>
      <vt:variant>
        <vt:lpwstr>http://www.safeworkaustralia.gov.au/Pages/default.aspx</vt:lpwstr>
      </vt:variant>
      <vt:variant>
        <vt:lpwstr/>
      </vt:variant>
      <vt:variant>
        <vt:i4>4915217</vt:i4>
      </vt:variant>
      <vt:variant>
        <vt:i4>673</vt:i4>
      </vt:variant>
      <vt:variant>
        <vt:i4>0</vt:i4>
      </vt:variant>
      <vt:variant>
        <vt:i4>5</vt:i4>
      </vt:variant>
      <vt:variant>
        <vt:lpwstr>http://hsis.ascc.gov.au/</vt:lpwstr>
      </vt:variant>
      <vt:variant>
        <vt:lpwstr/>
      </vt:variant>
      <vt:variant>
        <vt:i4>4325387</vt:i4>
      </vt:variant>
      <vt:variant>
        <vt:i4>667</vt:i4>
      </vt:variant>
      <vt:variant>
        <vt:i4>0</vt:i4>
      </vt:variant>
      <vt:variant>
        <vt:i4>5</vt:i4>
      </vt:variant>
      <vt:variant>
        <vt:lpwstr/>
      </vt:variant>
      <vt:variant>
        <vt:lpwstr>_ENREF_39</vt:lpwstr>
      </vt:variant>
      <vt:variant>
        <vt:i4>4325387</vt:i4>
      </vt:variant>
      <vt:variant>
        <vt:i4>664</vt:i4>
      </vt:variant>
      <vt:variant>
        <vt:i4>0</vt:i4>
      </vt:variant>
      <vt:variant>
        <vt:i4>5</vt:i4>
      </vt:variant>
      <vt:variant>
        <vt:lpwstr/>
      </vt:variant>
      <vt:variant>
        <vt:lpwstr>_ENREF_35</vt:lpwstr>
      </vt:variant>
      <vt:variant>
        <vt:i4>4325387</vt:i4>
      </vt:variant>
      <vt:variant>
        <vt:i4>661</vt:i4>
      </vt:variant>
      <vt:variant>
        <vt:i4>0</vt:i4>
      </vt:variant>
      <vt:variant>
        <vt:i4>5</vt:i4>
      </vt:variant>
      <vt:variant>
        <vt:lpwstr/>
      </vt:variant>
      <vt:variant>
        <vt:lpwstr>_ENREF_34</vt:lpwstr>
      </vt:variant>
      <vt:variant>
        <vt:i4>4194315</vt:i4>
      </vt:variant>
      <vt:variant>
        <vt:i4>653</vt:i4>
      </vt:variant>
      <vt:variant>
        <vt:i4>0</vt:i4>
      </vt:variant>
      <vt:variant>
        <vt:i4>5</vt:i4>
      </vt:variant>
      <vt:variant>
        <vt:lpwstr/>
      </vt:variant>
      <vt:variant>
        <vt:lpwstr>_ENREF_15</vt:lpwstr>
      </vt:variant>
      <vt:variant>
        <vt:i4>4194315</vt:i4>
      </vt:variant>
      <vt:variant>
        <vt:i4>650</vt:i4>
      </vt:variant>
      <vt:variant>
        <vt:i4>0</vt:i4>
      </vt:variant>
      <vt:variant>
        <vt:i4>5</vt:i4>
      </vt:variant>
      <vt:variant>
        <vt:lpwstr/>
      </vt:variant>
      <vt:variant>
        <vt:lpwstr>_ENREF_14</vt:lpwstr>
      </vt:variant>
      <vt:variant>
        <vt:i4>4325387</vt:i4>
      </vt:variant>
      <vt:variant>
        <vt:i4>647</vt:i4>
      </vt:variant>
      <vt:variant>
        <vt:i4>0</vt:i4>
      </vt:variant>
      <vt:variant>
        <vt:i4>5</vt:i4>
      </vt:variant>
      <vt:variant>
        <vt:lpwstr/>
      </vt:variant>
      <vt:variant>
        <vt:lpwstr>_ENREF_34</vt:lpwstr>
      </vt:variant>
      <vt:variant>
        <vt:i4>4521995</vt:i4>
      </vt:variant>
      <vt:variant>
        <vt:i4>612</vt:i4>
      </vt:variant>
      <vt:variant>
        <vt:i4>0</vt:i4>
      </vt:variant>
      <vt:variant>
        <vt:i4>5</vt:i4>
      </vt:variant>
      <vt:variant>
        <vt:lpwstr/>
      </vt:variant>
      <vt:variant>
        <vt:lpwstr>_ENREF_4</vt:lpwstr>
      </vt:variant>
      <vt:variant>
        <vt:i4>4653067</vt:i4>
      </vt:variant>
      <vt:variant>
        <vt:i4>606</vt:i4>
      </vt:variant>
      <vt:variant>
        <vt:i4>0</vt:i4>
      </vt:variant>
      <vt:variant>
        <vt:i4>5</vt:i4>
      </vt:variant>
      <vt:variant>
        <vt:lpwstr/>
      </vt:variant>
      <vt:variant>
        <vt:lpwstr>_ENREF_6</vt:lpwstr>
      </vt:variant>
      <vt:variant>
        <vt:i4>4521995</vt:i4>
      </vt:variant>
      <vt:variant>
        <vt:i4>597</vt:i4>
      </vt:variant>
      <vt:variant>
        <vt:i4>0</vt:i4>
      </vt:variant>
      <vt:variant>
        <vt:i4>5</vt:i4>
      </vt:variant>
      <vt:variant>
        <vt:lpwstr/>
      </vt:variant>
      <vt:variant>
        <vt:lpwstr>_ENREF_4</vt:lpwstr>
      </vt:variant>
      <vt:variant>
        <vt:i4>4194315</vt:i4>
      </vt:variant>
      <vt:variant>
        <vt:i4>591</vt:i4>
      </vt:variant>
      <vt:variant>
        <vt:i4>0</vt:i4>
      </vt:variant>
      <vt:variant>
        <vt:i4>5</vt:i4>
      </vt:variant>
      <vt:variant>
        <vt:lpwstr/>
      </vt:variant>
      <vt:variant>
        <vt:lpwstr>_ENREF_18</vt:lpwstr>
      </vt:variant>
      <vt:variant>
        <vt:i4>4194315</vt:i4>
      </vt:variant>
      <vt:variant>
        <vt:i4>510</vt:i4>
      </vt:variant>
      <vt:variant>
        <vt:i4>0</vt:i4>
      </vt:variant>
      <vt:variant>
        <vt:i4>5</vt:i4>
      </vt:variant>
      <vt:variant>
        <vt:lpwstr/>
      </vt:variant>
      <vt:variant>
        <vt:lpwstr>_ENREF_17</vt:lpwstr>
      </vt:variant>
      <vt:variant>
        <vt:i4>4390923</vt:i4>
      </vt:variant>
      <vt:variant>
        <vt:i4>456</vt:i4>
      </vt:variant>
      <vt:variant>
        <vt:i4>0</vt:i4>
      </vt:variant>
      <vt:variant>
        <vt:i4>5</vt:i4>
      </vt:variant>
      <vt:variant>
        <vt:lpwstr/>
      </vt:variant>
      <vt:variant>
        <vt:lpwstr>_ENREF_26</vt:lpwstr>
      </vt:variant>
      <vt:variant>
        <vt:i4>4390923</vt:i4>
      </vt:variant>
      <vt:variant>
        <vt:i4>444</vt:i4>
      </vt:variant>
      <vt:variant>
        <vt:i4>0</vt:i4>
      </vt:variant>
      <vt:variant>
        <vt:i4>5</vt:i4>
      </vt:variant>
      <vt:variant>
        <vt:lpwstr/>
      </vt:variant>
      <vt:variant>
        <vt:lpwstr>_ENREF_26</vt:lpwstr>
      </vt:variant>
      <vt:variant>
        <vt:i4>4718603</vt:i4>
      </vt:variant>
      <vt:variant>
        <vt:i4>438</vt:i4>
      </vt:variant>
      <vt:variant>
        <vt:i4>0</vt:i4>
      </vt:variant>
      <vt:variant>
        <vt:i4>5</vt:i4>
      </vt:variant>
      <vt:variant>
        <vt:lpwstr/>
      </vt:variant>
      <vt:variant>
        <vt:lpwstr>_ENREF_9</vt:lpwstr>
      </vt:variant>
      <vt:variant>
        <vt:i4>4390923</vt:i4>
      </vt:variant>
      <vt:variant>
        <vt:i4>432</vt:i4>
      </vt:variant>
      <vt:variant>
        <vt:i4>0</vt:i4>
      </vt:variant>
      <vt:variant>
        <vt:i4>5</vt:i4>
      </vt:variant>
      <vt:variant>
        <vt:lpwstr/>
      </vt:variant>
      <vt:variant>
        <vt:lpwstr>_ENREF_2</vt:lpwstr>
      </vt:variant>
      <vt:variant>
        <vt:i4>4194315</vt:i4>
      </vt:variant>
      <vt:variant>
        <vt:i4>426</vt:i4>
      </vt:variant>
      <vt:variant>
        <vt:i4>0</vt:i4>
      </vt:variant>
      <vt:variant>
        <vt:i4>5</vt:i4>
      </vt:variant>
      <vt:variant>
        <vt:lpwstr/>
      </vt:variant>
      <vt:variant>
        <vt:lpwstr>_ENREF_1</vt:lpwstr>
      </vt:variant>
      <vt:variant>
        <vt:i4>4521995</vt:i4>
      </vt:variant>
      <vt:variant>
        <vt:i4>420</vt:i4>
      </vt:variant>
      <vt:variant>
        <vt:i4>0</vt:i4>
      </vt:variant>
      <vt:variant>
        <vt:i4>5</vt:i4>
      </vt:variant>
      <vt:variant>
        <vt:lpwstr/>
      </vt:variant>
      <vt:variant>
        <vt:lpwstr>_ENREF_4</vt:lpwstr>
      </vt:variant>
      <vt:variant>
        <vt:i4>4390923</vt:i4>
      </vt:variant>
      <vt:variant>
        <vt:i4>414</vt:i4>
      </vt:variant>
      <vt:variant>
        <vt:i4>0</vt:i4>
      </vt:variant>
      <vt:variant>
        <vt:i4>5</vt:i4>
      </vt:variant>
      <vt:variant>
        <vt:lpwstr/>
      </vt:variant>
      <vt:variant>
        <vt:lpwstr>_ENREF_20</vt:lpwstr>
      </vt:variant>
      <vt:variant>
        <vt:i4>4390923</vt:i4>
      </vt:variant>
      <vt:variant>
        <vt:i4>411</vt:i4>
      </vt:variant>
      <vt:variant>
        <vt:i4>0</vt:i4>
      </vt:variant>
      <vt:variant>
        <vt:i4>5</vt:i4>
      </vt:variant>
      <vt:variant>
        <vt:lpwstr/>
      </vt:variant>
      <vt:variant>
        <vt:lpwstr>_ENREF_22</vt:lpwstr>
      </vt:variant>
      <vt:variant>
        <vt:i4>4390923</vt:i4>
      </vt:variant>
      <vt:variant>
        <vt:i4>408</vt:i4>
      </vt:variant>
      <vt:variant>
        <vt:i4>0</vt:i4>
      </vt:variant>
      <vt:variant>
        <vt:i4>5</vt:i4>
      </vt:variant>
      <vt:variant>
        <vt:lpwstr/>
      </vt:variant>
      <vt:variant>
        <vt:lpwstr>_ENREF_21</vt:lpwstr>
      </vt:variant>
      <vt:variant>
        <vt:i4>4325387</vt:i4>
      </vt:variant>
      <vt:variant>
        <vt:i4>400</vt:i4>
      </vt:variant>
      <vt:variant>
        <vt:i4>0</vt:i4>
      </vt:variant>
      <vt:variant>
        <vt:i4>5</vt:i4>
      </vt:variant>
      <vt:variant>
        <vt:lpwstr/>
      </vt:variant>
      <vt:variant>
        <vt:lpwstr>_ENREF_37</vt:lpwstr>
      </vt:variant>
      <vt:variant>
        <vt:i4>589891</vt:i4>
      </vt:variant>
      <vt:variant>
        <vt:i4>395</vt:i4>
      </vt:variant>
      <vt:variant>
        <vt:i4>0</vt:i4>
      </vt:variant>
      <vt:variant>
        <vt:i4>5</vt:i4>
      </vt:variant>
      <vt:variant>
        <vt:lpwstr>http://www.safeworkaustralia.gov.au/</vt:lpwstr>
      </vt:variant>
      <vt:variant>
        <vt:lpwstr/>
      </vt:variant>
      <vt:variant>
        <vt:i4>4325387</vt:i4>
      </vt:variant>
      <vt:variant>
        <vt:i4>391</vt:i4>
      </vt:variant>
      <vt:variant>
        <vt:i4>0</vt:i4>
      </vt:variant>
      <vt:variant>
        <vt:i4>5</vt:i4>
      </vt:variant>
      <vt:variant>
        <vt:lpwstr/>
      </vt:variant>
      <vt:variant>
        <vt:lpwstr>_ENREF_38</vt:lpwstr>
      </vt:variant>
      <vt:variant>
        <vt:i4>917530</vt:i4>
      </vt:variant>
      <vt:variant>
        <vt:i4>386</vt:i4>
      </vt:variant>
      <vt:variant>
        <vt:i4>0</vt:i4>
      </vt:variant>
      <vt:variant>
        <vt:i4>5</vt:i4>
      </vt:variant>
      <vt:variant>
        <vt:lpwstr>http://www.cdc.gov/niosh/topics/skin/recommendations.html</vt:lpwstr>
      </vt:variant>
      <vt:variant>
        <vt:lpwstr/>
      </vt:variant>
      <vt:variant>
        <vt:i4>4325387</vt:i4>
      </vt:variant>
      <vt:variant>
        <vt:i4>382</vt:i4>
      </vt:variant>
      <vt:variant>
        <vt:i4>0</vt:i4>
      </vt:variant>
      <vt:variant>
        <vt:i4>5</vt:i4>
      </vt:variant>
      <vt:variant>
        <vt:lpwstr/>
      </vt:variant>
      <vt:variant>
        <vt:lpwstr>_ENREF_3</vt:lpwstr>
      </vt:variant>
      <vt:variant>
        <vt:i4>4194315</vt:i4>
      </vt:variant>
      <vt:variant>
        <vt:i4>379</vt:i4>
      </vt:variant>
      <vt:variant>
        <vt:i4>0</vt:i4>
      </vt:variant>
      <vt:variant>
        <vt:i4>5</vt:i4>
      </vt:variant>
      <vt:variant>
        <vt:lpwstr/>
      </vt:variant>
      <vt:variant>
        <vt:lpwstr>_ENREF_10</vt:lpwstr>
      </vt:variant>
      <vt:variant>
        <vt:i4>4456459</vt:i4>
      </vt:variant>
      <vt:variant>
        <vt:i4>373</vt:i4>
      </vt:variant>
      <vt:variant>
        <vt:i4>0</vt:i4>
      </vt:variant>
      <vt:variant>
        <vt:i4>5</vt:i4>
      </vt:variant>
      <vt:variant>
        <vt:lpwstr/>
      </vt:variant>
      <vt:variant>
        <vt:lpwstr>_ENREF_5</vt:lpwstr>
      </vt:variant>
      <vt:variant>
        <vt:i4>4390923</vt:i4>
      </vt:variant>
      <vt:variant>
        <vt:i4>367</vt:i4>
      </vt:variant>
      <vt:variant>
        <vt:i4>0</vt:i4>
      </vt:variant>
      <vt:variant>
        <vt:i4>5</vt:i4>
      </vt:variant>
      <vt:variant>
        <vt:lpwstr/>
      </vt:variant>
      <vt:variant>
        <vt:lpwstr>_ENREF_24</vt:lpwstr>
      </vt:variant>
      <vt:variant>
        <vt:i4>4390923</vt:i4>
      </vt:variant>
      <vt:variant>
        <vt:i4>361</vt:i4>
      </vt:variant>
      <vt:variant>
        <vt:i4>0</vt:i4>
      </vt:variant>
      <vt:variant>
        <vt:i4>5</vt:i4>
      </vt:variant>
      <vt:variant>
        <vt:lpwstr/>
      </vt:variant>
      <vt:variant>
        <vt:lpwstr>_ENREF_25</vt:lpwstr>
      </vt:variant>
      <vt:variant>
        <vt:i4>4325387</vt:i4>
      </vt:variant>
      <vt:variant>
        <vt:i4>355</vt:i4>
      </vt:variant>
      <vt:variant>
        <vt:i4>0</vt:i4>
      </vt:variant>
      <vt:variant>
        <vt:i4>5</vt:i4>
      </vt:variant>
      <vt:variant>
        <vt:lpwstr/>
      </vt:variant>
      <vt:variant>
        <vt:lpwstr>_ENREF_36</vt:lpwstr>
      </vt:variant>
      <vt:variant>
        <vt:i4>4915217</vt:i4>
      </vt:variant>
      <vt:variant>
        <vt:i4>350</vt:i4>
      </vt:variant>
      <vt:variant>
        <vt:i4>0</vt:i4>
      </vt:variant>
      <vt:variant>
        <vt:i4>5</vt:i4>
      </vt:variant>
      <vt:variant>
        <vt:lpwstr>http://hsis.ascc.gov.au/</vt:lpwstr>
      </vt:variant>
      <vt:variant>
        <vt:lpwstr/>
      </vt:variant>
      <vt:variant>
        <vt:i4>4194315</vt:i4>
      </vt:variant>
      <vt:variant>
        <vt:i4>346</vt:i4>
      </vt:variant>
      <vt:variant>
        <vt:i4>0</vt:i4>
      </vt:variant>
      <vt:variant>
        <vt:i4>5</vt:i4>
      </vt:variant>
      <vt:variant>
        <vt:lpwstr/>
      </vt:variant>
      <vt:variant>
        <vt:lpwstr>_ENREF_12</vt:lpwstr>
      </vt:variant>
      <vt:variant>
        <vt:i4>4784139</vt:i4>
      </vt:variant>
      <vt:variant>
        <vt:i4>340</vt:i4>
      </vt:variant>
      <vt:variant>
        <vt:i4>0</vt:i4>
      </vt:variant>
      <vt:variant>
        <vt:i4>5</vt:i4>
      </vt:variant>
      <vt:variant>
        <vt:lpwstr/>
      </vt:variant>
      <vt:variant>
        <vt:lpwstr>_ENREF_8</vt:lpwstr>
      </vt:variant>
      <vt:variant>
        <vt:i4>4325387</vt:i4>
      </vt:variant>
      <vt:variant>
        <vt:i4>334</vt:i4>
      </vt:variant>
      <vt:variant>
        <vt:i4>0</vt:i4>
      </vt:variant>
      <vt:variant>
        <vt:i4>5</vt:i4>
      </vt:variant>
      <vt:variant>
        <vt:lpwstr/>
      </vt:variant>
      <vt:variant>
        <vt:lpwstr>_ENREF_35</vt:lpwstr>
      </vt:variant>
      <vt:variant>
        <vt:i4>4784139</vt:i4>
      </vt:variant>
      <vt:variant>
        <vt:i4>328</vt:i4>
      </vt:variant>
      <vt:variant>
        <vt:i4>0</vt:i4>
      </vt:variant>
      <vt:variant>
        <vt:i4>5</vt:i4>
      </vt:variant>
      <vt:variant>
        <vt:lpwstr/>
      </vt:variant>
      <vt:variant>
        <vt:lpwstr>_ENREF_8</vt:lpwstr>
      </vt:variant>
      <vt:variant>
        <vt:i4>4194315</vt:i4>
      </vt:variant>
      <vt:variant>
        <vt:i4>322</vt:i4>
      </vt:variant>
      <vt:variant>
        <vt:i4>0</vt:i4>
      </vt:variant>
      <vt:variant>
        <vt:i4>5</vt:i4>
      </vt:variant>
      <vt:variant>
        <vt:lpwstr/>
      </vt:variant>
      <vt:variant>
        <vt:lpwstr>_ENREF_14</vt:lpwstr>
      </vt:variant>
      <vt:variant>
        <vt:i4>4194315</vt:i4>
      </vt:variant>
      <vt:variant>
        <vt:i4>316</vt:i4>
      </vt:variant>
      <vt:variant>
        <vt:i4>0</vt:i4>
      </vt:variant>
      <vt:variant>
        <vt:i4>5</vt:i4>
      </vt:variant>
      <vt:variant>
        <vt:lpwstr/>
      </vt:variant>
      <vt:variant>
        <vt:lpwstr>_ENREF_16</vt:lpwstr>
      </vt:variant>
      <vt:variant>
        <vt:i4>4194315</vt:i4>
      </vt:variant>
      <vt:variant>
        <vt:i4>310</vt:i4>
      </vt:variant>
      <vt:variant>
        <vt:i4>0</vt:i4>
      </vt:variant>
      <vt:variant>
        <vt:i4>5</vt:i4>
      </vt:variant>
      <vt:variant>
        <vt:lpwstr/>
      </vt:variant>
      <vt:variant>
        <vt:lpwstr>_ENREF_13</vt:lpwstr>
      </vt:variant>
      <vt:variant>
        <vt:i4>4194315</vt:i4>
      </vt:variant>
      <vt:variant>
        <vt:i4>304</vt:i4>
      </vt:variant>
      <vt:variant>
        <vt:i4>0</vt:i4>
      </vt:variant>
      <vt:variant>
        <vt:i4>5</vt:i4>
      </vt:variant>
      <vt:variant>
        <vt:lpwstr/>
      </vt:variant>
      <vt:variant>
        <vt:lpwstr>_ENREF_15</vt:lpwstr>
      </vt:variant>
      <vt:variant>
        <vt:i4>4194315</vt:i4>
      </vt:variant>
      <vt:variant>
        <vt:i4>298</vt:i4>
      </vt:variant>
      <vt:variant>
        <vt:i4>0</vt:i4>
      </vt:variant>
      <vt:variant>
        <vt:i4>5</vt:i4>
      </vt:variant>
      <vt:variant>
        <vt:lpwstr/>
      </vt:variant>
      <vt:variant>
        <vt:lpwstr>_ENREF_14</vt:lpwstr>
      </vt:variant>
      <vt:variant>
        <vt:i4>4325387</vt:i4>
      </vt:variant>
      <vt:variant>
        <vt:i4>292</vt:i4>
      </vt:variant>
      <vt:variant>
        <vt:i4>0</vt:i4>
      </vt:variant>
      <vt:variant>
        <vt:i4>5</vt:i4>
      </vt:variant>
      <vt:variant>
        <vt:lpwstr/>
      </vt:variant>
      <vt:variant>
        <vt:lpwstr>_ENREF_34</vt:lpwstr>
      </vt:variant>
      <vt:variant>
        <vt:i4>4390923</vt:i4>
      </vt:variant>
      <vt:variant>
        <vt:i4>286</vt:i4>
      </vt:variant>
      <vt:variant>
        <vt:i4>0</vt:i4>
      </vt:variant>
      <vt:variant>
        <vt:i4>5</vt:i4>
      </vt:variant>
      <vt:variant>
        <vt:lpwstr/>
      </vt:variant>
      <vt:variant>
        <vt:lpwstr>_ENREF_23</vt:lpwstr>
      </vt:variant>
      <vt:variant>
        <vt:i4>4390923</vt:i4>
      </vt:variant>
      <vt:variant>
        <vt:i4>280</vt:i4>
      </vt:variant>
      <vt:variant>
        <vt:i4>0</vt:i4>
      </vt:variant>
      <vt:variant>
        <vt:i4>5</vt:i4>
      </vt:variant>
      <vt:variant>
        <vt:lpwstr/>
      </vt:variant>
      <vt:variant>
        <vt:lpwstr>_ENREF_29</vt:lpwstr>
      </vt:variant>
      <vt:variant>
        <vt:i4>4325387</vt:i4>
      </vt:variant>
      <vt:variant>
        <vt:i4>274</vt:i4>
      </vt:variant>
      <vt:variant>
        <vt:i4>0</vt:i4>
      </vt:variant>
      <vt:variant>
        <vt:i4>5</vt:i4>
      </vt:variant>
      <vt:variant>
        <vt:lpwstr/>
      </vt:variant>
      <vt:variant>
        <vt:lpwstr>_ENREF_33</vt:lpwstr>
      </vt:variant>
      <vt:variant>
        <vt:i4>4194315</vt:i4>
      </vt:variant>
      <vt:variant>
        <vt:i4>268</vt:i4>
      </vt:variant>
      <vt:variant>
        <vt:i4>0</vt:i4>
      </vt:variant>
      <vt:variant>
        <vt:i4>5</vt:i4>
      </vt:variant>
      <vt:variant>
        <vt:lpwstr/>
      </vt:variant>
      <vt:variant>
        <vt:lpwstr>_ENREF_11</vt:lpwstr>
      </vt:variant>
      <vt:variant>
        <vt:i4>4194315</vt:i4>
      </vt:variant>
      <vt:variant>
        <vt:i4>262</vt:i4>
      </vt:variant>
      <vt:variant>
        <vt:i4>0</vt:i4>
      </vt:variant>
      <vt:variant>
        <vt:i4>5</vt:i4>
      </vt:variant>
      <vt:variant>
        <vt:lpwstr/>
      </vt:variant>
      <vt:variant>
        <vt:lpwstr>_ENREF_19</vt:lpwstr>
      </vt:variant>
      <vt:variant>
        <vt:i4>4325387</vt:i4>
      </vt:variant>
      <vt:variant>
        <vt:i4>256</vt:i4>
      </vt:variant>
      <vt:variant>
        <vt:i4>0</vt:i4>
      </vt:variant>
      <vt:variant>
        <vt:i4>5</vt:i4>
      </vt:variant>
      <vt:variant>
        <vt:lpwstr/>
      </vt:variant>
      <vt:variant>
        <vt:lpwstr>_ENREF_32</vt:lpwstr>
      </vt:variant>
      <vt:variant>
        <vt:i4>4325387</vt:i4>
      </vt:variant>
      <vt:variant>
        <vt:i4>253</vt:i4>
      </vt:variant>
      <vt:variant>
        <vt:i4>0</vt:i4>
      </vt:variant>
      <vt:variant>
        <vt:i4>5</vt:i4>
      </vt:variant>
      <vt:variant>
        <vt:lpwstr/>
      </vt:variant>
      <vt:variant>
        <vt:lpwstr>_ENREF_30</vt:lpwstr>
      </vt:variant>
      <vt:variant>
        <vt:i4>4325387</vt:i4>
      </vt:variant>
      <vt:variant>
        <vt:i4>250</vt:i4>
      </vt:variant>
      <vt:variant>
        <vt:i4>0</vt:i4>
      </vt:variant>
      <vt:variant>
        <vt:i4>5</vt:i4>
      </vt:variant>
      <vt:variant>
        <vt:lpwstr/>
      </vt:variant>
      <vt:variant>
        <vt:lpwstr>_ENREF_31</vt:lpwstr>
      </vt:variant>
      <vt:variant>
        <vt:i4>4390923</vt:i4>
      </vt:variant>
      <vt:variant>
        <vt:i4>247</vt:i4>
      </vt:variant>
      <vt:variant>
        <vt:i4>0</vt:i4>
      </vt:variant>
      <vt:variant>
        <vt:i4>5</vt:i4>
      </vt:variant>
      <vt:variant>
        <vt:lpwstr/>
      </vt:variant>
      <vt:variant>
        <vt:lpwstr>_ENREF_28</vt:lpwstr>
      </vt:variant>
      <vt:variant>
        <vt:i4>4587531</vt:i4>
      </vt:variant>
      <vt:variant>
        <vt:i4>239</vt:i4>
      </vt:variant>
      <vt:variant>
        <vt:i4>0</vt:i4>
      </vt:variant>
      <vt:variant>
        <vt:i4>5</vt:i4>
      </vt:variant>
      <vt:variant>
        <vt:lpwstr/>
      </vt:variant>
      <vt:variant>
        <vt:lpwstr>_ENREF_7</vt:lpwstr>
      </vt:variant>
      <vt:variant>
        <vt:i4>4456459</vt:i4>
      </vt:variant>
      <vt:variant>
        <vt:i4>233</vt:i4>
      </vt:variant>
      <vt:variant>
        <vt:i4>0</vt:i4>
      </vt:variant>
      <vt:variant>
        <vt:i4>5</vt:i4>
      </vt:variant>
      <vt:variant>
        <vt:lpwstr/>
      </vt:variant>
      <vt:variant>
        <vt:lpwstr>_ENREF_5</vt:lpwstr>
      </vt:variant>
      <vt:variant>
        <vt:i4>1900596</vt:i4>
      </vt:variant>
      <vt:variant>
        <vt:i4>224</vt:i4>
      </vt:variant>
      <vt:variant>
        <vt:i4>0</vt:i4>
      </vt:variant>
      <vt:variant>
        <vt:i4>5</vt:i4>
      </vt:variant>
      <vt:variant>
        <vt:lpwstr/>
      </vt:variant>
      <vt:variant>
        <vt:lpwstr>_Toc302142197</vt:lpwstr>
      </vt:variant>
      <vt:variant>
        <vt:i4>1900596</vt:i4>
      </vt:variant>
      <vt:variant>
        <vt:i4>218</vt:i4>
      </vt:variant>
      <vt:variant>
        <vt:i4>0</vt:i4>
      </vt:variant>
      <vt:variant>
        <vt:i4>5</vt:i4>
      </vt:variant>
      <vt:variant>
        <vt:lpwstr/>
      </vt:variant>
      <vt:variant>
        <vt:lpwstr>_Toc302142196</vt:lpwstr>
      </vt:variant>
      <vt:variant>
        <vt:i4>1900596</vt:i4>
      </vt:variant>
      <vt:variant>
        <vt:i4>212</vt:i4>
      </vt:variant>
      <vt:variant>
        <vt:i4>0</vt:i4>
      </vt:variant>
      <vt:variant>
        <vt:i4>5</vt:i4>
      </vt:variant>
      <vt:variant>
        <vt:lpwstr/>
      </vt:variant>
      <vt:variant>
        <vt:lpwstr>_Toc302142195</vt:lpwstr>
      </vt:variant>
      <vt:variant>
        <vt:i4>1900596</vt:i4>
      </vt:variant>
      <vt:variant>
        <vt:i4>206</vt:i4>
      </vt:variant>
      <vt:variant>
        <vt:i4>0</vt:i4>
      </vt:variant>
      <vt:variant>
        <vt:i4>5</vt:i4>
      </vt:variant>
      <vt:variant>
        <vt:lpwstr/>
      </vt:variant>
      <vt:variant>
        <vt:lpwstr>_Toc302142194</vt:lpwstr>
      </vt:variant>
      <vt:variant>
        <vt:i4>1900596</vt:i4>
      </vt:variant>
      <vt:variant>
        <vt:i4>200</vt:i4>
      </vt:variant>
      <vt:variant>
        <vt:i4>0</vt:i4>
      </vt:variant>
      <vt:variant>
        <vt:i4>5</vt:i4>
      </vt:variant>
      <vt:variant>
        <vt:lpwstr/>
      </vt:variant>
      <vt:variant>
        <vt:lpwstr>_Toc302142193</vt:lpwstr>
      </vt:variant>
      <vt:variant>
        <vt:i4>1900596</vt:i4>
      </vt:variant>
      <vt:variant>
        <vt:i4>194</vt:i4>
      </vt:variant>
      <vt:variant>
        <vt:i4>0</vt:i4>
      </vt:variant>
      <vt:variant>
        <vt:i4>5</vt:i4>
      </vt:variant>
      <vt:variant>
        <vt:lpwstr/>
      </vt:variant>
      <vt:variant>
        <vt:lpwstr>_Toc302142192</vt:lpwstr>
      </vt:variant>
      <vt:variant>
        <vt:i4>1900596</vt:i4>
      </vt:variant>
      <vt:variant>
        <vt:i4>188</vt:i4>
      </vt:variant>
      <vt:variant>
        <vt:i4>0</vt:i4>
      </vt:variant>
      <vt:variant>
        <vt:i4>5</vt:i4>
      </vt:variant>
      <vt:variant>
        <vt:lpwstr/>
      </vt:variant>
      <vt:variant>
        <vt:lpwstr>_Toc302142191</vt:lpwstr>
      </vt:variant>
      <vt:variant>
        <vt:i4>1900596</vt:i4>
      </vt:variant>
      <vt:variant>
        <vt:i4>182</vt:i4>
      </vt:variant>
      <vt:variant>
        <vt:i4>0</vt:i4>
      </vt:variant>
      <vt:variant>
        <vt:i4>5</vt:i4>
      </vt:variant>
      <vt:variant>
        <vt:lpwstr/>
      </vt:variant>
      <vt:variant>
        <vt:lpwstr>_Toc302142190</vt:lpwstr>
      </vt:variant>
      <vt:variant>
        <vt:i4>1835060</vt:i4>
      </vt:variant>
      <vt:variant>
        <vt:i4>176</vt:i4>
      </vt:variant>
      <vt:variant>
        <vt:i4>0</vt:i4>
      </vt:variant>
      <vt:variant>
        <vt:i4>5</vt:i4>
      </vt:variant>
      <vt:variant>
        <vt:lpwstr/>
      </vt:variant>
      <vt:variant>
        <vt:lpwstr>_Toc302142189</vt:lpwstr>
      </vt:variant>
      <vt:variant>
        <vt:i4>1835060</vt:i4>
      </vt:variant>
      <vt:variant>
        <vt:i4>170</vt:i4>
      </vt:variant>
      <vt:variant>
        <vt:i4>0</vt:i4>
      </vt:variant>
      <vt:variant>
        <vt:i4>5</vt:i4>
      </vt:variant>
      <vt:variant>
        <vt:lpwstr/>
      </vt:variant>
      <vt:variant>
        <vt:lpwstr>_Toc302142188</vt:lpwstr>
      </vt:variant>
      <vt:variant>
        <vt:i4>1835060</vt:i4>
      </vt:variant>
      <vt:variant>
        <vt:i4>164</vt:i4>
      </vt:variant>
      <vt:variant>
        <vt:i4>0</vt:i4>
      </vt:variant>
      <vt:variant>
        <vt:i4>5</vt:i4>
      </vt:variant>
      <vt:variant>
        <vt:lpwstr/>
      </vt:variant>
      <vt:variant>
        <vt:lpwstr>_Toc302142187</vt:lpwstr>
      </vt:variant>
      <vt:variant>
        <vt:i4>1835060</vt:i4>
      </vt:variant>
      <vt:variant>
        <vt:i4>158</vt:i4>
      </vt:variant>
      <vt:variant>
        <vt:i4>0</vt:i4>
      </vt:variant>
      <vt:variant>
        <vt:i4>5</vt:i4>
      </vt:variant>
      <vt:variant>
        <vt:lpwstr/>
      </vt:variant>
      <vt:variant>
        <vt:lpwstr>_Toc302142186</vt:lpwstr>
      </vt:variant>
      <vt:variant>
        <vt:i4>1835060</vt:i4>
      </vt:variant>
      <vt:variant>
        <vt:i4>152</vt:i4>
      </vt:variant>
      <vt:variant>
        <vt:i4>0</vt:i4>
      </vt:variant>
      <vt:variant>
        <vt:i4>5</vt:i4>
      </vt:variant>
      <vt:variant>
        <vt:lpwstr/>
      </vt:variant>
      <vt:variant>
        <vt:lpwstr>_Toc302142185</vt:lpwstr>
      </vt:variant>
      <vt:variant>
        <vt:i4>1835060</vt:i4>
      </vt:variant>
      <vt:variant>
        <vt:i4>146</vt:i4>
      </vt:variant>
      <vt:variant>
        <vt:i4>0</vt:i4>
      </vt:variant>
      <vt:variant>
        <vt:i4>5</vt:i4>
      </vt:variant>
      <vt:variant>
        <vt:lpwstr/>
      </vt:variant>
      <vt:variant>
        <vt:lpwstr>_Toc302142184</vt:lpwstr>
      </vt:variant>
      <vt:variant>
        <vt:i4>1835060</vt:i4>
      </vt:variant>
      <vt:variant>
        <vt:i4>140</vt:i4>
      </vt:variant>
      <vt:variant>
        <vt:i4>0</vt:i4>
      </vt:variant>
      <vt:variant>
        <vt:i4>5</vt:i4>
      </vt:variant>
      <vt:variant>
        <vt:lpwstr/>
      </vt:variant>
      <vt:variant>
        <vt:lpwstr>_Toc302142183</vt:lpwstr>
      </vt:variant>
      <vt:variant>
        <vt:i4>1835060</vt:i4>
      </vt:variant>
      <vt:variant>
        <vt:i4>134</vt:i4>
      </vt:variant>
      <vt:variant>
        <vt:i4>0</vt:i4>
      </vt:variant>
      <vt:variant>
        <vt:i4>5</vt:i4>
      </vt:variant>
      <vt:variant>
        <vt:lpwstr/>
      </vt:variant>
      <vt:variant>
        <vt:lpwstr>_Toc302142182</vt:lpwstr>
      </vt:variant>
      <vt:variant>
        <vt:i4>1835060</vt:i4>
      </vt:variant>
      <vt:variant>
        <vt:i4>128</vt:i4>
      </vt:variant>
      <vt:variant>
        <vt:i4>0</vt:i4>
      </vt:variant>
      <vt:variant>
        <vt:i4>5</vt:i4>
      </vt:variant>
      <vt:variant>
        <vt:lpwstr/>
      </vt:variant>
      <vt:variant>
        <vt:lpwstr>_Toc302142181</vt:lpwstr>
      </vt:variant>
      <vt:variant>
        <vt:i4>1835060</vt:i4>
      </vt:variant>
      <vt:variant>
        <vt:i4>122</vt:i4>
      </vt:variant>
      <vt:variant>
        <vt:i4>0</vt:i4>
      </vt:variant>
      <vt:variant>
        <vt:i4>5</vt:i4>
      </vt:variant>
      <vt:variant>
        <vt:lpwstr/>
      </vt:variant>
      <vt:variant>
        <vt:lpwstr>_Toc302142180</vt:lpwstr>
      </vt:variant>
      <vt:variant>
        <vt:i4>1245236</vt:i4>
      </vt:variant>
      <vt:variant>
        <vt:i4>116</vt:i4>
      </vt:variant>
      <vt:variant>
        <vt:i4>0</vt:i4>
      </vt:variant>
      <vt:variant>
        <vt:i4>5</vt:i4>
      </vt:variant>
      <vt:variant>
        <vt:lpwstr/>
      </vt:variant>
      <vt:variant>
        <vt:lpwstr>_Toc302142179</vt:lpwstr>
      </vt:variant>
      <vt:variant>
        <vt:i4>1245236</vt:i4>
      </vt:variant>
      <vt:variant>
        <vt:i4>110</vt:i4>
      </vt:variant>
      <vt:variant>
        <vt:i4>0</vt:i4>
      </vt:variant>
      <vt:variant>
        <vt:i4>5</vt:i4>
      </vt:variant>
      <vt:variant>
        <vt:lpwstr/>
      </vt:variant>
      <vt:variant>
        <vt:lpwstr>_Toc302142178</vt:lpwstr>
      </vt:variant>
      <vt:variant>
        <vt:i4>1245236</vt:i4>
      </vt:variant>
      <vt:variant>
        <vt:i4>104</vt:i4>
      </vt:variant>
      <vt:variant>
        <vt:i4>0</vt:i4>
      </vt:variant>
      <vt:variant>
        <vt:i4>5</vt:i4>
      </vt:variant>
      <vt:variant>
        <vt:lpwstr/>
      </vt:variant>
      <vt:variant>
        <vt:lpwstr>_Toc302142177</vt:lpwstr>
      </vt:variant>
      <vt:variant>
        <vt:i4>1245236</vt:i4>
      </vt:variant>
      <vt:variant>
        <vt:i4>98</vt:i4>
      </vt:variant>
      <vt:variant>
        <vt:i4>0</vt:i4>
      </vt:variant>
      <vt:variant>
        <vt:i4>5</vt:i4>
      </vt:variant>
      <vt:variant>
        <vt:lpwstr/>
      </vt:variant>
      <vt:variant>
        <vt:lpwstr>_Toc302142176</vt:lpwstr>
      </vt:variant>
      <vt:variant>
        <vt:i4>1245236</vt:i4>
      </vt:variant>
      <vt:variant>
        <vt:i4>92</vt:i4>
      </vt:variant>
      <vt:variant>
        <vt:i4>0</vt:i4>
      </vt:variant>
      <vt:variant>
        <vt:i4>5</vt:i4>
      </vt:variant>
      <vt:variant>
        <vt:lpwstr/>
      </vt:variant>
      <vt:variant>
        <vt:lpwstr>_Toc302142175</vt:lpwstr>
      </vt:variant>
      <vt:variant>
        <vt:i4>1245236</vt:i4>
      </vt:variant>
      <vt:variant>
        <vt:i4>86</vt:i4>
      </vt:variant>
      <vt:variant>
        <vt:i4>0</vt:i4>
      </vt:variant>
      <vt:variant>
        <vt:i4>5</vt:i4>
      </vt:variant>
      <vt:variant>
        <vt:lpwstr/>
      </vt:variant>
      <vt:variant>
        <vt:lpwstr>_Toc302142174</vt:lpwstr>
      </vt:variant>
      <vt:variant>
        <vt:i4>1245236</vt:i4>
      </vt:variant>
      <vt:variant>
        <vt:i4>80</vt:i4>
      </vt:variant>
      <vt:variant>
        <vt:i4>0</vt:i4>
      </vt:variant>
      <vt:variant>
        <vt:i4>5</vt:i4>
      </vt:variant>
      <vt:variant>
        <vt:lpwstr/>
      </vt:variant>
      <vt:variant>
        <vt:lpwstr>_Toc302142173</vt:lpwstr>
      </vt:variant>
      <vt:variant>
        <vt:i4>1245236</vt:i4>
      </vt:variant>
      <vt:variant>
        <vt:i4>74</vt:i4>
      </vt:variant>
      <vt:variant>
        <vt:i4>0</vt:i4>
      </vt:variant>
      <vt:variant>
        <vt:i4>5</vt:i4>
      </vt:variant>
      <vt:variant>
        <vt:lpwstr/>
      </vt:variant>
      <vt:variant>
        <vt:lpwstr>_Toc302142172</vt:lpwstr>
      </vt:variant>
      <vt:variant>
        <vt:i4>1245236</vt:i4>
      </vt:variant>
      <vt:variant>
        <vt:i4>68</vt:i4>
      </vt:variant>
      <vt:variant>
        <vt:i4>0</vt:i4>
      </vt:variant>
      <vt:variant>
        <vt:i4>5</vt:i4>
      </vt:variant>
      <vt:variant>
        <vt:lpwstr/>
      </vt:variant>
      <vt:variant>
        <vt:lpwstr>_Toc302142171</vt:lpwstr>
      </vt:variant>
      <vt:variant>
        <vt:i4>1245236</vt:i4>
      </vt:variant>
      <vt:variant>
        <vt:i4>62</vt:i4>
      </vt:variant>
      <vt:variant>
        <vt:i4>0</vt:i4>
      </vt:variant>
      <vt:variant>
        <vt:i4>5</vt:i4>
      </vt:variant>
      <vt:variant>
        <vt:lpwstr/>
      </vt:variant>
      <vt:variant>
        <vt:lpwstr>_Toc302142170</vt:lpwstr>
      </vt:variant>
      <vt:variant>
        <vt:i4>1179700</vt:i4>
      </vt:variant>
      <vt:variant>
        <vt:i4>56</vt:i4>
      </vt:variant>
      <vt:variant>
        <vt:i4>0</vt:i4>
      </vt:variant>
      <vt:variant>
        <vt:i4>5</vt:i4>
      </vt:variant>
      <vt:variant>
        <vt:lpwstr/>
      </vt:variant>
      <vt:variant>
        <vt:lpwstr>_Toc302142169</vt:lpwstr>
      </vt:variant>
      <vt:variant>
        <vt:i4>1179700</vt:i4>
      </vt:variant>
      <vt:variant>
        <vt:i4>50</vt:i4>
      </vt:variant>
      <vt:variant>
        <vt:i4>0</vt:i4>
      </vt:variant>
      <vt:variant>
        <vt:i4>5</vt:i4>
      </vt:variant>
      <vt:variant>
        <vt:lpwstr/>
      </vt:variant>
      <vt:variant>
        <vt:lpwstr>_Toc302142168</vt:lpwstr>
      </vt:variant>
      <vt:variant>
        <vt:i4>1179700</vt:i4>
      </vt:variant>
      <vt:variant>
        <vt:i4>44</vt:i4>
      </vt:variant>
      <vt:variant>
        <vt:i4>0</vt:i4>
      </vt:variant>
      <vt:variant>
        <vt:i4>5</vt:i4>
      </vt:variant>
      <vt:variant>
        <vt:lpwstr/>
      </vt:variant>
      <vt:variant>
        <vt:lpwstr>_Toc302142167</vt:lpwstr>
      </vt:variant>
      <vt:variant>
        <vt:i4>1179700</vt:i4>
      </vt:variant>
      <vt:variant>
        <vt:i4>38</vt:i4>
      </vt:variant>
      <vt:variant>
        <vt:i4>0</vt:i4>
      </vt:variant>
      <vt:variant>
        <vt:i4>5</vt:i4>
      </vt:variant>
      <vt:variant>
        <vt:lpwstr/>
      </vt:variant>
      <vt:variant>
        <vt:lpwstr>_Toc302142166</vt:lpwstr>
      </vt:variant>
      <vt:variant>
        <vt:i4>1179700</vt:i4>
      </vt:variant>
      <vt:variant>
        <vt:i4>32</vt:i4>
      </vt:variant>
      <vt:variant>
        <vt:i4>0</vt:i4>
      </vt:variant>
      <vt:variant>
        <vt:i4>5</vt:i4>
      </vt:variant>
      <vt:variant>
        <vt:lpwstr/>
      </vt:variant>
      <vt:variant>
        <vt:lpwstr>_Toc302142165</vt:lpwstr>
      </vt:variant>
      <vt:variant>
        <vt:i4>1179700</vt:i4>
      </vt:variant>
      <vt:variant>
        <vt:i4>26</vt:i4>
      </vt:variant>
      <vt:variant>
        <vt:i4>0</vt:i4>
      </vt:variant>
      <vt:variant>
        <vt:i4>5</vt:i4>
      </vt:variant>
      <vt:variant>
        <vt:lpwstr/>
      </vt:variant>
      <vt:variant>
        <vt:lpwstr>_Toc302142164</vt:lpwstr>
      </vt:variant>
      <vt:variant>
        <vt:i4>1179700</vt:i4>
      </vt:variant>
      <vt:variant>
        <vt:i4>20</vt:i4>
      </vt:variant>
      <vt:variant>
        <vt:i4>0</vt:i4>
      </vt:variant>
      <vt:variant>
        <vt:i4>5</vt:i4>
      </vt:variant>
      <vt:variant>
        <vt:lpwstr/>
      </vt:variant>
      <vt:variant>
        <vt:lpwstr>_Toc302142163</vt:lpwstr>
      </vt:variant>
      <vt:variant>
        <vt:i4>1179700</vt:i4>
      </vt:variant>
      <vt:variant>
        <vt:i4>14</vt:i4>
      </vt:variant>
      <vt:variant>
        <vt:i4>0</vt:i4>
      </vt:variant>
      <vt:variant>
        <vt:i4>5</vt:i4>
      </vt:variant>
      <vt:variant>
        <vt:lpwstr/>
      </vt:variant>
      <vt:variant>
        <vt:lpwstr>_Toc302142162</vt:lpwstr>
      </vt:variant>
      <vt:variant>
        <vt:i4>1179700</vt:i4>
      </vt:variant>
      <vt:variant>
        <vt:i4>8</vt:i4>
      </vt:variant>
      <vt:variant>
        <vt:i4>0</vt:i4>
      </vt:variant>
      <vt:variant>
        <vt:i4>5</vt:i4>
      </vt:variant>
      <vt:variant>
        <vt:lpwstr/>
      </vt:variant>
      <vt:variant>
        <vt:lpwstr>_Toc302142161</vt:lpwstr>
      </vt:variant>
      <vt:variant>
        <vt:i4>1179700</vt:i4>
      </vt:variant>
      <vt:variant>
        <vt:i4>2</vt:i4>
      </vt:variant>
      <vt:variant>
        <vt:i4>0</vt:i4>
      </vt:variant>
      <vt:variant>
        <vt:i4>5</vt:i4>
      </vt:variant>
      <vt:variant>
        <vt:lpwstr/>
      </vt:variant>
      <vt:variant>
        <vt:lpwstr>_Toc302142160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Hazard Exposure Worker Surveillance: Chemical exposure and the provision of chemical exposure control measures in Australian workplaces</dc:title>
  <dc:creator>Dr Tessa Keegel, Dr Ewan MacFarlane, Kristen Benke</dc:creator>
  <cp:lastModifiedBy>Ingrid Kimber</cp:lastModifiedBy>
  <cp:revision>2</cp:revision>
  <cp:lastPrinted>2011-12-19T06:11:00Z</cp:lastPrinted>
  <dcterms:created xsi:type="dcterms:W3CDTF">2012-03-13T23:46:00Z</dcterms:created>
  <dcterms:modified xsi:type="dcterms:W3CDTF">2012-03-13T23:46:00Z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