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rawings/drawing3.xml" ContentType="application/vnd.openxmlformats-officedocument.drawingml.chartshapes+xml"/>
  <Override PartName="/word/drawings/drawing8.xml" ContentType="application/vnd.openxmlformats-officedocument.drawingml.chartshapes+xml"/>
  <Override PartName="/word/drawings/drawing6.xml" ContentType="application/vnd.openxmlformats-officedocument.drawingml.chartshapes+xml"/>
  <Override PartName="/word/drawings/drawing9.xml" ContentType="application/vnd.openxmlformats-officedocument.drawingml.chartshapes+xml"/>
  <Override PartName="/word/drawings/drawing5.xml" ContentType="application/vnd.openxmlformats-officedocument.drawingml.chartshapes+xml"/>
  <Override PartName="/word/drawings/drawing7.xml" ContentType="application/vnd.openxmlformats-officedocument.drawingml.chartshapes+xml"/>
  <Override PartName="/word/drawings/drawing4.xml" ContentType="application/vnd.openxmlformats-officedocument.drawingml.chartshapes+xml"/>
  <Override PartName="/word/drawings/drawing10.xml" ContentType="application/vnd.openxmlformats-officedocument.drawingml.chartshapes+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7.xml" ContentType="application/vnd.openxmlformats-officedocument.drawingml.chart+xml"/>
  <Override PartName="/word/charts/chart11.xml" ContentType="application/vnd.openxmlformats-officedocument.drawingml.chart+xml"/>
  <Override PartName="/word/charts/chart10.xml" ContentType="application/vnd.openxmlformats-officedocument.drawingml.chart+xml"/>
  <Override PartName="/word/charts/chart1.xml" ContentType="application/vnd.openxmlformats-officedocument.drawingml.chart+xml"/>
  <Override PartName="/word/charts/chart9.xml" ContentType="application/vnd.openxmlformats-officedocument.drawingml.chart+xml"/>
  <Override PartName="/word/charts/chart8.xml" ContentType="application/vnd.openxmlformats-officedocument.drawingml.chart+xml"/>
  <Override PartName="/word/charts/chart2.xml" ContentType="application/vnd.openxmlformats-officedocument.drawingml.chart+xml"/>
  <Override PartName="/word/charts/chart12.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C1" w:rsidRPr="005652E4" w:rsidRDefault="00E626DD" w:rsidP="005652E4">
      <w:pPr>
        <w:pStyle w:val="BodyText"/>
        <w:spacing w:before="240" w:after="4440"/>
        <w:ind w:left="2880"/>
        <w:rPr>
          <w:color w:val="FF0000"/>
          <w:sz w:val="52"/>
          <w:szCs w:val="52"/>
        </w:rPr>
      </w:pPr>
      <w:r>
        <w:rPr>
          <w:color w:val="FF0000"/>
          <w:sz w:val="52"/>
          <w:szCs w:val="52"/>
        </w:rPr>
        <w:t xml:space="preserve">  </w:t>
      </w:r>
      <w:r w:rsidR="005652E4">
        <w:rPr>
          <w:color w:val="FF0000"/>
          <w:sz w:val="52"/>
          <w:szCs w:val="52"/>
        </w:rPr>
        <w:t>Safe W</w:t>
      </w:r>
      <w:r w:rsidR="00875AC1" w:rsidRPr="005652E4">
        <w:rPr>
          <w:color w:val="FF0000"/>
          <w:sz w:val="52"/>
          <w:szCs w:val="52"/>
        </w:rPr>
        <w:t>ork Australia</w:t>
      </w:r>
    </w:p>
    <w:p w:rsidR="00875AC1" w:rsidRDefault="00875AC1" w:rsidP="00F2252C">
      <w:pPr>
        <w:pStyle w:val="MainHeading"/>
      </w:pPr>
      <w:r>
        <w:t>Mesothelioma in Australia</w:t>
      </w:r>
    </w:p>
    <w:p w:rsidR="00875AC1" w:rsidRDefault="00875AC1" w:rsidP="005652E4">
      <w:pPr>
        <w:pStyle w:val="Headingtwo"/>
        <w:jc w:val="center"/>
      </w:pPr>
      <w:r>
        <w:t>Incidence 1982 to 2009</w:t>
      </w:r>
    </w:p>
    <w:p w:rsidR="00875AC1" w:rsidRDefault="00775C6B" w:rsidP="00FF37F0">
      <w:pPr>
        <w:pStyle w:val="Headingtwo"/>
        <w:spacing w:after="6120"/>
        <w:jc w:val="center"/>
      </w:pPr>
      <w:r>
        <w:t>Mortality</w:t>
      </w:r>
      <w:r w:rsidR="00875AC1">
        <w:t xml:space="preserve"> 1997 to 2011</w:t>
      </w:r>
    </w:p>
    <w:p w:rsidR="00875AC1" w:rsidRDefault="00F45C4F" w:rsidP="005652E4">
      <w:pPr>
        <w:pStyle w:val="Headingtwo"/>
        <w:jc w:val="center"/>
        <w:rPr>
          <w:color w:val="00456B"/>
          <w:sz w:val="36"/>
        </w:rPr>
      </w:pPr>
      <w:r>
        <w:t>October</w:t>
      </w:r>
      <w:r w:rsidR="00875AC1">
        <w:t xml:space="preserve"> </w:t>
      </w:r>
      <w:bookmarkStart w:id="0" w:name="_GoBack"/>
      <w:bookmarkEnd w:id="0"/>
      <w:r w:rsidR="00875AC1">
        <w:t>2013</w:t>
      </w:r>
      <w:r w:rsidR="00875AC1">
        <w:br w:type="page"/>
      </w:r>
    </w:p>
    <w:p w:rsidR="00875AC1" w:rsidRPr="00875AC1" w:rsidRDefault="00875AC1" w:rsidP="005652E4">
      <w:pPr>
        <w:pStyle w:val="Headingtwo"/>
      </w:pPr>
      <w:r w:rsidRPr="00875AC1">
        <w:lastRenderedPageBreak/>
        <w:t>Acknowledgement</w:t>
      </w:r>
    </w:p>
    <w:p w:rsidR="00875AC1" w:rsidRPr="00875AC1" w:rsidRDefault="00875AC1" w:rsidP="00F2252C">
      <w:r w:rsidRPr="00875AC1">
        <w:t>Data on the number of new cases of mesothelioma in this report are collected by the National Cancer Statistics Clearing House, maintained by the Australian Institute of Health and Welfare (AIHW). Data on fatal cases of mesothelioma are collected in the National Mortality Database, made available to us by the AIHW. The authors, and not these agencies, are responsible for the use of the data in this report. The authors would like to thank the State Cancer Registries and the AIHW for allowing access to the data presented in this report.</w:t>
      </w:r>
    </w:p>
    <w:p w:rsidR="00875AC1" w:rsidRPr="00875AC1" w:rsidRDefault="00875AC1" w:rsidP="005652E4">
      <w:pPr>
        <w:pStyle w:val="Headingtwo"/>
      </w:pPr>
      <w:r w:rsidRPr="00875AC1">
        <w:t>Disclaimer</w:t>
      </w:r>
    </w:p>
    <w:p w:rsidR="00875AC1" w:rsidRPr="00875AC1" w:rsidRDefault="00875AC1" w:rsidP="00F2252C">
      <w:r w:rsidRPr="00875AC1">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w:t>
      </w:r>
    </w:p>
    <w:p w:rsidR="00875AC1" w:rsidRPr="00875AC1" w:rsidRDefault="00875AC1" w:rsidP="00F2252C">
      <w:r w:rsidRPr="00875AC1">
        <w:t>To the extent that the material on this document includes views or recommendations of third parties, such views or recommendations do not necessarily reflect the views of Safe Work Australia or indicate its commitment to a particular course of action.</w:t>
      </w:r>
    </w:p>
    <w:p w:rsidR="00875AC1" w:rsidRPr="00875AC1" w:rsidRDefault="00875AC1" w:rsidP="005652E4">
      <w:pPr>
        <w:pStyle w:val="Headingtwo"/>
      </w:pPr>
      <w:r w:rsidRPr="00875AC1">
        <w:t>Creative Commons</w:t>
      </w:r>
    </w:p>
    <w:p w:rsidR="00875AC1" w:rsidRPr="00875AC1" w:rsidRDefault="00875AC1" w:rsidP="00F2252C">
      <w:r w:rsidRPr="00875AC1">
        <w:t>ISBN 978-1-74361-181-4 [Online pdf ]</w:t>
      </w:r>
      <w:r w:rsidRPr="00875AC1">
        <w:br/>
        <w:t>ISBN 978-1-74361-182-1 [Online doc ]</w:t>
      </w:r>
    </w:p>
    <w:p w:rsidR="00875AC1" w:rsidRPr="00875AC1" w:rsidRDefault="00875AC1" w:rsidP="00F2252C">
      <w:r w:rsidRPr="00875AC1">
        <w:t xml:space="preserve">With the exception of the Safe Work Australia logo, this report is licensed by Safe Work Australia under a Creative Commons 3.0 Australia Licence.  To view a copy of this licence, visit </w:t>
      </w:r>
      <w:r w:rsidRPr="00875AC1">
        <w:br/>
      </w:r>
      <w:hyperlink r:id="rId9" w:history="1">
        <w:r w:rsidRPr="00E516A6">
          <w:rPr>
            <w:rStyle w:val="Hyperlink"/>
            <w:sz w:val="22"/>
          </w:rPr>
          <w:t>http://creativecommons.org/licenses/by/3.0/au/deed.en</w:t>
        </w:r>
      </w:hyperlink>
    </w:p>
    <w:p w:rsidR="00875AC1" w:rsidRPr="00875AC1" w:rsidRDefault="00875AC1" w:rsidP="00F2252C">
      <w:r w:rsidRPr="00875AC1">
        <w:t xml:space="preserve">In essence, you are free to copy, communicate and adapt the work, as long as you attribute the work to Safe Work Australia and abide by the other licensing terms. The report should be attributed as the </w:t>
      </w:r>
      <w:r w:rsidRPr="00875AC1">
        <w:rPr>
          <w:i/>
          <w:iCs/>
          <w:spacing w:val="-2"/>
        </w:rPr>
        <w:t>Mesothelioma in Australia: Incidence 1982 to 2009, Mortality 1997 to 2011</w:t>
      </w:r>
      <w:r w:rsidRPr="00875AC1">
        <w:t>.</w:t>
      </w:r>
    </w:p>
    <w:p w:rsidR="00875AC1" w:rsidRPr="00875AC1" w:rsidRDefault="00875AC1" w:rsidP="00F2252C">
      <w:r w:rsidRPr="00875AC1">
        <w:t>Enquiries regarding the licence and any use of the report are welcome at:</w:t>
      </w:r>
    </w:p>
    <w:p w:rsidR="00875AC1" w:rsidRPr="00875AC1" w:rsidRDefault="00875AC1" w:rsidP="00F2252C">
      <w:r w:rsidRPr="00875AC1">
        <w:t>Copyright Officer</w:t>
      </w:r>
    </w:p>
    <w:p w:rsidR="00875AC1" w:rsidRPr="00875AC1" w:rsidRDefault="00875AC1" w:rsidP="00F2252C">
      <w:r w:rsidRPr="00875AC1">
        <w:t>Communications, IT and Knowledge Management</w:t>
      </w:r>
    </w:p>
    <w:p w:rsidR="00875AC1" w:rsidRPr="00875AC1" w:rsidRDefault="00875AC1" w:rsidP="00F2252C">
      <w:r w:rsidRPr="00875AC1">
        <w:t xml:space="preserve">Safe Work Australia </w:t>
      </w:r>
    </w:p>
    <w:p w:rsidR="00875AC1" w:rsidRPr="00875AC1" w:rsidRDefault="00875AC1" w:rsidP="00F2252C">
      <w:r w:rsidRPr="00875AC1">
        <w:t>GPO Box 641 Canberra ACT 2601</w:t>
      </w:r>
    </w:p>
    <w:p w:rsidR="00875AC1" w:rsidRPr="00875AC1" w:rsidRDefault="00875AC1" w:rsidP="00F2252C">
      <w:r w:rsidRPr="00875AC1">
        <w:t xml:space="preserve">Email: </w:t>
      </w:r>
      <w:hyperlink r:id="rId10" w:history="1">
        <w:r w:rsidR="00E516A6" w:rsidRPr="00E516A6">
          <w:rPr>
            <w:rStyle w:val="Hyperlink"/>
            <w:sz w:val="22"/>
          </w:rPr>
          <w:t>mailto:copyrightrequests@swa.gov.au</w:t>
        </w:r>
      </w:hyperlink>
    </w:p>
    <w:p w:rsidR="00875AC1" w:rsidRDefault="00875AC1" w:rsidP="00F2252C">
      <w:pPr>
        <w:rPr>
          <w:color w:val="00456B"/>
          <w:sz w:val="36"/>
          <w:szCs w:val="36"/>
        </w:rPr>
      </w:pPr>
      <w:r>
        <w:br w:type="page"/>
      </w:r>
    </w:p>
    <w:p w:rsidR="00875AC1" w:rsidRPr="00875AC1" w:rsidRDefault="00875AC1" w:rsidP="00F2252C">
      <w:pPr>
        <w:pStyle w:val="Heading1"/>
      </w:pPr>
      <w:r w:rsidRPr="00875AC1">
        <w:t>Contents</w:t>
      </w:r>
    </w:p>
    <w:p w:rsidR="00875AC1" w:rsidRPr="00875AC1" w:rsidRDefault="00875AC1" w:rsidP="00F2252C"/>
    <w:p w:rsidR="00875AC1" w:rsidRPr="00875AC1" w:rsidRDefault="00FF37F0" w:rsidP="00EF3DF7">
      <w:pPr>
        <w:ind w:left="1701"/>
      </w:pPr>
      <w:r>
        <w:t>Report summary</w:t>
      </w:r>
      <w:r>
        <w:tab/>
        <w:t xml:space="preserve"> 4</w:t>
      </w:r>
    </w:p>
    <w:p w:rsidR="00875AC1" w:rsidRPr="00875AC1" w:rsidRDefault="00FF37F0" w:rsidP="00EF3DF7">
      <w:pPr>
        <w:ind w:left="1701"/>
      </w:pPr>
      <w:r>
        <w:t>Introduction</w:t>
      </w:r>
      <w:r>
        <w:tab/>
        <w:t xml:space="preserve"> 5</w:t>
      </w:r>
    </w:p>
    <w:p w:rsidR="00875AC1" w:rsidRPr="00875AC1" w:rsidRDefault="00FF37F0" w:rsidP="00EF3DF7">
      <w:pPr>
        <w:ind w:left="1701"/>
      </w:pPr>
      <w:r>
        <w:t xml:space="preserve">   </w:t>
      </w:r>
      <w:r w:rsidR="00875AC1" w:rsidRPr="00875AC1">
        <w:t>Asbestos production,</w:t>
      </w:r>
      <w:r>
        <w:t xml:space="preserve"> use and control in Australia</w:t>
      </w:r>
      <w:r>
        <w:tab/>
        <w:t xml:space="preserve"> 5</w:t>
      </w:r>
    </w:p>
    <w:p w:rsidR="00875AC1" w:rsidRPr="00875AC1" w:rsidRDefault="00FF37F0" w:rsidP="00EF3DF7">
      <w:pPr>
        <w:ind w:left="1701"/>
      </w:pPr>
      <w:r>
        <w:t xml:space="preserve">   Mesothelioma projections</w:t>
      </w:r>
      <w:r>
        <w:tab/>
        <w:t xml:space="preserve"> 6</w:t>
      </w:r>
    </w:p>
    <w:p w:rsidR="00875AC1" w:rsidRPr="00875AC1" w:rsidRDefault="00FF37F0" w:rsidP="00EF3DF7">
      <w:pPr>
        <w:ind w:left="1701"/>
      </w:pPr>
      <w:r>
        <w:t xml:space="preserve">   </w:t>
      </w:r>
      <w:r w:rsidR="00875AC1" w:rsidRPr="00875AC1">
        <w:t>The new Aus</w:t>
      </w:r>
      <w:r>
        <w:t>tralian Mesothelioma Registry</w:t>
      </w:r>
      <w:r>
        <w:tab/>
        <w:t xml:space="preserve"> 6</w:t>
      </w:r>
    </w:p>
    <w:p w:rsidR="00875AC1" w:rsidRPr="00875AC1" w:rsidRDefault="00FF37F0" w:rsidP="00EF3DF7">
      <w:pPr>
        <w:ind w:left="1701"/>
      </w:pPr>
      <w:r>
        <w:t>Incidence of mesothelioma</w:t>
      </w:r>
      <w:r>
        <w:tab/>
        <w:t xml:space="preserve"> 7</w:t>
      </w:r>
    </w:p>
    <w:p w:rsidR="00875AC1" w:rsidRPr="00875AC1" w:rsidRDefault="00FF37F0" w:rsidP="00EF3DF7">
      <w:pPr>
        <w:ind w:left="1701"/>
      </w:pPr>
      <w:r>
        <w:t xml:space="preserve">   New cases diagnosed in 2009</w:t>
      </w:r>
      <w:r>
        <w:tab/>
        <w:t xml:space="preserve"> 7</w:t>
      </w:r>
    </w:p>
    <w:p w:rsidR="00875AC1" w:rsidRPr="00875AC1" w:rsidRDefault="00FF37F0" w:rsidP="00EF3DF7">
      <w:pPr>
        <w:ind w:left="1701"/>
      </w:pPr>
      <w:r>
        <w:t xml:space="preserve">   </w:t>
      </w:r>
      <w:r w:rsidR="00875AC1" w:rsidRPr="00875AC1">
        <w:t>T</w:t>
      </w:r>
      <w:r>
        <w:t>rends over time, 1982 to 2009</w:t>
      </w:r>
      <w:r>
        <w:tab/>
        <w:t xml:space="preserve"> 8</w:t>
      </w:r>
    </w:p>
    <w:p w:rsidR="00875AC1" w:rsidRPr="00875AC1" w:rsidRDefault="00FF37F0" w:rsidP="00FF37F0">
      <w:pPr>
        <w:ind w:left="1701"/>
      </w:pPr>
      <w:r>
        <w:t xml:space="preserve">       National data</w:t>
      </w:r>
      <w:r>
        <w:tab/>
        <w:t xml:space="preserve"> 8</w:t>
      </w:r>
    </w:p>
    <w:p w:rsidR="00FE5DAA" w:rsidRDefault="00FF37F0" w:rsidP="00EF3DF7">
      <w:pPr>
        <w:ind w:left="1701"/>
      </w:pPr>
      <w:r>
        <w:t xml:space="preserve">       </w:t>
      </w:r>
      <w:r w:rsidR="005D535C">
        <w:t>State and Territory data</w:t>
      </w:r>
      <w:r w:rsidR="005D535C">
        <w:tab/>
        <w:t>11</w:t>
      </w:r>
    </w:p>
    <w:p w:rsidR="00875AC1" w:rsidRPr="00875AC1" w:rsidRDefault="00875AC1" w:rsidP="00EF3DF7">
      <w:pPr>
        <w:ind w:left="1701"/>
      </w:pPr>
      <w:r w:rsidRPr="00875AC1">
        <w:t xml:space="preserve">Deaths </w:t>
      </w:r>
      <w:r w:rsidR="005D535C">
        <w:t>due to mesothelioma</w:t>
      </w:r>
      <w:r w:rsidR="005D535C">
        <w:tab/>
        <w:t xml:space="preserve"> 14</w:t>
      </w:r>
    </w:p>
    <w:p w:rsidR="00875AC1" w:rsidRPr="00875AC1" w:rsidRDefault="00FF37F0" w:rsidP="00EF3DF7">
      <w:pPr>
        <w:ind w:left="1701"/>
      </w:pPr>
      <w:r>
        <w:t xml:space="preserve">   </w:t>
      </w:r>
      <w:r w:rsidR="005D535C">
        <w:t>Deaths in 2011</w:t>
      </w:r>
      <w:r w:rsidR="005D535C">
        <w:tab/>
        <w:t xml:space="preserve"> </w:t>
      </w:r>
      <w:r w:rsidR="006973BB">
        <w:t>14</w:t>
      </w:r>
    </w:p>
    <w:p w:rsidR="00875AC1" w:rsidRPr="00875AC1" w:rsidRDefault="00FF37F0" w:rsidP="00EF3DF7">
      <w:pPr>
        <w:ind w:left="1701"/>
      </w:pPr>
      <w:r>
        <w:t xml:space="preserve">   </w:t>
      </w:r>
      <w:r w:rsidR="00875AC1" w:rsidRPr="00875AC1">
        <w:t>Tr</w:t>
      </w:r>
      <w:r w:rsidR="006973BB">
        <w:t>ends over time, 1997 to 2011</w:t>
      </w:r>
      <w:r w:rsidR="006973BB">
        <w:tab/>
        <w:t xml:space="preserve"> 15</w:t>
      </w:r>
    </w:p>
    <w:p w:rsidR="00875AC1" w:rsidRPr="00875AC1" w:rsidRDefault="00FF37F0" w:rsidP="00EF3DF7">
      <w:pPr>
        <w:ind w:left="1701"/>
      </w:pPr>
      <w:r>
        <w:t xml:space="preserve">      </w:t>
      </w:r>
      <w:r w:rsidR="006973BB">
        <w:t>National data</w:t>
      </w:r>
      <w:r w:rsidR="006973BB">
        <w:tab/>
        <w:t xml:space="preserve"> 15</w:t>
      </w:r>
    </w:p>
    <w:p w:rsidR="00875AC1" w:rsidRPr="00875AC1" w:rsidRDefault="00FF37F0" w:rsidP="00EF3DF7">
      <w:pPr>
        <w:ind w:left="1701"/>
      </w:pPr>
      <w:r>
        <w:t xml:space="preserve">      </w:t>
      </w:r>
      <w:r w:rsidR="006973BB">
        <w:t>State and Territory data</w:t>
      </w:r>
      <w:r w:rsidR="006973BB">
        <w:tab/>
        <w:t xml:space="preserve"> 16</w:t>
      </w:r>
    </w:p>
    <w:p w:rsidR="00875AC1" w:rsidRPr="00875AC1" w:rsidRDefault="006973BB" w:rsidP="00EF3DF7">
      <w:pPr>
        <w:ind w:left="1701"/>
      </w:pPr>
      <w:r>
        <w:t>References</w:t>
      </w:r>
      <w:r>
        <w:tab/>
        <w:t xml:space="preserve"> 18</w:t>
      </w:r>
    </w:p>
    <w:p w:rsidR="00875AC1" w:rsidRDefault="006973BB" w:rsidP="00EF3DF7">
      <w:pPr>
        <w:ind w:left="1701"/>
      </w:pPr>
      <w:r>
        <w:t>Useful links</w:t>
      </w:r>
      <w:r>
        <w:tab/>
        <w:t xml:space="preserve"> 18</w:t>
      </w:r>
    </w:p>
    <w:p w:rsidR="00875AC1" w:rsidRDefault="00875AC1" w:rsidP="00EF3DF7">
      <w:r>
        <w:br w:type="page"/>
      </w:r>
    </w:p>
    <w:p w:rsidR="00875AC1" w:rsidRPr="00E82AAA" w:rsidRDefault="00875AC1" w:rsidP="00F2252C">
      <w:pPr>
        <w:pStyle w:val="Heading1"/>
      </w:pPr>
      <w:r w:rsidRPr="00E82AAA">
        <w:t>Report summary</w:t>
      </w:r>
    </w:p>
    <w:p w:rsidR="00875AC1" w:rsidRPr="00875AC1" w:rsidRDefault="00875AC1" w:rsidP="00F2252C">
      <w:r w:rsidRPr="00875AC1">
        <w:t>Data on the number of new cases of mesothelioma are collected nationally by the Australian Institute of Health and Welfare (AIHW) in the National Cancer Statistics Clearing House, via the state and territory Cancer Registries. Information on deaths from mesothelioma is also collected by the AIHW as part of the National Mortality Database. Data are available from 1982 to 2009 for the number of new cases, and from 1997 to 2011 for the number of deaths.</w:t>
      </w:r>
    </w:p>
    <w:p w:rsidR="00875AC1" w:rsidRPr="00875AC1" w:rsidRDefault="00875AC1" w:rsidP="00F2252C">
      <w:pPr>
        <w:pStyle w:val="Headingtwo"/>
      </w:pPr>
      <w:r w:rsidRPr="00875AC1">
        <w:t>New cases diagnosed</w:t>
      </w:r>
    </w:p>
    <w:p w:rsidR="00875AC1" w:rsidRPr="00875AC1" w:rsidRDefault="00875AC1" w:rsidP="00F2252C">
      <w:r w:rsidRPr="00875AC1">
        <w:rPr>
          <w:b/>
          <w:bCs/>
        </w:rPr>
        <w:t>&gt;</w:t>
      </w:r>
      <w:r w:rsidRPr="00875AC1">
        <w:t xml:space="preserve"> In 2009 there were 666 new cases of mesothelioma diagnosed in Australia. </w:t>
      </w:r>
    </w:p>
    <w:p w:rsidR="00875AC1" w:rsidRPr="00875AC1" w:rsidRDefault="00875AC1" w:rsidP="005652E4">
      <w:pPr>
        <w:ind w:left="2880"/>
      </w:pPr>
      <w:r w:rsidRPr="00875AC1">
        <w:t xml:space="preserve">The total number of new cases of mesothelioma diagnosed has risen steadily in most years since 1982, when national data first became available, and reached a peak of 653 new cases in 2003. The number of new cases then decreased to 591 in 2006 which initially suggested a decreasing trend. However, the number of diagnoses reported in 2007 reached a new peak of 675 cases. This increase between 2006 and 2007 was mainly due to an increase in diagnoses for men (from 487 to 566 new cases respectively). </w:t>
      </w:r>
    </w:p>
    <w:p w:rsidR="00875AC1" w:rsidRPr="00875AC1" w:rsidRDefault="00875AC1" w:rsidP="00F2252C">
      <w:r w:rsidRPr="00875AC1">
        <w:rPr>
          <w:b/>
          <w:bCs/>
        </w:rPr>
        <w:t>&gt;</w:t>
      </w:r>
      <w:r w:rsidRPr="00875AC1">
        <w:t xml:space="preserve"> In 2009, the age-standardised incidence rate of new cases of mesothelioma was</w:t>
      </w:r>
      <w:r w:rsidRPr="00875AC1">
        <w:br/>
        <w:t xml:space="preserve">   2.8 per 100 000 population. </w:t>
      </w:r>
    </w:p>
    <w:p w:rsidR="00875AC1" w:rsidRPr="00875AC1" w:rsidRDefault="00875AC1" w:rsidP="005652E4">
      <w:pPr>
        <w:ind w:left="2880"/>
      </w:pPr>
      <w:r w:rsidRPr="00875AC1">
        <w:t xml:space="preserve">This rate has increased over time, from 1.2 cases in 1982 to a peak of 3.2 in 2003. </w:t>
      </w:r>
    </w:p>
    <w:p w:rsidR="00875AC1" w:rsidRPr="00875AC1" w:rsidRDefault="00875AC1" w:rsidP="005652E4">
      <w:pPr>
        <w:ind w:left="2880"/>
      </w:pPr>
      <w:r w:rsidRPr="00875AC1">
        <w:t>In 2009, the highest age-specific incidence rate of new cases occurred among men aged 80–84 years: 44 cases per 100 000 population aged 80–84 years.</w:t>
      </w:r>
    </w:p>
    <w:p w:rsidR="00875AC1" w:rsidRPr="00875AC1" w:rsidRDefault="00875AC1" w:rsidP="00F2252C">
      <w:pPr>
        <w:pStyle w:val="Headingtwo"/>
      </w:pPr>
      <w:r w:rsidRPr="00875AC1">
        <w:t>Deaths due to mesothelioma</w:t>
      </w:r>
    </w:p>
    <w:p w:rsidR="00875AC1" w:rsidRPr="00875AC1" w:rsidRDefault="00875AC1" w:rsidP="00F2252C">
      <w:r w:rsidRPr="00875AC1">
        <w:t xml:space="preserve">&gt; In 2011, 606 deaths were attributed to mesothelioma. </w:t>
      </w:r>
    </w:p>
    <w:p w:rsidR="00875AC1" w:rsidRPr="00875AC1" w:rsidRDefault="00875AC1" w:rsidP="005652E4">
      <w:pPr>
        <w:ind w:left="2880"/>
      </w:pPr>
      <w:r w:rsidRPr="00875AC1">
        <w:t xml:space="preserve">Data on the number of deaths due to mesothelioma are available for the years 1997 to 2011. Reflecting the increase in incidence of new cases diagnosed, the overall number of deaths resulting from mesothelioma generally increased over the period between 1997 and 2011 and reached a peak of 634 deaths in 2010.  </w:t>
      </w:r>
    </w:p>
    <w:p w:rsidR="00875AC1" w:rsidRPr="00875AC1" w:rsidRDefault="00875AC1" w:rsidP="00F2252C">
      <w:r w:rsidRPr="00875AC1">
        <w:t>&gt; In 2011, the age-standardised mortality rate from mesothelioma was 2.5 deaths</w:t>
      </w:r>
      <w:r w:rsidRPr="00875AC1">
        <w:br/>
        <w:t xml:space="preserve">   per 100 000 population.</w:t>
      </w:r>
    </w:p>
    <w:p w:rsidR="00875AC1" w:rsidRPr="00875AC1" w:rsidRDefault="00875AC1" w:rsidP="005652E4">
      <w:pPr>
        <w:ind w:left="2880"/>
      </w:pPr>
      <w:r w:rsidRPr="00875AC1">
        <w:t>The overall age-standardised mortality rate has remained relatively stable over the fifteen years for which data are available, ranging between a minimum of 2.1 deaths per 100 000 population in 1999 and a maximum of 2.7 in 2001.</w:t>
      </w:r>
    </w:p>
    <w:p w:rsidR="00875AC1" w:rsidRDefault="00875AC1" w:rsidP="00F2252C">
      <w:pPr>
        <w:rPr>
          <w:color w:val="00456B"/>
          <w:sz w:val="36"/>
          <w:szCs w:val="36"/>
        </w:rPr>
      </w:pPr>
      <w:r>
        <w:br w:type="page"/>
      </w:r>
    </w:p>
    <w:p w:rsidR="00875AC1" w:rsidRPr="00875AC1" w:rsidRDefault="00875AC1" w:rsidP="00F2252C">
      <w:pPr>
        <w:pStyle w:val="Heading1"/>
      </w:pPr>
      <w:r w:rsidRPr="00875AC1">
        <w:t>Introduction</w:t>
      </w:r>
    </w:p>
    <w:p w:rsidR="00875AC1" w:rsidRPr="00875AC1" w:rsidRDefault="00875AC1" w:rsidP="00F2252C">
      <w:r w:rsidRPr="00875AC1">
        <w:t>Mesothelioma is a fatal cancer that typically occurs 20 to 40 years after exposure to asbestos — although exposure does not necessarily result in the disease. All new cases of mesothelioma are notified to state and territory Cancer Registries, as mesothelioma is a notifiable disease. These data are collected nationally by the Australian Institute of Health and Welfare (AIHW) in the National Cancer Statistics Clearing House (NCSCH). Information on deaths from mesothelioma is also collected by the AIHW as part of the National Mortality Database. The AIHW publishes cancer data in spread</w:t>
      </w:r>
      <w:r w:rsidR="005652E4">
        <w:t xml:space="preserve"> </w:t>
      </w:r>
      <w:r w:rsidRPr="00875AC1">
        <w:t xml:space="preserve">sheets on its website. This report uses the mesothelioma data, and additional data supplied by the state and territory cancer registries to the AIHW, to report on the incidence of new cases and deaths from mesothelioma by both age and sex. In addition, trends over time are shown for the period 1982 to 2009 for the number of new cases, and from 1997 to 2011 for the number of deaths.  </w:t>
      </w:r>
    </w:p>
    <w:p w:rsidR="00875AC1" w:rsidRPr="00875AC1" w:rsidRDefault="00875AC1" w:rsidP="00F2252C">
      <w:r w:rsidRPr="00875AC1">
        <w:t>Mesothelioma of the pleura (a cancer affecting the protective lining of the lung and chest cavity) is the most common form of mesothelioma diagnosed in Austr</w:t>
      </w:r>
      <w:r w:rsidR="007A4517">
        <w:t>alia: involving approximately 93</w:t>
      </w:r>
      <w:r w:rsidRPr="00875AC1">
        <w:t>% of cases since 1982. Mesothelioma of the peritoneum (a cancer affecting the abdominal lining) is a much less common diagnosis</w:t>
      </w:r>
      <w:r w:rsidR="007A4517">
        <w:t>, accounting for approximately 6</w:t>
      </w:r>
      <w:r w:rsidRPr="00875AC1">
        <w:t>% of cases since 1982. The figures presented in this publication include all forms of mesothelioma.</w:t>
      </w:r>
    </w:p>
    <w:p w:rsidR="00875AC1" w:rsidRPr="00875AC1" w:rsidRDefault="00875AC1" w:rsidP="00F2252C">
      <w:pPr>
        <w:pStyle w:val="Heading1"/>
      </w:pPr>
      <w:r w:rsidRPr="00875AC1">
        <w:t>Asbestos production, use and control in Australia</w:t>
      </w:r>
    </w:p>
    <w:p w:rsidR="00875AC1" w:rsidRPr="00875AC1" w:rsidRDefault="00875AC1" w:rsidP="00F2252C">
      <w:r w:rsidRPr="00875AC1">
        <w:t xml:space="preserve">In Australia, more chrysotile (white asbestos) than amphibole (blue and brown) asbestos was mined until 1939. New South Wales, the first state to mine asbestos, produced the largest tonnages of chrysotile (until 1983) as well as smaller quantities of amphibole (until 1949). With the commencement of mining in Wittenoom in Western Australia in 1937, crocidolite (blue asbestos) dominated production until final closure of the mine in 1966. The main sources of raw asbestos imports were from Canada (chrysotile) and South Africa (crocidolite and amosite (brown asbestos)). Consumption peaked in about 1975 at approximately 70 000 tonnes per year. </w:t>
      </w:r>
    </w:p>
    <w:p w:rsidR="00875AC1" w:rsidRPr="00875AC1" w:rsidRDefault="00875AC1" w:rsidP="00F2252C">
      <w:r w:rsidRPr="00875AC1">
        <w:t xml:space="preserve">In addition to imports of asbestos fibre, Australia also imported many manufactured asbestos products, including asbestos containing cement articles, yarn, cord and fabric, joint and millboard, friction materials and gaskets. The main sources of supply were the United Kingdom (UK), United States of America (USA), Federal Republic of Germany and Japan. With the closing of the crocidolite mine at Wittenoom, Australian asbestos production and exports declined. Imports of chrysotile also started to decline. </w:t>
      </w:r>
    </w:p>
    <w:p w:rsidR="00875AC1" w:rsidRPr="00875AC1" w:rsidRDefault="00875AC1" w:rsidP="00F2252C">
      <w:r w:rsidRPr="00875AC1">
        <w:t>In Australia, over 60% of all production and 90% of all consumption of asbestos fibre was used in the asbestos cement manufacturing industry. From about 1940 to the late 1960s all three types of asbestos were used in this industry. The use of crocidolite began being phased out from 1967. Amosite was</w:t>
      </w:r>
      <w:r w:rsidR="00A9105B">
        <w:t xml:space="preserve"> used until the mid </w:t>
      </w:r>
      <w:r w:rsidRPr="00875AC1">
        <w:t>1980s. Much of the industry output remains in service today in the form of “fibro” houses and water and sewerage piping. By 1954, Australia was number four in the Western world in gross consumption of asbestos cement products, after the USA, UK and France: and clearly first on a per capita basis. After World War II to 1954, 70 000 asbestos cement houses were built in the state of New South Wales alone (52% of all houses built). Until the 1960s, 25% of all new housing in Australia was clad in asbestos cement.</w:t>
      </w:r>
    </w:p>
    <w:p w:rsidR="00875AC1" w:rsidRPr="00875AC1" w:rsidRDefault="00875AC1" w:rsidP="00F2252C">
      <w:r w:rsidRPr="00875AC1">
        <w:t xml:space="preserve">Exposures to asbestos in the past were very high in some industries and occupations: as much as 25 million particles per cubic foot (150 fibres/ml) in asbestos pulverisors and disintegrators in the asbestos cement industry, and up to 600 fibres/ml among baggers at Wittenoom. The use of asbestos products has been regulated since the late 1970s. A series of regulations adopted in the late 1970s and early 1980s by the various states imposed exposure limits of 0.1 fibres/ml for crocidolite and amosite, and 0.1-1.0 fibres/ml for chrysotile. In July 2003, a revised national exposure standard for chrysotile asbestos of 0.1 fibres/ml was declared by the National Occupational Health and Safety Commission (NOHSC). The prohibition of all forms of asbestos was adopted simultaneously under regulations in each Australian jurisdiction and Australian Customs on 31 December 2003. </w:t>
      </w:r>
    </w:p>
    <w:p w:rsidR="00875AC1" w:rsidRPr="00875AC1" w:rsidRDefault="00875AC1" w:rsidP="00F2252C">
      <w:r w:rsidRPr="00875AC1">
        <w:t xml:space="preserve">A new national Model Code of Practice, </w:t>
      </w:r>
      <w:r w:rsidRPr="00875AC1">
        <w:rPr>
          <w:i/>
          <w:iCs/>
        </w:rPr>
        <w:t>How to Manage and Control Asbestos in the Workplace</w:t>
      </w:r>
      <w:r w:rsidRPr="00875AC1">
        <w:t xml:space="preserve">, </w:t>
      </w:r>
      <w:r w:rsidRPr="00875AC1">
        <w:rPr>
          <w:i/>
          <w:iCs/>
        </w:rPr>
        <w:t>December 2011</w:t>
      </w:r>
      <w:r w:rsidRPr="00875AC1">
        <w:t>, is available as an electronic publication on the Safe Work Australia web site. This Code of Practice provides practical guidance for persons conducting a business or undertaking on how to manage risks associated with asbestos and asbestos containing material at the workplace and thereby minimise the incidence of asbestos-related diseases such as mesothelioma, asbestosis and lung cancer.</w:t>
      </w:r>
    </w:p>
    <w:p w:rsidR="00875AC1" w:rsidRPr="00875AC1" w:rsidRDefault="00875AC1" w:rsidP="00F2252C">
      <w:pPr>
        <w:pStyle w:val="Heading1"/>
      </w:pPr>
      <w:r w:rsidRPr="00F2252C">
        <w:rPr>
          <w:rStyle w:val="SubtleReference"/>
          <w:smallCaps w:val="0"/>
          <w:color w:val="365F91" w:themeColor="accent1" w:themeShade="BF"/>
          <w:u w:val="none"/>
        </w:rPr>
        <w:t>Mesothelioma</w:t>
      </w:r>
      <w:r w:rsidRPr="00875AC1">
        <w:t xml:space="preserve"> Projections</w:t>
      </w:r>
    </w:p>
    <w:p w:rsidR="00875AC1" w:rsidRPr="00875AC1" w:rsidRDefault="00875AC1" w:rsidP="00F2252C">
      <w:r w:rsidRPr="00875AC1">
        <w:t xml:space="preserve">Due to the long latency between exposure to asbestos and diagnosis of mesothelioma, typically between 20 and 40 years, it is expected that the incidence of mesothelioma will not peak until after 2013. Clements et al. (2007a) predict that the number of new cases in Australia will peak in 2017. In another study, Clements et al. (2007b) used two different models to project the incidence of mesothelioma in men </w:t>
      </w:r>
      <w:r w:rsidRPr="00875AC1">
        <w:rPr>
          <w:spacing w:val="-1"/>
        </w:rPr>
        <w:t xml:space="preserve">in New South Wales. Using an age/birth cohort model, they predicted that the number of new cases would peak in 2021 and using a model based on potential exposure to asbestos in terms of age and calendar year, they predicted the peak would occur in </w:t>
      </w:r>
      <w:r w:rsidRPr="00875AC1">
        <w:t>2014.</w:t>
      </w:r>
    </w:p>
    <w:p w:rsidR="00875AC1" w:rsidRPr="00875AC1" w:rsidRDefault="00875AC1" w:rsidP="00F2252C">
      <w:pPr>
        <w:pStyle w:val="Heading1"/>
      </w:pPr>
      <w:r w:rsidRPr="00875AC1">
        <w:t xml:space="preserve">The new Australian Mesothelioma Registry </w:t>
      </w:r>
    </w:p>
    <w:p w:rsidR="00875AC1" w:rsidRPr="00875AC1" w:rsidRDefault="00875AC1" w:rsidP="00F2252C">
      <w:r w:rsidRPr="00875AC1">
        <w:t>In February 2010, Safe Work Australia initiated and funded the establishment of a new Mesothelioma Registry (</w:t>
      </w:r>
      <w:r w:rsidRPr="00875AC1">
        <w:rPr>
          <w:color w:val="2725C7"/>
          <w:u w:val="thick" w:color="2725C7"/>
        </w:rPr>
        <w:t>www.mesothelioma-australia.com</w:t>
      </w:r>
      <w:r w:rsidRPr="00875AC1">
        <w:t xml:space="preserve">). The registry is </w:t>
      </w:r>
      <w:r w:rsidR="00775C6B">
        <w:t xml:space="preserve">currently co-funded by Safe Work Australia and Comcare and </w:t>
      </w:r>
      <w:r w:rsidRPr="00875AC1">
        <w:t xml:space="preserve">administered by the Cancer Institute of New South Wales in association with the Monash Centre for Occupational &amp; Environmental Health. Besides receiving </w:t>
      </w:r>
      <w:r w:rsidRPr="00875AC1">
        <w:rPr>
          <w:spacing w:val="-2"/>
        </w:rPr>
        <w:t>notifications of new diagnosis of mesothelioma from all Australian cancer registries, consenting patients are asked about their residential, occupational and environmental history of exposure to asbestos. The Registry management committee includes some of the leading experts in asbestos-related disease in Australia.</w:t>
      </w:r>
      <w:r w:rsidRPr="00875AC1">
        <w:t xml:space="preserve"> </w:t>
      </w:r>
    </w:p>
    <w:p w:rsidR="00875AC1" w:rsidRPr="00875AC1" w:rsidRDefault="00875AC1" w:rsidP="00F2252C">
      <w:r w:rsidRPr="00875AC1">
        <w:t>The aims of the Australian Mesothelioma Registry are to:</w:t>
      </w:r>
    </w:p>
    <w:p w:rsidR="00875AC1" w:rsidRPr="00E82AAA" w:rsidRDefault="00875AC1" w:rsidP="00F2252C">
      <w:pPr>
        <w:pStyle w:val="ListParagraph"/>
        <w:numPr>
          <w:ilvl w:val="0"/>
          <w:numId w:val="1"/>
        </w:numPr>
      </w:pPr>
      <w:r w:rsidRPr="00E82AAA">
        <w:t>better understand the exact relationship between asbestos exposure and mesothelioma</w:t>
      </w:r>
    </w:p>
    <w:p w:rsidR="00875AC1" w:rsidRPr="00E82AAA" w:rsidRDefault="00875AC1" w:rsidP="00F2252C">
      <w:pPr>
        <w:pStyle w:val="ListParagraph"/>
        <w:numPr>
          <w:ilvl w:val="0"/>
          <w:numId w:val="1"/>
        </w:numPr>
      </w:pPr>
      <w:r w:rsidRPr="00E82AAA">
        <w:t>better understand the nature and levels of asbestos exposure that can result in mesothelioma</w:t>
      </w:r>
    </w:p>
    <w:p w:rsidR="00875AC1" w:rsidRPr="00E82AAA" w:rsidRDefault="00875AC1" w:rsidP="00F2252C">
      <w:pPr>
        <w:pStyle w:val="ListParagraph"/>
        <w:numPr>
          <w:ilvl w:val="0"/>
          <w:numId w:val="1"/>
        </w:numPr>
      </w:pPr>
      <w:r w:rsidRPr="00E82AAA">
        <w:t>identify the groups of workers exposed to potentially dangerous levels of asbestos and to prevent that exposure</w:t>
      </w:r>
    </w:p>
    <w:p w:rsidR="00875AC1" w:rsidRPr="00E82AAA" w:rsidRDefault="00875AC1" w:rsidP="00F2252C">
      <w:pPr>
        <w:pStyle w:val="ListParagraph"/>
        <w:numPr>
          <w:ilvl w:val="0"/>
          <w:numId w:val="1"/>
        </w:numPr>
      </w:pPr>
      <w:r w:rsidRPr="00E82AAA">
        <w:t>assist the development of policies to best deal with the asbestos still present in our environment (mainly our built environment)</w:t>
      </w:r>
    </w:p>
    <w:p w:rsidR="00875AC1" w:rsidRPr="00E82AAA" w:rsidRDefault="00875AC1" w:rsidP="00F2252C">
      <w:pPr>
        <w:pStyle w:val="ListParagraph"/>
        <w:numPr>
          <w:ilvl w:val="0"/>
          <w:numId w:val="1"/>
        </w:numPr>
      </w:pPr>
      <w:r w:rsidRPr="00E82AAA">
        <w:t>provide information to assist researchers in undertaking investigations with the aim of preventing mesothelioma in the future, and</w:t>
      </w:r>
    </w:p>
    <w:p w:rsidR="00875AC1" w:rsidRPr="00E82AAA" w:rsidRDefault="00875AC1" w:rsidP="00F2252C">
      <w:pPr>
        <w:pStyle w:val="ListParagraph"/>
        <w:numPr>
          <w:ilvl w:val="0"/>
          <w:numId w:val="1"/>
        </w:numPr>
      </w:pPr>
      <w:r w:rsidRPr="00E82AAA">
        <w:t>identify other potential exposures that may cause mesothelioma.</w:t>
      </w:r>
    </w:p>
    <w:p w:rsidR="00875AC1" w:rsidRPr="00875AC1" w:rsidRDefault="00875AC1" w:rsidP="00F2252C">
      <w:r w:rsidRPr="00875AC1">
        <w:t>The second annual report of the Australian Mesothelioma Registry was released on the website in September 2013. It provides information on diagnoses and deaths for the years 2011 and 2012.</w:t>
      </w:r>
    </w:p>
    <w:p w:rsidR="00875AC1" w:rsidRDefault="00875AC1" w:rsidP="00F2252C">
      <w:pPr>
        <w:rPr>
          <w:color w:val="00456B"/>
          <w:sz w:val="36"/>
          <w:szCs w:val="36"/>
        </w:rPr>
      </w:pPr>
      <w:r>
        <w:br w:type="page"/>
      </w:r>
    </w:p>
    <w:p w:rsidR="00875AC1" w:rsidRPr="00875AC1" w:rsidRDefault="00875AC1" w:rsidP="00F2252C">
      <w:pPr>
        <w:pStyle w:val="Heading1"/>
      </w:pPr>
      <w:r w:rsidRPr="00875AC1">
        <w:t>Incidence of mesothelioma</w:t>
      </w:r>
    </w:p>
    <w:p w:rsidR="00875AC1" w:rsidRPr="00875AC1" w:rsidRDefault="00875AC1" w:rsidP="00F2252C">
      <w:pPr>
        <w:pStyle w:val="Headingtwo"/>
      </w:pPr>
      <w:r w:rsidRPr="00875AC1">
        <w:t>New cases diagnosed in 2009</w:t>
      </w:r>
    </w:p>
    <w:p w:rsidR="00875AC1" w:rsidRPr="00875AC1" w:rsidRDefault="00875AC1" w:rsidP="00F2252C">
      <w:r w:rsidRPr="00875AC1">
        <w:t>All cases of cancer in Australia are notifiable by legislation to state and territory cancer registries. These registries report to the NCSCH which is operated by the AIHW under the supervision of the Australasian Association of Cancer Registries (AACR). National data on mesothelioma are available from 1982. National data presented in this report were provided by the AIHW. State and territory data were provided by the relevant registry through the AIHW.</w:t>
      </w:r>
    </w:p>
    <w:p w:rsidR="00875AC1" w:rsidRPr="00875AC1" w:rsidRDefault="00875AC1" w:rsidP="00F2252C">
      <w:r w:rsidRPr="00875AC1">
        <w:t>Incidence in a calendar year is defined as the number of new cases of mesothelioma diagnosed in an Australian state or territory in that year. In 2009, there were 666 people diagnosed with mesothelioma in Australia. Of these new cases about four out of every five cases (81%) were men.</w:t>
      </w:r>
    </w:p>
    <w:p w:rsidR="00875AC1" w:rsidRDefault="00875AC1" w:rsidP="00F2252C">
      <w:r w:rsidRPr="00875AC1">
        <w:rPr>
          <w:i/>
          <w:iCs/>
          <w:color w:val="00456B"/>
        </w:rPr>
        <w:t>Figure 1</w:t>
      </w:r>
      <w:r w:rsidRPr="00875AC1">
        <w:t xml:space="preserve">   </w:t>
      </w:r>
      <w:r w:rsidRPr="00A4027D">
        <w:rPr>
          <w:b/>
        </w:rPr>
        <w:t>New cases of mesothelioma: by age and sex, 2009</w:t>
      </w:r>
    </w:p>
    <w:p w:rsidR="00634182" w:rsidRPr="00875AC1" w:rsidRDefault="00634182" w:rsidP="00F2252C">
      <w:pPr>
        <w:rPr>
          <w:spacing w:val="-1"/>
        </w:rPr>
      </w:pPr>
      <w:r>
        <w:rPr>
          <w:noProof/>
          <w:lang w:val="en-AU"/>
        </w:rPr>
        <w:drawing>
          <wp:inline distT="0" distB="0" distL="0" distR="0" wp14:anchorId="67FDEEBE" wp14:editId="512421E6">
            <wp:extent cx="4991965" cy="3100820"/>
            <wp:effectExtent l="0" t="0" r="0" b="0"/>
            <wp:docPr id="1" name="Chart 1" descr="New cases of mesothelioma: by age and sex, 2009. Discussed in commentary." title="Figure 1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5AC1" w:rsidRPr="00875AC1" w:rsidRDefault="00875AC1" w:rsidP="00F2252C">
      <w:r w:rsidRPr="00875AC1">
        <w:t>Figure 1 shows the distribution by age and sex of patients diagnosed with mesothelioma in 2009. There were 540 men diagnosed with mesothelioma (see Table 1). These men were predominately of older age: 420 (78%) were aged 65 years or more. There were two men in their late thirties diagnosed but no males younger.</w:t>
      </w:r>
    </w:p>
    <w:p w:rsidR="00346638" w:rsidRDefault="00875AC1" w:rsidP="00F2252C">
      <w:r w:rsidRPr="00875AC1">
        <w:t>There were 126 women diagnosed with mesothelioma in 2009. Similarly to males, these women were predominately of older age: 90 (71%) were aged 65 years or more. There was one women aged in her late twenties diagnosed but none younger.</w:t>
      </w:r>
    </w:p>
    <w:p w:rsidR="00346638" w:rsidRDefault="00346638">
      <w:pPr>
        <w:suppressAutoHyphens w:val="0"/>
        <w:autoSpaceDE/>
        <w:autoSpaceDN/>
        <w:adjustRightInd/>
        <w:spacing w:after="0" w:line="240" w:lineRule="auto"/>
        <w:ind w:left="0"/>
        <w:textAlignment w:val="auto"/>
      </w:pPr>
      <w:r>
        <w:br w:type="page"/>
      </w:r>
    </w:p>
    <w:p w:rsidR="00875AC1" w:rsidRDefault="00875AC1" w:rsidP="00F2252C">
      <w:r w:rsidRPr="00875AC1">
        <w:rPr>
          <w:i/>
          <w:iCs/>
          <w:color w:val="00456B"/>
        </w:rPr>
        <w:t>Figure 2</w:t>
      </w:r>
      <w:r w:rsidRPr="00875AC1">
        <w:t xml:space="preserve">   </w:t>
      </w:r>
      <w:r w:rsidRPr="00A4027D">
        <w:rPr>
          <w:b/>
        </w:rPr>
        <w:t>New cases of mesothelioma: age-specific incidence rate</w:t>
      </w:r>
      <w:r w:rsidRPr="00A4027D">
        <w:rPr>
          <w:b/>
          <w:vertAlign w:val="superscript"/>
        </w:rPr>
        <w:t xml:space="preserve"> </w:t>
      </w:r>
      <w:r w:rsidRPr="00A4027D">
        <w:rPr>
          <w:b/>
        </w:rPr>
        <w:t>by sex, 2009</w:t>
      </w:r>
    </w:p>
    <w:p w:rsidR="00346638" w:rsidRPr="00875AC1" w:rsidRDefault="00346638" w:rsidP="00F2252C">
      <w:r>
        <w:rPr>
          <w:noProof/>
          <w:lang w:val="en-AU"/>
        </w:rPr>
        <w:drawing>
          <wp:inline distT="0" distB="0" distL="0" distR="0" wp14:anchorId="44CB5DC8" wp14:editId="5F79E572">
            <wp:extent cx="4859579" cy="3058487"/>
            <wp:effectExtent l="0" t="0" r="0" b="8890"/>
            <wp:docPr id="2" name="Chart 2" descr="New cases of mesothelioma: age-specific incidence rate by sex, 2009. Discussed in commentary." title="Figure 2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5AC1" w:rsidRPr="00875AC1" w:rsidRDefault="00875AC1" w:rsidP="00F2252C">
      <w:r w:rsidRPr="00875AC1">
        <w:t xml:space="preserve">Figure 2 shows the age-specific incidence rates (new cases per 100 000 population of that age) for the year 2009. For men, the incidence rate increased consistently and considerably with age: reaching a maximum of 44 new cases per 100 000 males among men aged 80–84 years. For women, a similar pattern was observed. The maximum rate for women occurred among those aged 85 years and over: 8 new cases per 100 000 females. </w:t>
      </w:r>
    </w:p>
    <w:p w:rsidR="00875AC1" w:rsidRPr="00875AC1" w:rsidRDefault="00875AC1" w:rsidP="00F2252C">
      <w:pPr>
        <w:pStyle w:val="Headingtwo"/>
      </w:pPr>
      <w:r w:rsidRPr="00875AC1">
        <w:t>Trends over time — 1982 to 2009</w:t>
      </w:r>
    </w:p>
    <w:p w:rsidR="00875AC1" w:rsidRPr="00875AC1" w:rsidRDefault="00875AC1" w:rsidP="00F2252C">
      <w:pPr>
        <w:pStyle w:val="Headingthree"/>
      </w:pPr>
      <w:r w:rsidRPr="00875AC1">
        <w:t>National data</w:t>
      </w:r>
    </w:p>
    <w:p w:rsidR="00875AC1" w:rsidRPr="00875AC1" w:rsidRDefault="00875AC1" w:rsidP="00F2252C">
      <w:r w:rsidRPr="00875AC1">
        <w:t>Figure 3 and Table 1 show that the total number of new cases of mesothelioma diagnosed has risen steadily in most years since 1982, when national data first became available, and reached a peak of 653 new cases in 2003. The number of new cases then decreased to 591 in 2006 which initially suggested a decreasing trend. However, the number of diagnoses reported in 2007 reached a new peak of 675 cases. This increase between 2006 and 2007 was mainly due to an increase in diagnoses for men (from 487 to 566 new cases respectively). The figure for 2009 is only slightly lower than the 2007 peak at 666 new cases.</w:t>
      </w:r>
    </w:p>
    <w:p w:rsidR="00346638" w:rsidRDefault="00875AC1" w:rsidP="00F2252C">
      <w:pPr>
        <w:rPr>
          <w:spacing w:val="-1"/>
        </w:rPr>
      </w:pPr>
      <w:r w:rsidRPr="00875AC1">
        <w:t>Figure 3 clearly shows that the large majority of new cases in any year involve males.</w:t>
      </w:r>
      <w:r w:rsidR="00EF3DF7">
        <w:t xml:space="preserve"> </w:t>
      </w:r>
      <w:r w:rsidRPr="00875AC1">
        <w:t xml:space="preserve">However, the proportion of new diagnoses for females increased slightly over the collection period. Over the five-year period 1982 to 1986 females represented on average </w:t>
      </w:r>
      <w:r w:rsidRPr="00875AC1">
        <w:rPr>
          <w:spacing w:val="-1"/>
        </w:rPr>
        <w:t>12% of all new cases, whereas over the period 2005 to 2009 the average was 18%.</w:t>
      </w:r>
    </w:p>
    <w:p w:rsidR="00346638" w:rsidRDefault="00346638">
      <w:pPr>
        <w:suppressAutoHyphens w:val="0"/>
        <w:autoSpaceDE/>
        <w:autoSpaceDN/>
        <w:adjustRightInd/>
        <w:spacing w:after="0" w:line="240" w:lineRule="auto"/>
        <w:ind w:left="0"/>
        <w:textAlignment w:val="auto"/>
        <w:rPr>
          <w:spacing w:val="-1"/>
        </w:rPr>
      </w:pPr>
      <w:r>
        <w:rPr>
          <w:spacing w:val="-1"/>
        </w:rPr>
        <w:br w:type="page"/>
      </w:r>
    </w:p>
    <w:p w:rsidR="00875AC1" w:rsidRDefault="00875AC1" w:rsidP="00F2252C">
      <w:r w:rsidRPr="00875AC1">
        <w:rPr>
          <w:i/>
          <w:iCs/>
          <w:color w:val="00456B"/>
        </w:rPr>
        <w:t>Figure 3</w:t>
      </w:r>
      <w:r w:rsidRPr="00875AC1">
        <w:t xml:space="preserve">   </w:t>
      </w:r>
      <w:r w:rsidRPr="00A4027D">
        <w:rPr>
          <w:b/>
        </w:rPr>
        <w:t>New cases of mesothelioma: year of diagnosis by sex, 1982 to 2009</w:t>
      </w:r>
    </w:p>
    <w:p w:rsidR="00346638" w:rsidRPr="00875AC1" w:rsidRDefault="00346638" w:rsidP="00F2252C">
      <w:r>
        <w:rPr>
          <w:noProof/>
          <w:lang w:val="en-AU"/>
        </w:rPr>
        <w:drawing>
          <wp:inline distT="0" distB="0" distL="0" distR="0" wp14:anchorId="69669CD7" wp14:editId="209BC990">
            <wp:extent cx="5254337" cy="2900868"/>
            <wp:effectExtent l="0" t="0" r="3810" b="0"/>
            <wp:docPr id="3" name="Chart 3" descr="New cases of mesothelioma: year of diagnosis by sex, 1982 to 2009.  Discussed in commentary."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13DA" w:rsidRPr="003913DA" w:rsidRDefault="003913DA" w:rsidP="003913DA">
      <w:pPr>
        <w:rPr>
          <w:b/>
          <w:bCs/>
          <w:sz w:val="20"/>
        </w:rPr>
      </w:pPr>
      <w:r w:rsidRPr="003913DA">
        <w:rPr>
          <w:b/>
          <w:bCs/>
          <w:i/>
          <w:iCs/>
          <w:color w:val="00456B"/>
          <w:sz w:val="20"/>
        </w:rPr>
        <w:t>Table 1</w:t>
      </w:r>
      <w:r w:rsidRPr="003913DA">
        <w:rPr>
          <w:b/>
          <w:bCs/>
          <w:sz w:val="20"/>
        </w:rPr>
        <w:t xml:space="preserve">   New cases of mesothelioma: year of diagnosis by sex, 1982 to 2009</w:t>
      </w:r>
    </w:p>
    <w:tbl>
      <w:tblPr>
        <w:tblW w:w="0" w:type="auto"/>
        <w:tblInd w:w="2880" w:type="dxa"/>
        <w:tblLayout w:type="fixed"/>
        <w:tblCellMar>
          <w:left w:w="0" w:type="dxa"/>
          <w:right w:w="0" w:type="dxa"/>
        </w:tblCellMar>
        <w:tblLook w:val="0000" w:firstRow="0" w:lastRow="0" w:firstColumn="0" w:lastColumn="0" w:noHBand="0" w:noVBand="0"/>
      </w:tblPr>
      <w:tblGrid>
        <w:gridCol w:w="763"/>
        <w:gridCol w:w="2298"/>
        <w:gridCol w:w="2013"/>
        <w:gridCol w:w="2301"/>
      </w:tblGrid>
      <w:tr w:rsidR="003913DA" w:rsidRPr="003913DA" w:rsidTr="003913DA">
        <w:trPr>
          <w:trHeight w:val="283"/>
        </w:trPr>
        <w:tc>
          <w:tcPr>
            <w:tcW w:w="763" w:type="dxa"/>
            <w:tcBorders>
              <w:top w:val="single" w:sz="8" w:space="0" w:color="00456B"/>
              <w:left w:val="single" w:sz="6" w:space="0" w:color="auto"/>
              <w:bottom w:val="single" w:sz="8" w:space="0" w:color="00456B"/>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b/>
                <w:bCs/>
                <w:sz w:val="18"/>
                <w:szCs w:val="18"/>
              </w:rPr>
            </w:pPr>
            <w:r w:rsidRPr="003913DA">
              <w:rPr>
                <w:b/>
                <w:bCs/>
                <w:sz w:val="18"/>
                <w:szCs w:val="18"/>
              </w:rPr>
              <w:t>Year</w:t>
            </w:r>
          </w:p>
        </w:tc>
        <w:tc>
          <w:tcPr>
            <w:tcW w:w="2298" w:type="dxa"/>
            <w:tcBorders>
              <w:top w:val="single" w:sz="8" w:space="0" w:color="00456B"/>
              <w:left w:val="single" w:sz="6" w:space="0" w:color="auto"/>
              <w:bottom w:val="single" w:sz="8" w:space="0" w:color="00456B"/>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b/>
                <w:bCs/>
                <w:sz w:val="18"/>
                <w:szCs w:val="18"/>
              </w:rPr>
            </w:pPr>
            <w:r w:rsidRPr="003913DA">
              <w:rPr>
                <w:b/>
                <w:bCs/>
                <w:sz w:val="18"/>
                <w:szCs w:val="18"/>
              </w:rPr>
              <w:t>Males</w:t>
            </w:r>
          </w:p>
        </w:tc>
        <w:tc>
          <w:tcPr>
            <w:tcW w:w="2013" w:type="dxa"/>
            <w:tcBorders>
              <w:top w:val="single" w:sz="8" w:space="0" w:color="00456B"/>
              <w:left w:val="single" w:sz="6" w:space="0" w:color="auto"/>
              <w:bottom w:val="single" w:sz="8" w:space="0" w:color="00456B"/>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b/>
                <w:bCs/>
                <w:sz w:val="18"/>
                <w:szCs w:val="18"/>
              </w:rPr>
            </w:pPr>
            <w:r w:rsidRPr="003913DA">
              <w:rPr>
                <w:b/>
                <w:bCs/>
                <w:sz w:val="18"/>
                <w:szCs w:val="18"/>
              </w:rPr>
              <w:t>Females</w:t>
            </w:r>
          </w:p>
        </w:tc>
        <w:tc>
          <w:tcPr>
            <w:tcW w:w="2301" w:type="dxa"/>
            <w:tcBorders>
              <w:top w:val="single" w:sz="8" w:space="0" w:color="00456B"/>
              <w:left w:val="single" w:sz="6" w:space="0" w:color="auto"/>
              <w:bottom w:val="single" w:sz="8" w:space="0" w:color="00456B"/>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8"/>
                <w:szCs w:val="18"/>
              </w:rPr>
            </w:pPr>
            <w:r w:rsidRPr="003913DA">
              <w:rPr>
                <w:b/>
                <w:bCs/>
                <w:sz w:val="18"/>
                <w:szCs w:val="18"/>
              </w:rPr>
              <w:t>Persons</w:t>
            </w:r>
          </w:p>
        </w:tc>
      </w:tr>
      <w:tr w:rsidR="003913DA" w:rsidRPr="003913DA" w:rsidTr="003913DA">
        <w:trPr>
          <w:trHeight w:hRule="exact" w:val="238"/>
        </w:trPr>
        <w:tc>
          <w:tcPr>
            <w:tcW w:w="763" w:type="dxa"/>
            <w:tcBorders>
              <w:top w:val="single" w:sz="8" w:space="0" w:color="00456B"/>
              <w:left w:val="single" w:sz="6" w:space="0" w:color="000000"/>
              <w:bottom w:val="single" w:sz="6" w:space="0" w:color="auto"/>
              <w:right w:val="single" w:sz="6" w:space="0" w:color="000000"/>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1982</w:t>
            </w:r>
          </w:p>
        </w:tc>
        <w:tc>
          <w:tcPr>
            <w:tcW w:w="2298" w:type="dxa"/>
            <w:tcBorders>
              <w:top w:val="single" w:sz="8" w:space="0" w:color="00456B"/>
              <w:left w:val="single" w:sz="6" w:space="0" w:color="000000"/>
              <w:bottom w:val="single" w:sz="6" w:space="0" w:color="auto"/>
              <w:right w:val="single" w:sz="6" w:space="0" w:color="000000"/>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134</w:t>
            </w:r>
          </w:p>
        </w:tc>
        <w:tc>
          <w:tcPr>
            <w:tcW w:w="2013" w:type="dxa"/>
            <w:tcBorders>
              <w:top w:val="single" w:sz="8" w:space="0" w:color="00456B"/>
              <w:left w:val="single" w:sz="6" w:space="0" w:color="000000"/>
              <w:bottom w:val="single" w:sz="6" w:space="0" w:color="auto"/>
              <w:right w:val="single" w:sz="6" w:space="0" w:color="000000"/>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22</w:t>
            </w:r>
          </w:p>
        </w:tc>
        <w:tc>
          <w:tcPr>
            <w:tcW w:w="2301" w:type="dxa"/>
            <w:tcBorders>
              <w:top w:val="single" w:sz="8" w:space="0" w:color="00456B"/>
              <w:left w:val="single" w:sz="6" w:space="0" w:color="000000"/>
              <w:bottom w:val="single" w:sz="6" w:space="0" w:color="auto"/>
              <w:right w:val="single" w:sz="6" w:space="0" w:color="000000"/>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156</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1983</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131</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15</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146</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1984</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149</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17</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166</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1985</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178</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24</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202</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1986</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195</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30</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225</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1987</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174</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29</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203</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1988</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246</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31</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277</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1989</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229</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40</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269</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1990</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257</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34</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291</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1991</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260</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47</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307</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1992</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287</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39</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326</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1993</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318</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51</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369</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1994</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373</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47</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420</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1995</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335</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59</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394</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1996</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362</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53</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415</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1997</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393</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75</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468</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1998</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412</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61</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473</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1999</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401</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76</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477</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2000</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403</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77</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480</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2001</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468</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107</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575</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2002</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455</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108</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563</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2003</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541</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112</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653</w:t>
            </w:r>
          </w:p>
        </w:tc>
      </w:tr>
      <w:tr w:rsidR="003913DA" w:rsidRPr="003913DA" w:rsidTr="003913DA">
        <w:trPr>
          <w:trHeight w:hRule="exact" w:val="238"/>
        </w:trPr>
        <w:tc>
          <w:tcPr>
            <w:tcW w:w="763" w:type="dxa"/>
            <w:tcBorders>
              <w:top w:val="single" w:sz="6" w:space="0" w:color="auto"/>
              <w:left w:val="single" w:sz="6" w:space="0" w:color="auto"/>
              <w:bottom w:val="single" w:sz="6" w:space="0" w:color="26466A"/>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2004</w:t>
            </w:r>
          </w:p>
        </w:tc>
        <w:tc>
          <w:tcPr>
            <w:tcW w:w="2298" w:type="dxa"/>
            <w:tcBorders>
              <w:top w:val="single" w:sz="6" w:space="0" w:color="auto"/>
              <w:left w:val="single" w:sz="6" w:space="0" w:color="auto"/>
              <w:bottom w:val="single" w:sz="6" w:space="0" w:color="26466A"/>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512</w:t>
            </w:r>
          </w:p>
        </w:tc>
        <w:tc>
          <w:tcPr>
            <w:tcW w:w="2013" w:type="dxa"/>
            <w:tcBorders>
              <w:top w:val="single" w:sz="6" w:space="0" w:color="auto"/>
              <w:left w:val="single" w:sz="6" w:space="0" w:color="auto"/>
              <w:bottom w:val="single" w:sz="6" w:space="0" w:color="26466A"/>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93</w:t>
            </w:r>
          </w:p>
        </w:tc>
        <w:tc>
          <w:tcPr>
            <w:tcW w:w="2301" w:type="dxa"/>
            <w:tcBorders>
              <w:top w:val="single" w:sz="6" w:space="0" w:color="auto"/>
              <w:left w:val="single" w:sz="6" w:space="0" w:color="auto"/>
              <w:bottom w:val="single" w:sz="6" w:space="0" w:color="26466A"/>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605</w:t>
            </w:r>
          </w:p>
        </w:tc>
      </w:tr>
      <w:tr w:rsidR="003913DA" w:rsidRPr="003913DA" w:rsidTr="003913DA">
        <w:trPr>
          <w:trHeight w:hRule="exact" w:val="238"/>
        </w:trPr>
        <w:tc>
          <w:tcPr>
            <w:tcW w:w="763" w:type="dxa"/>
            <w:tcBorders>
              <w:top w:val="single" w:sz="6" w:space="0" w:color="26466A"/>
              <w:left w:val="single" w:sz="6" w:space="0" w:color="26466A"/>
              <w:bottom w:val="single" w:sz="6" w:space="0" w:color="000000"/>
              <w:right w:val="single" w:sz="6" w:space="0" w:color="26466A"/>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2005</w:t>
            </w:r>
          </w:p>
        </w:tc>
        <w:tc>
          <w:tcPr>
            <w:tcW w:w="2298" w:type="dxa"/>
            <w:tcBorders>
              <w:top w:val="single" w:sz="6" w:space="0" w:color="26466A"/>
              <w:left w:val="single" w:sz="6" w:space="0" w:color="26466A"/>
              <w:bottom w:val="single" w:sz="6" w:space="0" w:color="000000"/>
              <w:right w:val="single" w:sz="6" w:space="0" w:color="26466A"/>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499</w:t>
            </w:r>
          </w:p>
        </w:tc>
        <w:tc>
          <w:tcPr>
            <w:tcW w:w="2013" w:type="dxa"/>
            <w:tcBorders>
              <w:top w:val="single" w:sz="6" w:space="0" w:color="26466A"/>
              <w:left w:val="single" w:sz="6" w:space="0" w:color="26466A"/>
              <w:bottom w:val="single" w:sz="6" w:space="0" w:color="000000"/>
              <w:right w:val="single" w:sz="6" w:space="0" w:color="26466A"/>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113</w:t>
            </w:r>
          </w:p>
        </w:tc>
        <w:tc>
          <w:tcPr>
            <w:tcW w:w="2301" w:type="dxa"/>
            <w:tcBorders>
              <w:top w:val="single" w:sz="6" w:space="0" w:color="26466A"/>
              <w:left w:val="single" w:sz="6" w:space="0" w:color="26466A"/>
              <w:bottom w:val="single" w:sz="6" w:space="0" w:color="000000"/>
              <w:right w:val="single" w:sz="6" w:space="0" w:color="26466A"/>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612</w:t>
            </w:r>
          </w:p>
        </w:tc>
      </w:tr>
      <w:tr w:rsidR="003913DA" w:rsidRPr="003913DA" w:rsidTr="003913DA">
        <w:trPr>
          <w:trHeight w:hRule="exact" w:val="238"/>
        </w:trPr>
        <w:tc>
          <w:tcPr>
            <w:tcW w:w="763" w:type="dxa"/>
            <w:tcBorders>
              <w:top w:val="single" w:sz="6" w:space="0" w:color="000000"/>
              <w:left w:val="single" w:sz="6" w:space="0" w:color="auto"/>
              <w:bottom w:val="single" w:sz="6" w:space="0" w:color="000000"/>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2006</w:t>
            </w:r>
          </w:p>
        </w:tc>
        <w:tc>
          <w:tcPr>
            <w:tcW w:w="2298" w:type="dxa"/>
            <w:tcBorders>
              <w:top w:val="single" w:sz="6" w:space="0" w:color="000000"/>
              <w:left w:val="single" w:sz="6" w:space="0" w:color="auto"/>
              <w:bottom w:val="single" w:sz="6" w:space="0" w:color="000000"/>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487</w:t>
            </w:r>
          </w:p>
        </w:tc>
        <w:tc>
          <w:tcPr>
            <w:tcW w:w="2013" w:type="dxa"/>
            <w:tcBorders>
              <w:top w:val="single" w:sz="6" w:space="0" w:color="000000"/>
              <w:left w:val="single" w:sz="6" w:space="0" w:color="auto"/>
              <w:bottom w:val="single" w:sz="6" w:space="0" w:color="000000"/>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104</w:t>
            </w:r>
          </w:p>
        </w:tc>
        <w:tc>
          <w:tcPr>
            <w:tcW w:w="2301" w:type="dxa"/>
            <w:tcBorders>
              <w:top w:val="single" w:sz="6" w:space="0" w:color="000000"/>
              <w:left w:val="single" w:sz="6" w:space="0" w:color="auto"/>
              <w:bottom w:val="single" w:sz="6" w:space="0" w:color="000000"/>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591</w:t>
            </w:r>
          </w:p>
        </w:tc>
      </w:tr>
      <w:tr w:rsidR="003913DA" w:rsidRPr="003913DA" w:rsidTr="003913DA">
        <w:trPr>
          <w:trHeight w:hRule="exact" w:val="238"/>
        </w:trPr>
        <w:tc>
          <w:tcPr>
            <w:tcW w:w="763" w:type="dxa"/>
            <w:tcBorders>
              <w:top w:val="single" w:sz="6" w:space="0" w:color="000000"/>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2007</w:t>
            </w:r>
          </w:p>
        </w:tc>
        <w:tc>
          <w:tcPr>
            <w:tcW w:w="2298" w:type="dxa"/>
            <w:tcBorders>
              <w:top w:val="single" w:sz="6" w:space="0" w:color="000000"/>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566</w:t>
            </w:r>
          </w:p>
        </w:tc>
        <w:tc>
          <w:tcPr>
            <w:tcW w:w="2013" w:type="dxa"/>
            <w:tcBorders>
              <w:top w:val="single" w:sz="6" w:space="0" w:color="000000"/>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109</w:t>
            </w:r>
          </w:p>
        </w:tc>
        <w:tc>
          <w:tcPr>
            <w:tcW w:w="2301" w:type="dxa"/>
            <w:tcBorders>
              <w:top w:val="single" w:sz="6" w:space="0" w:color="000000"/>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675</w:t>
            </w:r>
          </w:p>
        </w:tc>
      </w:tr>
      <w:tr w:rsidR="003913DA" w:rsidRPr="003913DA" w:rsidTr="003913DA">
        <w:trPr>
          <w:trHeight w:hRule="exact" w:val="238"/>
        </w:trPr>
        <w:tc>
          <w:tcPr>
            <w:tcW w:w="7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2008</w:t>
            </w:r>
          </w:p>
        </w:tc>
        <w:tc>
          <w:tcPr>
            <w:tcW w:w="22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547</w:t>
            </w:r>
          </w:p>
        </w:tc>
        <w:tc>
          <w:tcPr>
            <w:tcW w:w="201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116</w:t>
            </w:r>
          </w:p>
        </w:tc>
        <w:tc>
          <w:tcPr>
            <w:tcW w:w="23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663</w:t>
            </w:r>
          </w:p>
        </w:tc>
      </w:tr>
      <w:tr w:rsidR="003913DA" w:rsidRPr="003913DA" w:rsidTr="003913DA">
        <w:trPr>
          <w:trHeight w:hRule="exact" w:val="238"/>
        </w:trPr>
        <w:tc>
          <w:tcPr>
            <w:tcW w:w="763" w:type="dxa"/>
            <w:tcBorders>
              <w:top w:val="single" w:sz="6" w:space="0" w:color="auto"/>
              <w:left w:val="single" w:sz="6" w:space="0" w:color="auto"/>
              <w:bottom w:val="single" w:sz="16" w:space="0" w:color="00456B"/>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rPr>
                <w:sz w:val="16"/>
                <w:szCs w:val="16"/>
              </w:rPr>
            </w:pPr>
            <w:r w:rsidRPr="003913DA">
              <w:rPr>
                <w:sz w:val="16"/>
                <w:szCs w:val="16"/>
              </w:rPr>
              <w:t>2009</w:t>
            </w:r>
          </w:p>
        </w:tc>
        <w:tc>
          <w:tcPr>
            <w:tcW w:w="2298" w:type="dxa"/>
            <w:tcBorders>
              <w:top w:val="single" w:sz="6" w:space="0" w:color="auto"/>
              <w:left w:val="single" w:sz="6" w:space="0" w:color="auto"/>
              <w:bottom w:val="single" w:sz="16" w:space="0" w:color="00456B"/>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540</w:t>
            </w:r>
          </w:p>
        </w:tc>
        <w:tc>
          <w:tcPr>
            <w:tcW w:w="2013" w:type="dxa"/>
            <w:tcBorders>
              <w:top w:val="single" w:sz="6" w:space="0" w:color="auto"/>
              <w:left w:val="single" w:sz="6" w:space="0" w:color="auto"/>
              <w:bottom w:val="single" w:sz="16" w:space="0" w:color="00456B"/>
              <w:right w:val="single" w:sz="6" w:space="0" w:color="auto"/>
            </w:tcBorders>
            <w:tcMar>
              <w:top w:w="0" w:type="dxa"/>
              <w:left w:w="0" w:type="dxa"/>
              <w:bottom w:w="0" w:type="dxa"/>
              <w:right w:w="0" w:type="dxa"/>
            </w:tcMar>
            <w:vAlign w:val="center"/>
          </w:tcPr>
          <w:p w:rsidR="003913DA" w:rsidRPr="003913DA" w:rsidRDefault="003913DA" w:rsidP="003913DA">
            <w:pPr>
              <w:suppressAutoHyphens w:val="0"/>
              <w:spacing w:after="0" w:line="288" w:lineRule="auto"/>
              <w:ind w:left="0"/>
              <w:jc w:val="right"/>
              <w:rPr>
                <w:sz w:val="16"/>
                <w:szCs w:val="16"/>
              </w:rPr>
            </w:pPr>
            <w:r w:rsidRPr="003913DA">
              <w:rPr>
                <w:sz w:val="16"/>
                <w:szCs w:val="16"/>
              </w:rPr>
              <w:t>126</w:t>
            </w:r>
          </w:p>
        </w:tc>
        <w:tc>
          <w:tcPr>
            <w:tcW w:w="2301" w:type="dxa"/>
            <w:tcBorders>
              <w:top w:val="single" w:sz="6" w:space="0" w:color="auto"/>
              <w:left w:val="single" w:sz="6" w:space="0" w:color="auto"/>
              <w:bottom w:val="single" w:sz="16" w:space="0" w:color="00456B"/>
              <w:right w:val="single" w:sz="6" w:space="0" w:color="auto"/>
            </w:tcBorders>
            <w:tcMar>
              <w:top w:w="57" w:type="dxa"/>
              <w:left w:w="57" w:type="dxa"/>
              <w:bottom w:w="57" w:type="dxa"/>
              <w:right w:w="57" w:type="dxa"/>
            </w:tcMar>
            <w:vAlign w:val="center"/>
          </w:tcPr>
          <w:p w:rsidR="003913DA" w:rsidRPr="003913DA" w:rsidRDefault="003913DA" w:rsidP="003913DA">
            <w:pPr>
              <w:suppressAutoHyphens w:val="0"/>
              <w:spacing w:after="0" w:line="288" w:lineRule="auto"/>
              <w:ind w:left="0"/>
              <w:jc w:val="right"/>
              <w:rPr>
                <w:b/>
                <w:bCs/>
                <w:sz w:val="16"/>
                <w:szCs w:val="16"/>
              </w:rPr>
            </w:pPr>
            <w:r w:rsidRPr="003913DA">
              <w:rPr>
                <w:b/>
                <w:bCs/>
                <w:sz w:val="16"/>
                <w:szCs w:val="16"/>
              </w:rPr>
              <w:t>666</w:t>
            </w:r>
          </w:p>
        </w:tc>
      </w:tr>
    </w:tbl>
    <w:p w:rsidR="003913DA" w:rsidRPr="003913DA" w:rsidRDefault="003913DA" w:rsidP="003913DA">
      <w:pPr>
        <w:rPr>
          <w:sz w:val="20"/>
        </w:rPr>
      </w:pPr>
    </w:p>
    <w:p w:rsidR="003913DA" w:rsidRDefault="003913DA" w:rsidP="003913DA"/>
    <w:p w:rsidR="00875AC1" w:rsidRPr="00875AC1" w:rsidRDefault="00875AC1" w:rsidP="00F2252C">
      <w:r w:rsidRPr="00875AC1">
        <w:t xml:space="preserve">Figures 4 and 5 show age-specific incidence rates for selected age groups for men and women respectively. The graphs show the incidence rates in the two oldest age groups generally increased markedly over the period for both men and women. </w:t>
      </w:r>
    </w:p>
    <w:p w:rsidR="00875AC1" w:rsidRPr="00875AC1" w:rsidRDefault="00875AC1" w:rsidP="00F2252C">
      <w:r w:rsidRPr="00875AC1">
        <w:t>Since 2003, the incidence rate among men aged 80 years and over declined from a peak of 50 new cases per 100 000 population in 2003 to 38 in 2006, before increasing again in 2007 to 49. The rate has since declined slightly to 42 new cases per 100 000 population in 2009. Similarly, among men aged 65–79 years the incidence rate increased between 2006 and 2007 and then declined slightly.</w:t>
      </w:r>
    </w:p>
    <w:p w:rsidR="00875AC1" w:rsidRDefault="00875AC1" w:rsidP="00F2252C">
      <w:r w:rsidRPr="00875AC1">
        <w:rPr>
          <w:i/>
          <w:iCs/>
          <w:color w:val="00456B"/>
        </w:rPr>
        <w:t>Figure 4</w:t>
      </w:r>
      <w:r w:rsidRPr="00875AC1">
        <w:t xml:space="preserve">   </w:t>
      </w:r>
      <w:r w:rsidRPr="00A4027D">
        <w:rPr>
          <w:b/>
        </w:rPr>
        <w:t>New cases of mesothelioma: age-specific incidence rates for</w:t>
      </w:r>
      <w:r w:rsidRPr="00A4027D">
        <w:rPr>
          <w:b/>
        </w:rPr>
        <w:br/>
        <w:t xml:space="preserve">                 males, 1982 to 2009</w:t>
      </w:r>
    </w:p>
    <w:p w:rsidR="003913DA" w:rsidRPr="00875AC1" w:rsidRDefault="00233C86" w:rsidP="00F2252C">
      <w:r>
        <w:rPr>
          <w:noProof/>
          <w:lang w:val="en-AU"/>
        </w:rPr>
        <w:drawing>
          <wp:inline distT="0" distB="0" distL="0" distR="0" wp14:anchorId="02D335F8" wp14:editId="141A97AE">
            <wp:extent cx="4818978" cy="2914410"/>
            <wp:effectExtent l="0" t="0" r="1270" b="635"/>
            <wp:docPr id="4" name="Chart 4" descr="New cases of mesothelioma: age-specific incidence rates for   males, 1982 to 2009. Discussed in commentary." title="Figure 4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3C86" w:rsidRDefault="00233C86" w:rsidP="00233C86">
      <w:pPr>
        <w:rPr>
          <w:b/>
          <w:bCs/>
          <w:sz w:val="20"/>
        </w:rPr>
      </w:pPr>
      <w:r w:rsidRPr="00233C86">
        <w:rPr>
          <w:b/>
          <w:bCs/>
          <w:i/>
          <w:iCs/>
          <w:color w:val="00456B"/>
          <w:sz w:val="20"/>
        </w:rPr>
        <w:t>Figure 5</w:t>
      </w:r>
      <w:r w:rsidRPr="00233C86">
        <w:rPr>
          <w:b/>
          <w:bCs/>
          <w:sz w:val="20"/>
        </w:rPr>
        <w:t xml:space="preserve">   </w:t>
      </w:r>
      <w:r w:rsidRPr="00A4027D">
        <w:rPr>
          <w:b/>
          <w:bCs/>
          <w:sz w:val="20"/>
        </w:rPr>
        <w:t xml:space="preserve">New cases of mesothelioma: age-specific incidence rates for </w:t>
      </w:r>
      <w:r w:rsidRPr="00A4027D">
        <w:rPr>
          <w:b/>
          <w:bCs/>
          <w:sz w:val="20"/>
        </w:rPr>
        <w:br/>
        <w:t xml:space="preserve">                 females, 1982 to 2009</w:t>
      </w:r>
    </w:p>
    <w:p w:rsidR="00233C86" w:rsidRPr="00233C86" w:rsidRDefault="00233C86" w:rsidP="00233C86">
      <w:pPr>
        <w:rPr>
          <w:b/>
          <w:bCs/>
          <w:sz w:val="20"/>
        </w:rPr>
      </w:pPr>
      <w:r>
        <w:rPr>
          <w:noProof/>
          <w:lang w:val="en-AU"/>
        </w:rPr>
        <w:drawing>
          <wp:inline distT="0" distB="0" distL="0" distR="0" wp14:anchorId="6652007C" wp14:editId="03DC2346">
            <wp:extent cx="4759500" cy="3135919"/>
            <wp:effectExtent l="0" t="0" r="3175" b="7620"/>
            <wp:docPr id="5" name="Chart 5" descr="New cases of mesothelioma: age-specific incidence rates for females, 1982 to 2009. Discussed in commentary." title="Figur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5AC1" w:rsidRPr="00875AC1" w:rsidRDefault="00875AC1" w:rsidP="00F2252C">
      <w:r w:rsidRPr="00875AC1">
        <w:t>Since 2002, the incidence rate among women aged 80 years and over declined overall from 8.5 to 4.7 new cases per 100 000 population in 2007. In 2009 the rate returned to 8 new cases per 100 000 population (Figure 5). However, this pattern should be interpreted with caution as the rates are quite volatile due to the relatively small number of women diagnosed.</w:t>
      </w:r>
    </w:p>
    <w:p w:rsidR="00875AC1" w:rsidRPr="00875AC1" w:rsidRDefault="00875AC1" w:rsidP="00F2252C">
      <w:r w:rsidRPr="00875AC1">
        <w:t xml:space="preserve">Age-standardisation is a method of adjusting the crude incidence rate to eliminate the effect of differences in population age structures when comparing crude rates for different periods of time. By applying the observed age-specific death rates in each year to a standard population, the expected number of deaths can be calculated and a more comparable age-standardised rate can be calculated for each year. </w:t>
      </w:r>
    </w:p>
    <w:p w:rsidR="00875AC1" w:rsidRDefault="00875AC1" w:rsidP="00F2252C">
      <w:r w:rsidRPr="00875AC1">
        <w:t>Figure 6 shows the age-standardised incidence of new cases of mesothelioma (per 100 000 population) over the period 1982 to 2009. The overall incidence rate increased from a minimum of 1.1 new cases per 100 000 population in 1983 to a maximum of 3.2 in 2003. Since that date, the rate declined to 2.7 in 2006, increased again in 2007 to 3.0, and then fell again slightly to 2.8 in 2009.</w:t>
      </w:r>
    </w:p>
    <w:p w:rsidR="003916A5" w:rsidRPr="003916A5" w:rsidRDefault="003916A5" w:rsidP="003916A5">
      <w:pPr>
        <w:rPr>
          <w:b/>
          <w:bCs/>
          <w:sz w:val="20"/>
        </w:rPr>
      </w:pPr>
      <w:r w:rsidRPr="003916A5">
        <w:rPr>
          <w:b/>
          <w:bCs/>
          <w:i/>
          <w:iCs/>
          <w:color w:val="00456B"/>
          <w:sz w:val="20"/>
        </w:rPr>
        <w:t>Figure 6</w:t>
      </w:r>
      <w:r w:rsidRPr="003916A5">
        <w:rPr>
          <w:b/>
          <w:bCs/>
          <w:sz w:val="20"/>
        </w:rPr>
        <w:t xml:space="preserve">   New cases of mesothelioma: age-standardised incidence rate by</w:t>
      </w:r>
      <w:r w:rsidRPr="003916A5">
        <w:rPr>
          <w:b/>
          <w:bCs/>
          <w:sz w:val="20"/>
        </w:rPr>
        <w:br/>
        <w:t xml:space="preserve">                 sex, 1982 to 2009</w:t>
      </w:r>
    </w:p>
    <w:p w:rsidR="003916A5" w:rsidRPr="00875AC1" w:rsidRDefault="005B7327" w:rsidP="00F2252C">
      <w:r>
        <w:rPr>
          <w:noProof/>
          <w:lang w:val="en-AU"/>
        </w:rPr>
        <w:drawing>
          <wp:inline distT="0" distB="0" distL="0" distR="0" wp14:anchorId="0FE38849" wp14:editId="651F83BE">
            <wp:extent cx="5159066" cy="2925040"/>
            <wp:effectExtent l="0" t="0" r="3810" b="8890"/>
            <wp:docPr id="6" name="Chart 6" descr="New cases of mesothelioma: age-standardised incidence rate by sex, 1982 to 2009. Discussed in commentary." title="Fig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5AC1" w:rsidRPr="00875AC1" w:rsidRDefault="00875AC1" w:rsidP="00F2252C">
      <w:r w:rsidRPr="00875AC1">
        <w:t xml:space="preserve">The age-standardised incidence rate of new cases of mesothelioma for men </w:t>
      </w:r>
      <w:r w:rsidRPr="00875AC1">
        <w:rPr>
          <w:spacing w:val="-2"/>
        </w:rPr>
        <w:t>was considerably higher than the rate for women in all years. The male rate ranged</w:t>
      </w:r>
      <w:r w:rsidRPr="00875AC1">
        <w:t xml:space="preserve"> between a minimum of 2.1 new cases per 100 000 males in 1983 to a maximum of 5.9 in 2003. In 2009 there were 5 new cases per 100 000 males. The age-standardised incidence rate for women over the period ranged between 0.2 new cases per 100 000 females in 1983 and at or near 1 new cases per 100 000 females since 2005.</w:t>
      </w:r>
    </w:p>
    <w:p w:rsidR="00875AC1" w:rsidRPr="00875AC1" w:rsidRDefault="00875AC1" w:rsidP="00F2252C">
      <w:r w:rsidRPr="00875AC1">
        <w:t>Because asbestos exposure in the workplace and the general environment has now been greatly reduced, the incidence of new cases of mesothelioma in the population is expected to decline. However, because of the long latency between exposure to asbestos and diagnosis of mesothelioma (20 to 40 years) it is expected that the incidence of mesothelioma will not peak until sometime between 2014 and 2021, depending on the projection methodology. Further details can be found in the Introduction, unde</w:t>
      </w:r>
      <w:r w:rsidR="00C3267B">
        <w:t>r Mesothelioma projections — p.6</w:t>
      </w:r>
      <w:r w:rsidRPr="00875AC1">
        <w:t>.</w:t>
      </w:r>
    </w:p>
    <w:p w:rsidR="00875AC1" w:rsidRPr="00875AC1" w:rsidRDefault="00875AC1" w:rsidP="00F2252C">
      <w:pPr>
        <w:pStyle w:val="Headingtwo"/>
      </w:pPr>
      <w:r w:rsidRPr="00875AC1">
        <w:t>State and Territory data</w:t>
      </w:r>
    </w:p>
    <w:p w:rsidR="00875AC1" w:rsidRPr="00F2252C" w:rsidRDefault="00875AC1" w:rsidP="00F2252C">
      <w:r w:rsidRPr="00F2252C">
        <w:t>Figure 7 shows the five-year rolling average number of new cases of mesothelioma occurring in each state and territory over the time period 1982–1986 to 2005–2009: the period for which data are available for all states and territories. Five-year rolling averages are used to smooth random annual variations and preserve confidentiality in the smaller states and territories. Further detailed data by sex for each state and territory can be found in Table 2.</w:t>
      </w:r>
    </w:p>
    <w:p w:rsidR="00875AC1" w:rsidRDefault="00875AC1" w:rsidP="00F2252C">
      <w:r w:rsidRPr="00875AC1">
        <w:t>The five-year rolling average number of new cases of mesothelioma in each state and territory generally reflects population distribution. The more populous states, New South Wales, Victoria and Queensland, reported the largest number of new cases: respectively averaging 216, 140 and 125 cases a year over the five-year period 2005–09. These three states have also experienced relatively consistent and similar rates of increase in the number of cases of mesothelioma diagnosed over the period 1982–86 to 2005–09. The number of new cases diagnosed in Western Australia increased at a similar rate up until the mid-90s, and then the rate of increase reduced. In South Australia and Tasmania the rate of increase in the number of new cases since the early 90s was not as great as in other jurisdictions and both states show a recent decline in the five-year averages.</w:t>
      </w:r>
    </w:p>
    <w:p w:rsidR="003916A5" w:rsidRDefault="003916A5" w:rsidP="003916A5">
      <w:pPr>
        <w:rPr>
          <w:b/>
          <w:bCs/>
          <w:sz w:val="20"/>
        </w:rPr>
      </w:pPr>
      <w:r w:rsidRPr="003916A5">
        <w:rPr>
          <w:b/>
          <w:bCs/>
          <w:i/>
          <w:iCs/>
          <w:color w:val="00456B"/>
          <w:sz w:val="20"/>
        </w:rPr>
        <w:t>Figure 7</w:t>
      </w:r>
      <w:r w:rsidRPr="003916A5">
        <w:rPr>
          <w:b/>
          <w:bCs/>
          <w:sz w:val="20"/>
        </w:rPr>
        <w:t xml:space="preserve">   New cases of mesothelioma: five-year rolling average</w:t>
      </w:r>
      <w:r w:rsidR="00A4027D">
        <w:rPr>
          <w:b/>
          <w:bCs/>
          <w:sz w:val="20"/>
        </w:rPr>
        <w:t xml:space="preserve"> </w:t>
      </w:r>
      <w:r w:rsidRPr="003916A5">
        <w:rPr>
          <w:b/>
          <w:bCs/>
          <w:sz w:val="20"/>
        </w:rPr>
        <w:t>number of cases by state or territory</w:t>
      </w:r>
      <w:r w:rsidRPr="00A4027D">
        <w:rPr>
          <w:b/>
          <w:bCs/>
          <w:sz w:val="20"/>
          <w:vertAlign w:val="superscript"/>
        </w:rPr>
        <w:t>(a)</w:t>
      </w:r>
      <w:r w:rsidRPr="003916A5">
        <w:rPr>
          <w:b/>
          <w:bCs/>
          <w:sz w:val="20"/>
        </w:rPr>
        <w:t>, 1982–1986 to</w:t>
      </w:r>
      <w:r w:rsidR="00A4027D">
        <w:rPr>
          <w:b/>
          <w:bCs/>
          <w:sz w:val="20"/>
        </w:rPr>
        <w:t xml:space="preserve"> </w:t>
      </w:r>
      <w:r w:rsidRPr="003916A5">
        <w:rPr>
          <w:b/>
          <w:bCs/>
          <w:sz w:val="20"/>
        </w:rPr>
        <w:t>2005–2009</w:t>
      </w:r>
    </w:p>
    <w:p w:rsidR="008C2766" w:rsidRDefault="007B2017" w:rsidP="003916A5">
      <w:pPr>
        <w:rPr>
          <w:b/>
          <w:bCs/>
          <w:sz w:val="20"/>
        </w:rPr>
      </w:pPr>
      <w:r>
        <w:rPr>
          <w:noProof/>
          <w:lang w:val="en-AU"/>
        </w:rPr>
        <w:drawing>
          <wp:inline distT="0" distB="0" distL="0" distR="0" wp14:anchorId="53217D04" wp14:editId="46C5D6AC">
            <wp:extent cx="5572125" cy="3036529"/>
            <wp:effectExtent l="0" t="0" r="0" b="0"/>
            <wp:docPr id="7" name="Chart 7" descr="New cases of mesothelioma: five-year rolling average number of cases by state or territory(a), 1982–1986 to 2005–2009. Discussed in commentary." title="Figur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C2766" w:rsidRDefault="00C64BDE" w:rsidP="008C2766">
      <w:pPr>
        <w:pStyle w:val="Footnote"/>
      </w:pPr>
      <w:r>
        <w:t>(a) Because the number</w:t>
      </w:r>
      <w:r w:rsidR="008C2766">
        <w:t xml:space="preserve"> of mesothelioma </w:t>
      </w:r>
      <w:r>
        <w:t xml:space="preserve">cases </w:t>
      </w:r>
      <w:r w:rsidR="008C2766">
        <w:t>in the ACT and the NT are relatively low, they cannot be plotted clearly at this scale. These numbe</w:t>
      </w:r>
      <w:r>
        <w:t>rs can be found in Table 2, p.13</w:t>
      </w:r>
      <w:r w:rsidR="008C2766">
        <w:t>.</w:t>
      </w:r>
    </w:p>
    <w:p w:rsidR="008C2766" w:rsidRPr="003916A5" w:rsidRDefault="008C2766" w:rsidP="003916A5">
      <w:pPr>
        <w:rPr>
          <w:b/>
          <w:bCs/>
          <w:sz w:val="20"/>
        </w:rPr>
      </w:pPr>
    </w:p>
    <w:p w:rsidR="003916A5" w:rsidRDefault="003916A5" w:rsidP="00F2252C">
      <w:pPr>
        <w:rPr>
          <w:b/>
          <w:bCs/>
        </w:rPr>
      </w:pPr>
    </w:p>
    <w:p w:rsidR="009B42E7" w:rsidRDefault="00875AC1" w:rsidP="00F2252C">
      <w:pPr>
        <w:sectPr w:rsidR="009B42E7" w:rsidSect="00FF37F0">
          <w:footerReference w:type="default" r:id="rId18"/>
          <w:pgSz w:w="11906" w:h="16838"/>
          <w:pgMar w:top="720" w:right="720" w:bottom="720" w:left="720" w:header="720" w:footer="720" w:gutter="0"/>
          <w:pgNumType w:start="1"/>
          <w:cols w:space="720"/>
          <w:noEndnote/>
        </w:sectPr>
      </w:pPr>
      <w:r w:rsidRPr="00F2252C">
        <w:br w:type="page"/>
      </w:r>
    </w:p>
    <w:p w:rsidR="00875AC1" w:rsidRDefault="00875AC1" w:rsidP="00F2252C"/>
    <w:p w:rsidR="008C72AE" w:rsidRDefault="008C72AE" w:rsidP="00F2252C">
      <w:pPr>
        <w:pStyle w:val="TableFigureheading"/>
      </w:pPr>
      <w:r w:rsidRPr="008C72AE">
        <w:rPr>
          <w:i/>
          <w:iCs/>
          <w:color w:val="00456B"/>
        </w:rPr>
        <w:t>Table 2</w:t>
      </w:r>
      <w:r w:rsidRPr="008C72AE">
        <w:t xml:space="preserve">    New cases of mesothelioma: five-year rolling average number by state or territory by sex, 1986–1990 to 2005–2009</w:t>
      </w:r>
    </w:p>
    <w:tbl>
      <w:tblPr>
        <w:tblW w:w="0" w:type="auto"/>
        <w:tblInd w:w="364" w:type="dxa"/>
        <w:tblLayout w:type="fixed"/>
        <w:tblCellMar>
          <w:left w:w="0" w:type="dxa"/>
          <w:right w:w="0" w:type="dxa"/>
        </w:tblCellMar>
        <w:tblLook w:val="0000" w:firstRow="0" w:lastRow="0" w:firstColumn="0" w:lastColumn="0" w:noHBand="0" w:noVBand="0"/>
      </w:tblPr>
      <w:tblGrid>
        <w:gridCol w:w="894"/>
        <w:gridCol w:w="297"/>
        <w:gridCol w:w="686"/>
        <w:gridCol w:w="686"/>
        <w:gridCol w:w="686"/>
        <w:gridCol w:w="686"/>
        <w:gridCol w:w="686"/>
        <w:gridCol w:w="686"/>
        <w:gridCol w:w="686"/>
        <w:gridCol w:w="686"/>
        <w:gridCol w:w="686"/>
        <w:gridCol w:w="686"/>
        <w:gridCol w:w="686"/>
        <w:gridCol w:w="686"/>
        <w:gridCol w:w="686"/>
        <w:gridCol w:w="686"/>
        <w:gridCol w:w="686"/>
        <w:gridCol w:w="686"/>
        <w:gridCol w:w="686"/>
        <w:gridCol w:w="686"/>
        <w:gridCol w:w="686"/>
        <w:gridCol w:w="686"/>
      </w:tblGrid>
      <w:tr w:rsidR="008C72AE" w:rsidTr="008C72AE">
        <w:trPr>
          <w:trHeight w:hRule="exact" w:val="468"/>
        </w:trPr>
        <w:tc>
          <w:tcPr>
            <w:tcW w:w="894" w:type="dxa"/>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tcPr>
          <w:p w:rsidR="008C72AE" w:rsidRDefault="008C72AE">
            <w:pPr>
              <w:pStyle w:val="NoParagraphStyle"/>
              <w:spacing w:line="240" w:lineRule="auto"/>
              <w:textAlignment w:val="auto"/>
              <w:rPr>
                <w:rFonts w:ascii="Arial" w:hAnsi="Arial" w:cs="Arial"/>
                <w:color w:val="auto"/>
                <w:lang w:val="en-AU"/>
              </w:rPr>
            </w:pP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1986–90</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1987–91</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1988–92</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1989–93</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1990–94</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1991–95</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1992–96</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1993–97</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1994–98</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1995–99</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1996–00</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1997–01</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1998–02</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1999–03</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2000–04</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2001–05</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2002–06</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2003–07</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lang w:val="en-US"/>
              </w:rPr>
              <w:t>2004–08</w:t>
            </w:r>
          </w:p>
        </w:tc>
        <w:tc>
          <w:tcPr>
            <w:tcW w:w="686" w:type="dxa"/>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headers"/>
            </w:pPr>
            <w:r>
              <w:rPr>
                <w:sz w:val="16"/>
                <w:szCs w:val="16"/>
              </w:rPr>
              <w:t>2005-09</w:t>
            </w:r>
          </w:p>
        </w:tc>
      </w:tr>
      <w:tr w:rsidR="008C72AE" w:rsidTr="008C72AE">
        <w:trPr>
          <w:trHeight w:hRule="exact" w:val="266"/>
        </w:trPr>
        <w:tc>
          <w:tcPr>
            <w:tcW w:w="894" w:type="dxa"/>
            <w:vMerge w:val="restart"/>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F2252C">
            <w:pPr>
              <w:pStyle w:val="Tabletextbold"/>
              <w:jc w:val="left"/>
            </w:pPr>
            <w:r>
              <w:rPr>
                <w:lang w:val="en-US"/>
              </w:rPr>
              <w:t xml:space="preserve"> </w:t>
            </w:r>
            <w:r w:rsidR="008C72AE">
              <w:rPr>
                <w:lang w:val="en-US"/>
              </w:rPr>
              <w:t>NSW</w:t>
            </w:r>
          </w:p>
        </w:tc>
        <w:tc>
          <w:tcPr>
            <w:tcW w:w="297" w:type="dxa"/>
            <w:tcBorders>
              <w:top w:val="single" w:sz="8"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M</w:t>
            </w:r>
          </w:p>
        </w:tc>
        <w:tc>
          <w:tcPr>
            <w:tcW w:w="686" w:type="dxa"/>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123</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141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150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156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163</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167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175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175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178</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F</w:t>
            </w:r>
          </w:p>
        </w:tc>
        <w:tc>
          <w:tcPr>
            <w:tcW w:w="686" w:type="dxa"/>
            <w:tcBorders>
              <w:top w:val="single" w:sz="6"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23</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38</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T</w:t>
            </w:r>
          </w:p>
        </w:tc>
        <w:tc>
          <w:tcPr>
            <w:tcW w:w="686" w:type="dxa"/>
            <w:tcBorders>
              <w:top w:val="single" w:sz="6" w:space="0" w:color="000000"/>
              <w:left w:val="single" w:sz="8"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97</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140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147</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153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154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158</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167</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172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184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190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200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205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211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211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216</w:t>
            </w:r>
          </w:p>
        </w:tc>
      </w:tr>
      <w:tr w:rsidR="008C72AE" w:rsidTr="008C72AE">
        <w:trPr>
          <w:trHeight w:hRule="exact" w:val="276"/>
        </w:trPr>
        <w:tc>
          <w:tcPr>
            <w:tcW w:w="894" w:type="dxa"/>
            <w:vMerge w:val="restart"/>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F2252C">
            <w:pPr>
              <w:pStyle w:val="Tabletextbold"/>
              <w:jc w:val="left"/>
            </w:pPr>
            <w:r>
              <w:rPr>
                <w:lang w:val="en-US"/>
              </w:rPr>
              <w:t xml:space="preserve"> </w:t>
            </w:r>
            <w:r w:rsidR="008C72AE">
              <w:rPr>
                <w:lang w:val="en-US"/>
              </w:rPr>
              <w:t>Vic</w:t>
            </w:r>
          </w:p>
        </w:tc>
        <w:tc>
          <w:tcPr>
            <w:tcW w:w="297" w:type="dxa"/>
            <w:tcBorders>
              <w:top w:val="single" w:sz="8"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M</w:t>
            </w:r>
          </w:p>
        </w:tc>
        <w:tc>
          <w:tcPr>
            <w:tcW w:w="686" w:type="dxa"/>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73</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83</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98</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114</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F</w:t>
            </w:r>
          </w:p>
        </w:tc>
        <w:tc>
          <w:tcPr>
            <w:tcW w:w="686" w:type="dxa"/>
            <w:tcBorders>
              <w:top w:val="single" w:sz="6"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22</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23</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26</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T</w:t>
            </w:r>
          </w:p>
        </w:tc>
        <w:tc>
          <w:tcPr>
            <w:tcW w:w="686" w:type="dxa"/>
            <w:tcBorders>
              <w:top w:val="single" w:sz="6" w:space="0" w:color="000000"/>
              <w:left w:val="single" w:sz="8"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48</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59</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78</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108</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129</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138</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137</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140</w:t>
            </w:r>
          </w:p>
        </w:tc>
      </w:tr>
      <w:tr w:rsidR="008C72AE" w:rsidTr="008C72AE">
        <w:trPr>
          <w:trHeight w:hRule="exact" w:val="276"/>
        </w:trPr>
        <w:tc>
          <w:tcPr>
            <w:tcW w:w="894" w:type="dxa"/>
            <w:vMerge w:val="restart"/>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F2252C">
            <w:pPr>
              <w:pStyle w:val="Tabletextbold"/>
              <w:jc w:val="left"/>
            </w:pPr>
            <w:r>
              <w:rPr>
                <w:lang w:val="en-US"/>
              </w:rPr>
              <w:t xml:space="preserve"> </w:t>
            </w:r>
            <w:r w:rsidR="008C72AE">
              <w:rPr>
                <w:lang w:val="en-US"/>
              </w:rPr>
              <w:t>Qld</w:t>
            </w:r>
          </w:p>
        </w:tc>
        <w:tc>
          <w:tcPr>
            <w:tcW w:w="297" w:type="dxa"/>
            <w:tcBorders>
              <w:top w:val="single" w:sz="8"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M</w:t>
            </w:r>
          </w:p>
        </w:tc>
        <w:tc>
          <w:tcPr>
            <w:tcW w:w="686" w:type="dxa"/>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38</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58</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83</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88</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102</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F</w:t>
            </w:r>
          </w:p>
        </w:tc>
        <w:tc>
          <w:tcPr>
            <w:tcW w:w="686" w:type="dxa"/>
            <w:tcBorders>
              <w:top w:val="single" w:sz="6"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23</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T</w:t>
            </w:r>
          </w:p>
        </w:tc>
        <w:tc>
          <w:tcPr>
            <w:tcW w:w="686" w:type="dxa"/>
            <w:tcBorders>
              <w:top w:val="single" w:sz="6" w:space="0" w:color="000000"/>
              <w:left w:val="single" w:sz="8"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38</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58</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58</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99</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117</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125</w:t>
            </w:r>
          </w:p>
        </w:tc>
      </w:tr>
      <w:tr w:rsidR="008C72AE" w:rsidTr="008C72AE">
        <w:trPr>
          <w:trHeight w:hRule="exact" w:val="276"/>
        </w:trPr>
        <w:tc>
          <w:tcPr>
            <w:tcW w:w="894" w:type="dxa"/>
            <w:vMerge w:val="restart"/>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F2252C">
            <w:pPr>
              <w:pStyle w:val="Tabletextbold"/>
              <w:jc w:val="left"/>
            </w:pPr>
            <w:r>
              <w:rPr>
                <w:lang w:val="en-US"/>
              </w:rPr>
              <w:t xml:space="preserve"> </w:t>
            </w:r>
            <w:r w:rsidR="008C72AE">
              <w:rPr>
                <w:lang w:val="en-US"/>
              </w:rPr>
              <w:t>WA</w:t>
            </w:r>
          </w:p>
        </w:tc>
        <w:tc>
          <w:tcPr>
            <w:tcW w:w="297" w:type="dxa"/>
            <w:tcBorders>
              <w:top w:val="single" w:sz="8"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M</w:t>
            </w:r>
          </w:p>
        </w:tc>
        <w:tc>
          <w:tcPr>
            <w:tcW w:w="686" w:type="dxa"/>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68</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78</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F</w:t>
            </w:r>
          </w:p>
        </w:tc>
        <w:tc>
          <w:tcPr>
            <w:tcW w:w="686" w:type="dxa"/>
            <w:tcBorders>
              <w:top w:val="single" w:sz="6"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15</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T</w:t>
            </w:r>
          </w:p>
        </w:tc>
        <w:tc>
          <w:tcPr>
            <w:tcW w:w="686" w:type="dxa"/>
            <w:tcBorders>
              <w:top w:val="single" w:sz="6" w:space="0" w:color="000000"/>
              <w:left w:val="single" w:sz="8"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38</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47</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59</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68</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93</w:t>
            </w:r>
          </w:p>
        </w:tc>
      </w:tr>
      <w:tr w:rsidR="008C72AE" w:rsidTr="008C72AE">
        <w:trPr>
          <w:trHeight w:hRule="exact" w:val="276"/>
        </w:trPr>
        <w:tc>
          <w:tcPr>
            <w:tcW w:w="894" w:type="dxa"/>
            <w:vMerge w:val="restart"/>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F2252C">
            <w:pPr>
              <w:pStyle w:val="Tabletextbold"/>
              <w:jc w:val="left"/>
            </w:pPr>
            <w:r>
              <w:rPr>
                <w:lang w:val="en-US"/>
              </w:rPr>
              <w:t xml:space="preserve"> </w:t>
            </w:r>
            <w:r w:rsidR="008C72AE">
              <w:rPr>
                <w:lang w:val="en-US"/>
              </w:rPr>
              <w:t>SA</w:t>
            </w:r>
          </w:p>
        </w:tc>
        <w:tc>
          <w:tcPr>
            <w:tcW w:w="297" w:type="dxa"/>
            <w:tcBorders>
              <w:top w:val="single" w:sz="8"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M</w:t>
            </w:r>
          </w:p>
        </w:tc>
        <w:tc>
          <w:tcPr>
            <w:tcW w:w="686" w:type="dxa"/>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28</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28</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43</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41</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F</w:t>
            </w:r>
          </w:p>
        </w:tc>
        <w:tc>
          <w:tcPr>
            <w:tcW w:w="686" w:type="dxa"/>
            <w:tcBorders>
              <w:top w:val="single" w:sz="6"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T</w:t>
            </w:r>
          </w:p>
        </w:tc>
        <w:tc>
          <w:tcPr>
            <w:tcW w:w="686" w:type="dxa"/>
            <w:tcBorders>
              <w:top w:val="single" w:sz="6" w:space="0" w:color="000000"/>
              <w:left w:val="single" w:sz="8"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39</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37</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49</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57</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51</w:t>
            </w:r>
          </w:p>
        </w:tc>
      </w:tr>
      <w:tr w:rsidR="008C72AE" w:rsidTr="008C72AE">
        <w:trPr>
          <w:trHeight w:hRule="exact" w:val="276"/>
        </w:trPr>
        <w:tc>
          <w:tcPr>
            <w:tcW w:w="894" w:type="dxa"/>
            <w:vMerge w:val="restart"/>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F2252C">
            <w:pPr>
              <w:pStyle w:val="Tabletextbold"/>
              <w:jc w:val="left"/>
            </w:pPr>
            <w:r>
              <w:rPr>
                <w:lang w:val="en-US"/>
              </w:rPr>
              <w:t xml:space="preserve"> </w:t>
            </w:r>
            <w:r w:rsidR="008C72AE">
              <w:rPr>
                <w:lang w:val="en-US"/>
              </w:rPr>
              <w:t>Tas</w:t>
            </w:r>
          </w:p>
        </w:tc>
        <w:tc>
          <w:tcPr>
            <w:tcW w:w="297" w:type="dxa"/>
            <w:tcBorders>
              <w:top w:val="single" w:sz="8"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M</w:t>
            </w:r>
          </w:p>
        </w:tc>
        <w:tc>
          <w:tcPr>
            <w:tcW w:w="686" w:type="dxa"/>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9</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F</w:t>
            </w:r>
          </w:p>
        </w:tc>
        <w:tc>
          <w:tcPr>
            <w:tcW w:w="686" w:type="dxa"/>
            <w:tcBorders>
              <w:top w:val="single" w:sz="6"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T</w:t>
            </w:r>
          </w:p>
        </w:tc>
        <w:tc>
          <w:tcPr>
            <w:tcW w:w="686" w:type="dxa"/>
            <w:tcBorders>
              <w:top w:val="single" w:sz="6" w:space="0" w:color="000000"/>
              <w:left w:val="single" w:sz="8"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8</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10</w:t>
            </w:r>
          </w:p>
        </w:tc>
      </w:tr>
      <w:tr w:rsidR="008C72AE" w:rsidTr="008C72AE">
        <w:trPr>
          <w:trHeight w:hRule="exact" w:val="276"/>
        </w:trPr>
        <w:tc>
          <w:tcPr>
            <w:tcW w:w="894" w:type="dxa"/>
            <w:vMerge w:val="restart"/>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F2252C">
            <w:pPr>
              <w:pStyle w:val="Tabletextbold"/>
              <w:jc w:val="left"/>
            </w:pPr>
            <w:r>
              <w:rPr>
                <w:lang w:val="en-US"/>
              </w:rPr>
              <w:t xml:space="preserve"> </w:t>
            </w:r>
            <w:r w:rsidR="008C72AE">
              <w:rPr>
                <w:lang w:val="en-US"/>
              </w:rPr>
              <w:t>ACT</w:t>
            </w:r>
          </w:p>
        </w:tc>
        <w:tc>
          <w:tcPr>
            <w:tcW w:w="297" w:type="dxa"/>
            <w:tcBorders>
              <w:top w:val="single" w:sz="8"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M</w:t>
            </w:r>
          </w:p>
        </w:tc>
        <w:tc>
          <w:tcPr>
            <w:tcW w:w="686" w:type="dxa"/>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F</w:t>
            </w:r>
          </w:p>
        </w:tc>
        <w:tc>
          <w:tcPr>
            <w:tcW w:w="686" w:type="dxa"/>
            <w:tcBorders>
              <w:top w:val="single" w:sz="6"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T</w:t>
            </w:r>
          </w:p>
        </w:tc>
        <w:tc>
          <w:tcPr>
            <w:tcW w:w="686" w:type="dxa"/>
            <w:tcBorders>
              <w:top w:val="single" w:sz="6" w:space="0" w:color="000000"/>
              <w:left w:val="single" w:sz="8"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7</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6</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5</w:t>
            </w:r>
          </w:p>
        </w:tc>
      </w:tr>
      <w:tr w:rsidR="008C72AE" w:rsidTr="008C72AE">
        <w:trPr>
          <w:trHeight w:hRule="exact" w:val="276"/>
        </w:trPr>
        <w:tc>
          <w:tcPr>
            <w:tcW w:w="894" w:type="dxa"/>
            <w:vMerge w:val="restart"/>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F2252C">
            <w:pPr>
              <w:pStyle w:val="Tabletextbold"/>
              <w:jc w:val="left"/>
            </w:pPr>
            <w:r>
              <w:rPr>
                <w:lang w:val="en-US"/>
              </w:rPr>
              <w:t xml:space="preserve"> </w:t>
            </w:r>
            <w:r w:rsidR="008C72AE">
              <w:rPr>
                <w:lang w:val="en-US"/>
              </w:rPr>
              <w:t>NT</w:t>
            </w:r>
          </w:p>
        </w:tc>
        <w:tc>
          <w:tcPr>
            <w:tcW w:w="297" w:type="dxa"/>
            <w:tcBorders>
              <w:top w:val="single" w:sz="8"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M</w:t>
            </w:r>
          </w:p>
        </w:tc>
        <w:tc>
          <w:tcPr>
            <w:tcW w:w="686" w:type="dxa"/>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F</w:t>
            </w:r>
          </w:p>
        </w:tc>
        <w:tc>
          <w:tcPr>
            <w:tcW w:w="686" w:type="dxa"/>
            <w:tcBorders>
              <w:top w:val="single" w:sz="6"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rsidR="008C72AE" w:rsidRDefault="008C72AE">
            <w:pPr>
              <w:pStyle w:val="Tabletext"/>
              <w:jc w:val="center"/>
            </w:pPr>
            <w:r>
              <w:rPr>
                <w:lang w:val="en-US"/>
              </w:rPr>
              <w:t>T</w:t>
            </w:r>
          </w:p>
        </w:tc>
        <w:tc>
          <w:tcPr>
            <w:tcW w:w="686" w:type="dxa"/>
            <w:tcBorders>
              <w:top w:val="single" w:sz="6" w:space="0" w:color="000000"/>
              <w:left w:val="single" w:sz="8"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
            </w:pPr>
            <w:r>
              <w:rPr>
                <w:lang w:val="en-US"/>
              </w:rPr>
              <w:t>1</w:t>
            </w:r>
          </w:p>
        </w:tc>
      </w:tr>
      <w:tr w:rsidR="008C72AE" w:rsidTr="008C72AE">
        <w:trPr>
          <w:trHeight w:hRule="exact" w:val="276"/>
        </w:trPr>
        <w:tc>
          <w:tcPr>
            <w:tcW w:w="894" w:type="dxa"/>
            <w:vMerge w:val="restart"/>
            <w:tcBorders>
              <w:top w:val="single" w:sz="8"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F2252C">
            <w:pPr>
              <w:pStyle w:val="Tabletextbold"/>
              <w:jc w:val="left"/>
            </w:pPr>
            <w:r>
              <w:rPr>
                <w:lang w:val="en-US"/>
              </w:rPr>
              <w:t xml:space="preserve"> </w:t>
            </w:r>
            <w:r w:rsidR="008C72AE">
              <w:rPr>
                <w:lang w:val="en-US"/>
              </w:rPr>
              <w:t>Aust.total</w:t>
            </w:r>
          </w:p>
        </w:tc>
        <w:tc>
          <w:tcPr>
            <w:tcW w:w="297" w:type="dxa"/>
            <w:tcBorders>
              <w:top w:val="single" w:sz="8"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bold"/>
              <w:jc w:val="center"/>
            </w:pPr>
            <w:r>
              <w:rPr>
                <w:lang w:val="en-US"/>
              </w:rPr>
              <w:t>M</w:t>
            </w:r>
          </w:p>
        </w:tc>
        <w:tc>
          <w:tcPr>
            <w:tcW w:w="686" w:type="dxa"/>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220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233</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256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270</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299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315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335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356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375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381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394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415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428</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454</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476</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495</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499</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521</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522</w:t>
            </w:r>
          </w:p>
        </w:tc>
        <w:tc>
          <w:tcPr>
            <w:tcW w:w="686" w:type="dxa"/>
            <w:tcBorders>
              <w:top w:val="single" w:sz="8"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528</w:t>
            </w:r>
          </w:p>
        </w:tc>
      </w:tr>
      <w:tr w:rsidR="008C72AE" w:rsidTr="008C72AE">
        <w:trPr>
          <w:trHeight w:hRule="exact" w:val="276"/>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8C72AE" w:rsidRDefault="008C72AE">
            <w:pPr>
              <w:pStyle w:val="Tabletextbold"/>
              <w:jc w:val="center"/>
            </w:pPr>
            <w:r>
              <w:rPr>
                <w:lang w:val="en-US"/>
              </w:rPr>
              <w:t>F</w:t>
            </w:r>
          </w:p>
        </w:tc>
        <w:tc>
          <w:tcPr>
            <w:tcW w:w="686" w:type="dxa"/>
            <w:tcBorders>
              <w:top w:val="single" w:sz="6"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33</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42</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44</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50</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57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59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65</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68</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79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86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96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99</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107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106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106</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107</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114</w:t>
            </w:r>
          </w:p>
        </w:tc>
      </w:tr>
      <w:tr w:rsidR="008C72AE" w:rsidTr="008C72AE">
        <w:trPr>
          <w:trHeight w:hRule="exact" w:val="303"/>
        </w:trPr>
        <w:tc>
          <w:tcPr>
            <w:tcW w:w="894" w:type="dxa"/>
            <w:vMerge/>
            <w:tcBorders>
              <w:top w:val="single" w:sz="8" w:space="0" w:color="000000"/>
              <w:left w:val="single" w:sz="6" w:space="0" w:color="000000"/>
              <w:bottom w:val="single" w:sz="8" w:space="0" w:color="000000"/>
              <w:right w:val="single" w:sz="6" w:space="0" w:color="000000"/>
            </w:tcBorders>
          </w:tcPr>
          <w:p w:rsidR="008C72AE" w:rsidRDefault="008C72AE">
            <w:pPr>
              <w:pStyle w:val="NoParagraphStyle"/>
              <w:spacing w:line="240" w:lineRule="auto"/>
              <w:textAlignment w:val="auto"/>
              <w:rPr>
                <w:rFonts w:ascii="Arial" w:hAnsi="Arial" w:cs="Arial"/>
                <w:color w:val="auto"/>
                <w:lang w:val="en-AU"/>
              </w:rPr>
            </w:pPr>
          </w:p>
        </w:tc>
        <w:tc>
          <w:tcPr>
            <w:tcW w:w="29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rsidR="008C72AE" w:rsidRDefault="008C72AE">
            <w:pPr>
              <w:pStyle w:val="Tabletextbold"/>
              <w:jc w:val="center"/>
            </w:pPr>
            <w:r>
              <w:rPr>
                <w:lang w:val="en-US"/>
              </w:rPr>
              <w:t>T</w:t>
            </w:r>
          </w:p>
        </w:tc>
        <w:tc>
          <w:tcPr>
            <w:tcW w:w="686" w:type="dxa"/>
            <w:tcBorders>
              <w:top w:val="single" w:sz="6" w:space="0" w:color="000000"/>
              <w:left w:val="single" w:sz="8"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253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269</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294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312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343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363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385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413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434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445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463</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495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514</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550</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575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602</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605</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627</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629</w:t>
            </w:r>
          </w:p>
        </w:tc>
        <w:tc>
          <w:tcPr>
            <w:tcW w:w="686" w:type="dxa"/>
            <w:tcBorders>
              <w:top w:val="single" w:sz="6" w:space="0" w:color="000000"/>
              <w:left w:val="single" w:sz="6" w:space="0" w:color="000000"/>
              <w:bottom w:val="single" w:sz="8" w:space="0" w:color="000000"/>
              <w:right w:val="single" w:sz="6" w:space="0" w:color="000000"/>
            </w:tcBorders>
            <w:tcMar>
              <w:top w:w="0" w:type="dxa"/>
              <w:left w:w="0" w:type="dxa"/>
              <w:bottom w:w="0" w:type="dxa"/>
              <w:right w:w="0" w:type="dxa"/>
            </w:tcMar>
            <w:vAlign w:val="center"/>
          </w:tcPr>
          <w:p w:rsidR="008C72AE" w:rsidRDefault="008C72AE">
            <w:pPr>
              <w:pStyle w:val="Tabletextbold"/>
            </w:pPr>
            <w:r>
              <w:rPr>
                <w:lang w:val="en-US"/>
              </w:rPr>
              <w:t>641</w:t>
            </w:r>
          </w:p>
        </w:tc>
      </w:tr>
    </w:tbl>
    <w:p w:rsidR="008C72AE" w:rsidRDefault="008C72AE" w:rsidP="00F2252C">
      <w:pPr>
        <w:pStyle w:val="Footnote"/>
      </w:pPr>
    </w:p>
    <w:p w:rsidR="00D531BC" w:rsidRDefault="008C72AE" w:rsidP="00F2252C">
      <w:pPr>
        <w:pStyle w:val="Footnote"/>
        <w:sectPr w:rsidR="00D531BC" w:rsidSect="009B42E7">
          <w:pgSz w:w="16838" w:h="11906" w:orient="landscape"/>
          <w:pgMar w:top="720" w:right="720" w:bottom="720" w:left="720" w:header="720" w:footer="720" w:gutter="0"/>
          <w:cols w:space="720"/>
          <w:noEndnote/>
        </w:sectPr>
      </w:pPr>
      <w:r>
        <w:t>Notes: M= male, F= female and T= total. The data above are averages rounded to the nearest person, consequently the sum of the relevant male and females figures does not necessarily equal the total figure. Please refer to earlier reports in this series for 1982–86, 1983–87, 1984–88 and 1985–89 data.</w:t>
      </w:r>
    </w:p>
    <w:p w:rsidR="00875AC1" w:rsidRPr="00875AC1" w:rsidRDefault="00D531BC" w:rsidP="00D531BC">
      <w:pPr>
        <w:pStyle w:val="Heading1"/>
      </w:pPr>
      <w:r>
        <w:t>D</w:t>
      </w:r>
      <w:r w:rsidR="00875AC1" w:rsidRPr="00875AC1">
        <w:t>eaths due to mesothelioma</w:t>
      </w:r>
      <w:r w:rsidR="00875AC1" w:rsidRPr="00875AC1">
        <w:rPr>
          <w:vertAlign w:val="superscript"/>
        </w:rPr>
        <w:t>1</w:t>
      </w:r>
    </w:p>
    <w:p w:rsidR="00875AC1" w:rsidRPr="00875AC1" w:rsidRDefault="00875AC1" w:rsidP="00D531BC">
      <w:pPr>
        <w:pStyle w:val="Headingtwo"/>
      </w:pPr>
      <w:r w:rsidRPr="00875AC1">
        <w:t>Deaths in 2011</w:t>
      </w:r>
    </w:p>
    <w:p w:rsidR="00875AC1" w:rsidRPr="00875AC1" w:rsidRDefault="00875AC1" w:rsidP="00F2252C">
      <w:r w:rsidRPr="00875AC1">
        <w:t xml:space="preserve">The cause of every death in Australia is certified by a medical practitioner and recorded on a death certificate. These death certificates are required by state and territory Registrars of Births, Deaths and Marriages under jurisdiction specific legislation. On behalf of the Registrars these data are assembled, coded to the underlying cause of death and released by the Australian Bureau of Statistics (ABS). Cases where the underlying cause of death was mesothelioma are discussed in this section. Data on deaths due to mesothelioma are available from 1997 onwards, the year in which a specific code for mesothelioma was added to the </w:t>
      </w:r>
      <w:r w:rsidRPr="00875AC1">
        <w:rPr>
          <w:i/>
          <w:iCs/>
        </w:rPr>
        <w:t xml:space="preserve">International Classification of Diseases - 10th revision </w:t>
      </w:r>
      <w:r w:rsidRPr="00875AC1">
        <w:t xml:space="preserve">(ICD10). </w:t>
      </w:r>
    </w:p>
    <w:p w:rsidR="00875AC1" w:rsidRPr="00875AC1" w:rsidRDefault="00875AC1" w:rsidP="00F2252C">
      <w:r w:rsidRPr="00875AC1">
        <w:t xml:space="preserve">The information on deaths from mesothelioma in this section is based on the year of death except for the most recent year 2011, where year of registration is used. The year of death and registration usually coincide, although deaths at the end of a calendar year may be held over until the following year, as will deaths whose cause requires further examination by a coroner. In recent years less than 5% of deaths (all causes) were held over from one year to the next for processing. This method of reporting the data allows the most recent year to be used. </w:t>
      </w:r>
    </w:p>
    <w:p w:rsidR="00875AC1" w:rsidRPr="00875AC1" w:rsidRDefault="00875AC1" w:rsidP="00F2252C">
      <w:r w:rsidRPr="00875AC1">
        <w:t xml:space="preserve">In 2011 there were 606 deaths registered with an underlying cause of mesothelioma. Of these deaths, 510 (84%) were of men and 96 (16%) were of women. </w:t>
      </w:r>
    </w:p>
    <w:p w:rsidR="00875AC1" w:rsidRDefault="00875AC1" w:rsidP="00F2252C">
      <w:r w:rsidRPr="00875AC1">
        <w:t>Figure 8 shows the age and sex distribution of the 606 decedents. The graph shows that deaths due to mesothelioma were distinctly skewed towards older age groups. This is particularly clear for males with 83% aged over 65 years at the time of death. The comparable figure for females was 74%.</w:t>
      </w:r>
    </w:p>
    <w:p w:rsidR="008C2766" w:rsidRPr="008C2766" w:rsidRDefault="008C2766" w:rsidP="008C2766">
      <w:pPr>
        <w:rPr>
          <w:b/>
          <w:bCs/>
          <w:sz w:val="20"/>
        </w:rPr>
      </w:pPr>
      <w:r w:rsidRPr="008C2766">
        <w:rPr>
          <w:b/>
          <w:bCs/>
          <w:i/>
          <w:iCs/>
          <w:color w:val="00456B"/>
          <w:sz w:val="20"/>
        </w:rPr>
        <w:t>Figure 8</w:t>
      </w:r>
      <w:r w:rsidRPr="008C2766">
        <w:rPr>
          <w:b/>
          <w:bCs/>
          <w:sz w:val="20"/>
        </w:rPr>
        <w:t xml:space="preserve">   Deaths due to mesothelioma: by age and sex, 2011</w:t>
      </w:r>
      <w:r w:rsidRPr="008C2766">
        <w:rPr>
          <w:b/>
          <w:bCs/>
          <w:sz w:val="20"/>
          <w:vertAlign w:val="superscript"/>
        </w:rPr>
        <w:t>(a)</w:t>
      </w:r>
    </w:p>
    <w:p w:rsidR="007B2017" w:rsidRDefault="007B2017" w:rsidP="008C2766">
      <w:pPr>
        <w:pStyle w:val="Footnote"/>
      </w:pPr>
      <w:r>
        <w:rPr>
          <w:noProof/>
          <w:lang w:val="en-AU"/>
        </w:rPr>
        <w:drawing>
          <wp:inline distT="0" distB="0" distL="0" distR="0" wp14:anchorId="6DF1F1CB" wp14:editId="29EAD469">
            <wp:extent cx="5229225" cy="2947235"/>
            <wp:effectExtent l="0" t="0" r="0" b="5715"/>
            <wp:docPr id="8" name="Chart 8" descr="Deaths due to mesothelioma: by age and sex, 2011. Discussed in text." title="Figur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C2766" w:rsidRDefault="008C2766" w:rsidP="008C2766">
      <w:pPr>
        <w:pStyle w:val="Footnote"/>
      </w:pPr>
      <w:r>
        <w:t>(a) Data for 2011 is based on year of registration, not year of death.</w:t>
      </w:r>
    </w:p>
    <w:p w:rsidR="00FD53F9" w:rsidRDefault="00875AC1" w:rsidP="00F2252C">
      <w:r w:rsidRPr="00875AC1">
        <w:t>Figure 9 shows for 2011 the age-specific mortality rate (deaths per 100 000 population in the age group) of deaths caused by mesothelioma. Because of the relatively short survival period from onset of the disease, the age related pattern of mortality is very</w:t>
      </w:r>
    </w:p>
    <w:p w:rsidR="00FD53F9" w:rsidRDefault="00FD53F9" w:rsidP="00FD53F9">
      <w:pPr>
        <w:pStyle w:val="Footnote"/>
      </w:pPr>
      <w:r>
        <w:t>1.</w:t>
      </w:r>
      <w:r w:rsidRPr="00FD53F9">
        <w:t xml:space="preserve"> </w:t>
      </w:r>
      <w:r>
        <w:t>Note that data on deaths reported in this publication are based on data from state and territory Registrars of Births, Deaths and Marriages which are assembled, coded and released by the ABS. These data may differ to those reported by state cancer registries, which use pathology reports and other notifications, as well as death certificates, to ascertain deaths from mesothelioma.</w:t>
      </w:r>
    </w:p>
    <w:p w:rsidR="00FD53F9" w:rsidRDefault="00FD53F9" w:rsidP="00FD53F9">
      <w:pPr>
        <w:pStyle w:val="Footnote"/>
      </w:pPr>
    </w:p>
    <w:p w:rsidR="00875AC1" w:rsidRDefault="00875AC1" w:rsidP="00F2252C">
      <w:r w:rsidRPr="00875AC1">
        <w:t>similar to the pattern for diagnosis. The mortality rate for men increased considerably</w:t>
      </w:r>
      <w:r w:rsidR="00FD53F9">
        <w:t xml:space="preserve"> </w:t>
      </w:r>
      <w:r w:rsidRPr="00875AC1">
        <w:t>with age, reaching a maximum of 47 deaths per 100 000 population among men aged 85 years and over. For women, the rates were lower and reached a maximum of 7 deaths per 100 000 population among women aged 80–84 years.</w:t>
      </w:r>
    </w:p>
    <w:p w:rsidR="008C2766" w:rsidRPr="008C2766" w:rsidRDefault="008C2766" w:rsidP="008C2766">
      <w:pPr>
        <w:rPr>
          <w:b/>
          <w:bCs/>
          <w:spacing w:val="-2"/>
          <w:sz w:val="20"/>
        </w:rPr>
      </w:pPr>
      <w:r w:rsidRPr="008C2766">
        <w:rPr>
          <w:b/>
          <w:bCs/>
          <w:i/>
          <w:iCs/>
          <w:color w:val="00456B"/>
          <w:sz w:val="20"/>
        </w:rPr>
        <w:t>Figure 9</w:t>
      </w:r>
      <w:r w:rsidRPr="008C2766">
        <w:rPr>
          <w:b/>
          <w:bCs/>
          <w:sz w:val="20"/>
        </w:rPr>
        <w:t xml:space="preserve">  </w:t>
      </w:r>
      <w:r w:rsidRPr="008C2766">
        <w:rPr>
          <w:b/>
          <w:bCs/>
          <w:spacing w:val="-1"/>
          <w:sz w:val="20"/>
        </w:rPr>
        <w:t xml:space="preserve"> </w:t>
      </w:r>
      <w:r w:rsidRPr="008C2766">
        <w:rPr>
          <w:b/>
          <w:bCs/>
          <w:spacing w:val="-6"/>
          <w:sz w:val="20"/>
        </w:rPr>
        <w:t>Deaths due to mesothelioma: age-specific mortality rates by sex, 2011</w:t>
      </w:r>
      <w:r w:rsidRPr="008C2766">
        <w:rPr>
          <w:b/>
          <w:bCs/>
          <w:spacing w:val="-6"/>
          <w:sz w:val="20"/>
          <w:vertAlign w:val="superscript"/>
        </w:rPr>
        <w:t>(a)</w:t>
      </w:r>
    </w:p>
    <w:p w:rsidR="007B2017" w:rsidRDefault="007B2017" w:rsidP="008C2766">
      <w:pPr>
        <w:pStyle w:val="Footnote"/>
      </w:pPr>
      <w:r>
        <w:rPr>
          <w:noProof/>
          <w:lang w:val="en-AU"/>
        </w:rPr>
        <w:drawing>
          <wp:inline distT="0" distB="0" distL="0" distR="0" wp14:anchorId="69A85CEC" wp14:editId="0AE6F951">
            <wp:extent cx="4909726" cy="2519596"/>
            <wp:effectExtent l="0" t="0" r="5715" b="0"/>
            <wp:docPr id="9" name="Chart 9" descr="Deaths due to mesothelioma: age-specific mortality rates by sex, 2011. Discussed in commentary." title="Figur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C2766" w:rsidRDefault="008C2766" w:rsidP="008C2766">
      <w:pPr>
        <w:pStyle w:val="Footnote"/>
      </w:pPr>
      <w:r>
        <w:t>(a) Data for 2011 is based on year of registration, not year of death.</w:t>
      </w:r>
    </w:p>
    <w:p w:rsidR="00875AC1" w:rsidRPr="00875AC1" w:rsidRDefault="00875AC1" w:rsidP="00D531BC">
      <w:pPr>
        <w:pStyle w:val="Heading1"/>
      </w:pPr>
      <w:r w:rsidRPr="00875AC1">
        <w:t>Trends over time, 1997 to 2011</w:t>
      </w:r>
    </w:p>
    <w:p w:rsidR="00875AC1" w:rsidRPr="00875AC1" w:rsidRDefault="00875AC1" w:rsidP="00D531BC">
      <w:pPr>
        <w:pStyle w:val="Headingtwo"/>
      </w:pPr>
      <w:r w:rsidRPr="00875AC1">
        <w:t>National data</w:t>
      </w:r>
    </w:p>
    <w:p w:rsidR="00875AC1" w:rsidRDefault="00875AC1" w:rsidP="00F2252C">
      <w:r w:rsidRPr="00875AC1">
        <w:t>Figure 10 shows the increase in the overall number of deaths resulting from mesothelioma over the fifteen year period from 1997 to 2011. The number of deaths reached a maximum of 634 in 2010. Most of these decedents were male, with an average of 83% of total deaths over the fifteen years.</w:t>
      </w:r>
    </w:p>
    <w:p w:rsidR="008C2766" w:rsidRPr="008C2766" w:rsidRDefault="008C2766" w:rsidP="008C2766">
      <w:pPr>
        <w:rPr>
          <w:b/>
          <w:bCs/>
          <w:sz w:val="20"/>
        </w:rPr>
      </w:pPr>
      <w:r w:rsidRPr="008C2766">
        <w:rPr>
          <w:b/>
          <w:bCs/>
          <w:i/>
          <w:iCs/>
          <w:color w:val="00456B"/>
          <w:sz w:val="20"/>
        </w:rPr>
        <w:t>Figure 10</w:t>
      </w:r>
      <w:r w:rsidRPr="008C2766">
        <w:rPr>
          <w:b/>
          <w:bCs/>
          <w:sz w:val="20"/>
        </w:rPr>
        <w:t xml:space="preserve">   Deaths due to mesothelioma: year of death by sex, 1997 to 2011</w:t>
      </w:r>
      <w:r w:rsidRPr="008C2766">
        <w:rPr>
          <w:b/>
          <w:bCs/>
          <w:sz w:val="20"/>
          <w:vertAlign w:val="superscript"/>
        </w:rPr>
        <w:t>(a)</w:t>
      </w:r>
    </w:p>
    <w:p w:rsidR="007B2017" w:rsidRDefault="0071125E" w:rsidP="0071125E">
      <w:pPr>
        <w:pStyle w:val="Footnote"/>
        <w:ind w:left="1440"/>
      </w:pPr>
      <w:r>
        <w:rPr>
          <w:noProof/>
          <w:lang w:val="en-AU"/>
        </w:rPr>
        <w:drawing>
          <wp:inline distT="0" distB="0" distL="0" distR="0" wp14:anchorId="387F0B6E" wp14:editId="2B6FACB9">
            <wp:extent cx="5924552" cy="3042986"/>
            <wp:effectExtent l="0" t="0" r="0" b="5080"/>
            <wp:docPr id="11" name="Chart 11" descr="Deaths due to mesothelioma: year of death by sex, 1997 to 2011. Discussed in commentary." title="Figur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2766" w:rsidRDefault="008C2766" w:rsidP="008C2766">
      <w:pPr>
        <w:pStyle w:val="Footnote"/>
      </w:pPr>
      <w:r>
        <w:t>(a) Data for 2011 is based on year of registration, not year of death. Data for 2009 and earlier is final while data for both 2010 and 2011 may be further revised.</w:t>
      </w:r>
    </w:p>
    <w:p w:rsidR="008C2766" w:rsidRPr="00875AC1" w:rsidRDefault="008C2766" w:rsidP="00F2252C"/>
    <w:p w:rsidR="00875AC1" w:rsidRDefault="00875AC1" w:rsidP="00F2252C">
      <w:r w:rsidRPr="00875AC1">
        <w:t xml:space="preserve">Figure 11 shows that the overall age-standardised rate of death due to mesothelioma has remained relatively stable over the fifteen years for which data are available. Over the period the standardised rate has ranged between a minimum of 2.1 deaths per 100 000 population in 1999 and a maximum of 2.7 in 2001. The standardised rate in 2011 was 2.5 deaths per 100 000 population. </w:t>
      </w:r>
    </w:p>
    <w:p w:rsidR="008C2766" w:rsidRPr="008C2766" w:rsidRDefault="008C2766" w:rsidP="008C2766">
      <w:pPr>
        <w:rPr>
          <w:b/>
          <w:bCs/>
          <w:sz w:val="20"/>
        </w:rPr>
      </w:pPr>
      <w:r w:rsidRPr="008C2766">
        <w:rPr>
          <w:b/>
          <w:bCs/>
          <w:i/>
          <w:iCs/>
          <w:color w:val="00456B"/>
          <w:sz w:val="20"/>
        </w:rPr>
        <w:t>Figure 11</w:t>
      </w:r>
      <w:r w:rsidRPr="008C2766">
        <w:rPr>
          <w:b/>
          <w:bCs/>
          <w:sz w:val="20"/>
        </w:rPr>
        <w:t xml:space="preserve">   Deaths due to mesothelioma: age-standardised mortality rate by</w:t>
      </w:r>
      <w:r w:rsidRPr="008C2766">
        <w:rPr>
          <w:b/>
          <w:bCs/>
          <w:sz w:val="20"/>
        </w:rPr>
        <w:br/>
        <w:t xml:space="preserve">                   sex, 1997 to 2011</w:t>
      </w:r>
      <w:r w:rsidRPr="008C2766">
        <w:rPr>
          <w:b/>
          <w:bCs/>
          <w:sz w:val="20"/>
          <w:vertAlign w:val="superscript"/>
        </w:rPr>
        <w:t>(a)</w:t>
      </w:r>
    </w:p>
    <w:p w:rsidR="008C2766" w:rsidRDefault="0071125E" w:rsidP="00F2252C">
      <w:r>
        <w:rPr>
          <w:noProof/>
          <w:lang w:val="en-AU"/>
        </w:rPr>
        <w:drawing>
          <wp:inline distT="0" distB="0" distL="0" distR="0" wp14:anchorId="62D1000C" wp14:editId="06FBB1E4">
            <wp:extent cx="5127960" cy="2634803"/>
            <wp:effectExtent l="0" t="0" r="0" b="0"/>
            <wp:docPr id="12" name="Chart 12" descr="Deaths due to mesothelioma: age-standardised mortality rate by                   sex, 1997 to 2011. Discussed in text.&#10;" title="Figur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C2766" w:rsidRDefault="008C2766" w:rsidP="008C2766">
      <w:pPr>
        <w:pStyle w:val="Footnote"/>
      </w:pPr>
      <w:r>
        <w:t>(a) Data for 2011 is based on year of registration, not year of death. Data for 2009 and earlier is final while data for both 2010 and 2011 may be further revised.</w:t>
      </w:r>
    </w:p>
    <w:p w:rsidR="008C2766" w:rsidRPr="00875AC1" w:rsidRDefault="008C2766" w:rsidP="00F2252C"/>
    <w:p w:rsidR="00875AC1" w:rsidRPr="00875AC1" w:rsidRDefault="00875AC1" w:rsidP="00D531BC">
      <w:pPr>
        <w:pStyle w:val="Headingtwo"/>
      </w:pPr>
      <w:r w:rsidRPr="00875AC1">
        <w:t>State and territory data</w:t>
      </w:r>
    </w:p>
    <w:p w:rsidR="0071125E" w:rsidRDefault="00875AC1" w:rsidP="00F2252C">
      <w:r w:rsidRPr="00875AC1">
        <w:t xml:space="preserve">Figure 12 shows the average annual number of deaths due to mesothelioma occurring in each state and territory over the time period for which data are available. The pattern of mortality across the states and territories is similar to the incidence of new cases since the deaths reported result from developing mesothelioma. The ranking primarily reflects the size of the population of the state or territory. Differences between the number of people diagnosed with mesothelioma and the number that die from the disease must be attributable to variations in survival periods; the number of deaths that occur among those with the disease from causes other than mesothelioma; and in some cases, change of residence across state and territory borders between diagnosis and death. </w:t>
      </w:r>
    </w:p>
    <w:p w:rsidR="0071125E" w:rsidRDefault="0071125E">
      <w:pPr>
        <w:suppressAutoHyphens w:val="0"/>
        <w:autoSpaceDE/>
        <w:autoSpaceDN/>
        <w:adjustRightInd/>
        <w:spacing w:after="0" w:line="240" w:lineRule="auto"/>
        <w:ind w:left="0"/>
        <w:textAlignment w:val="auto"/>
      </w:pPr>
      <w:r>
        <w:br w:type="page"/>
      </w:r>
    </w:p>
    <w:p w:rsidR="00875AC1" w:rsidRDefault="00875AC1" w:rsidP="00F2252C"/>
    <w:p w:rsidR="008C2766" w:rsidRDefault="008C2766" w:rsidP="008C2766">
      <w:pPr>
        <w:rPr>
          <w:b/>
          <w:bCs/>
          <w:sz w:val="20"/>
        </w:rPr>
      </w:pPr>
      <w:r w:rsidRPr="008C2766">
        <w:rPr>
          <w:b/>
          <w:bCs/>
          <w:i/>
          <w:iCs/>
          <w:color w:val="00456B"/>
          <w:sz w:val="20"/>
        </w:rPr>
        <w:t>Figure 12</w:t>
      </w:r>
      <w:r w:rsidRPr="008C2766">
        <w:rPr>
          <w:b/>
          <w:bCs/>
          <w:sz w:val="20"/>
        </w:rPr>
        <w:t xml:space="preserve">   Deaths due to mesothelioma: five-year rolling average number by</w:t>
      </w:r>
      <w:r w:rsidRPr="008C2766">
        <w:rPr>
          <w:b/>
          <w:bCs/>
          <w:sz w:val="20"/>
        </w:rPr>
        <w:br/>
        <w:t xml:space="preserve">                   state or territory</w:t>
      </w:r>
      <w:r w:rsidRPr="008C2766">
        <w:rPr>
          <w:b/>
          <w:bCs/>
          <w:sz w:val="20"/>
          <w:vertAlign w:val="superscript"/>
        </w:rPr>
        <w:t>(a)</w:t>
      </w:r>
      <w:r w:rsidRPr="008C2766">
        <w:rPr>
          <w:b/>
          <w:bCs/>
          <w:sz w:val="20"/>
        </w:rPr>
        <w:t>, 1997-2001 to 2007-2011</w:t>
      </w:r>
    </w:p>
    <w:p w:rsidR="008C2766" w:rsidRDefault="0071125E" w:rsidP="0071125E">
      <w:pPr>
        <w:ind w:left="1440"/>
      </w:pPr>
      <w:r>
        <w:rPr>
          <w:noProof/>
          <w:lang w:val="en-AU"/>
        </w:rPr>
        <w:drawing>
          <wp:inline distT="0" distB="0" distL="0" distR="0" wp14:anchorId="0C8E7C54" wp14:editId="286FAC37">
            <wp:extent cx="5943600" cy="4095750"/>
            <wp:effectExtent l="0" t="0" r="0" b="0"/>
            <wp:docPr id="13" name="Chart 13" descr="Deaths due to mesothelioma: five-year rolling average number by state or territory(a), 1997-2001 to 2007-2011. Discussed in commentary.&#10;" title="Figur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1125E" w:rsidRDefault="0071125E" w:rsidP="008C2766">
      <w:pPr>
        <w:pStyle w:val="Footnote"/>
      </w:pPr>
    </w:p>
    <w:p w:rsidR="008C2766" w:rsidRDefault="008C2766" w:rsidP="008C2766">
      <w:pPr>
        <w:pStyle w:val="Footnote"/>
      </w:pPr>
      <w:r>
        <w:t>(a) Because the number of mesothelioma deaths in the ACT and NT are relatively low they cannot be plotted clearly on this scale.</w:t>
      </w:r>
    </w:p>
    <w:p w:rsidR="008C2766" w:rsidRPr="00875AC1" w:rsidRDefault="008C2766" w:rsidP="00F2252C"/>
    <w:p w:rsidR="00875AC1" w:rsidRDefault="00875AC1" w:rsidP="00F2252C">
      <w:pPr>
        <w:pStyle w:val="Headingtwo"/>
      </w:pPr>
    </w:p>
    <w:p w:rsidR="00D531BC" w:rsidRDefault="00D531BC">
      <w:pPr>
        <w:suppressAutoHyphens w:val="0"/>
        <w:autoSpaceDE/>
        <w:autoSpaceDN/>
        <w:adjustRightInd/>
        <w:spacing w:after="0" w:line="240" w:lineRule="auto"/>
        <w:ind w:left="0"/>
        <w:textAlignment w:val="auto"/>
        <w:rPr>
          <w:rFonts w:eastAsiaTheme="majorEastAsia" w:cstheme="majorBidi"/>
          <w:b/>
          <w:bCs/>
          <w:color w:val="365F91" w:themeColor="accent1" w:themeShade="BF"/>
          <w:sz w:val="36"/>
          <w:szCs w:val="28"/>
        </w:rPr>
      </w:pPr>
      <w:r>
        <w:br w:type="page"/>
      </w:r>
    </w:p>
    <w:p w:rsidR="00875AC1" w:rsidRPr="00875AC1" w:rsidRDefault="00875AC1" w:rsidP="00D531BC">
      <w:pPr>
        <w:pStyle w:val="Headingtwo"/>
      </w:pPr>
      <w:r w:rsidRPr="00875AC1">
        <w:t>References</w:t>
      </w:r>
    </w:p>
    <w:p w:rsidR="00875AC1" w:rsidRPr="00875AC1" w:rsidRDefault="00875AC1" w:rsidP="00F2252C">
      <w:r w:rsidRPr="00875AC1">
        <w:t xml:space="preserve">Clements M, Berry G &amp; Shi J. 2007a. Actuarial projections for mesothelioma: an epidemiological perspective. Presented to the Actuaries of Australia Xlth Accident Compensation Seminar. </w:t>
      </w:r>
    </w:p>
    <w:p w:rsidR="00875AC1" w:rsidRPr="00875AC1" w:rsidRDefault="00875AC1" w:rsidP="00F2252C">
      <w:r w:rsidRPr="00875AC1">
        <w:t xml:space="preserve">Clements M, Berry G, Shi J,  Ware S, Yates D, Johnson A. 2007b. Projected mesothelioma incidence in men in New South Wales. </w:t>
      </w:r>
      <w:r w:rsidRPr="00875AC1">
        <w:rPr>
          <w:i/>
          <w:iCs/>
        </w:rPr>
        <w:t>Occupational and Environmental Medicine</w:t>
      </w:r>
      <w:r w:rsidRPr="00875AC1">
        <w:t>; 64:747-752.</w:t>
      </w:r>
    </w:p>
    <w:p w:rsidR="00875AC1" w:rsidRPr="00875AC1" w:rsidRDefault="00875AC1" w:rsidP="00F2252C">
      <w:r w:rsidRPr="00875AC1">
        <w:t>Leigh J &amp; Driscoll T. Malignant Mesothelioma in Australia, 1945-2002. 2003.</w:t>
      </w:r>
      <w:r w:rsidRPr="00875AC1">
        <w:rPr>
          <w:i/>
          <w:iCs/>
        </w:rPr>
        <w:t>International Journal of Occupational and Environmental Health</w:t>
      </w:r>
      <w:r w:rsidRPr="00875AC1">
        <w:t>; 9:206-217.</w:t>
      </w:r>
    </w:p>
    <w:p w:rsidR="00875AC1" w:rsidRPr="00875AC1" w:rsidRDefault="00875AC1" w:rsidP="00D531BC">
      <w:pPr>
        <w:pStyle w:val="Headingtwo"/>
      </w:pPr>
      <w:r w:rsidRPr="00875AC1">
        <w:t>Useful links</w:t>
      </w:r>
    </w:p>
    <w:p w:rsidR="00875AC1" w:rsidRPr="00875AC1" w:rsidRDefault="00875AC1" w:rsidP="007F6D40">
      <w:pPr>
        <w:ind w:left="1985"/>
      </w:pPr>
      <w:r w:rsidRPr="00875AC1">
        <w:t>Many of the State Cancer Registries publish state specific reports that include information on mesothelioma. In addition the AIHW releases detailed spread</w:t>
      </w:r>
      <w:r w:rsidR="007F6D40">
        <w:t xml:space="preserve"> </w:t>
      </w:r>
      <w:r w:rsidRPr="00875AC1">
        <w:t>sheets of national mesothelioma data. This information can be found via the links below:</w:t>
      </w:r>
    </w:p>
    <w:p w:rsidR="00875AC1" w:rsidRPr="00875AC1" w:rsidRDefault="00875AC1" w:rsidP="007F6D40">
      <w:pPr>
        <w:ind w:left="1985"/>
        <w:rPr>
          <w:u w:color="2725C7"/>
        </w:rPr>
      </w:pPr>
      <w:r w:rsidRPr="00875AC1">
        <w:rPr>
          <w:u w:color="2725C7"/>
        </w:rPr>
        <w:t>• AIHW</w:t>
      </w:r>
      <w:r w:rsidR="00FE5DAA">
        <w:rPr>
          <w:u w:color="2725C7"/>
        </w:rPr>
        <w:t xml:space="preserve">    </w:t>
      </w:r>
      <w:hyperlink r:id="rId24" w:history="1">
        <w:r w:rsidRPr="00E516A6">
          <w:rPr>
            <w:rStyle w:val="Hyperlink"/>
            <w:sz w:val="22"/>
          </w:rPr>
          <w:t>www.aihw.gov.au</w:t>
        </w:r>
      </w:hyperlink>
    </w:p>
    <w:p w:rsidR="00875AC1" w:rsidRPr="00875AC1" w:rsidRDefault="00875AC1" w:rsidP="007F6D40">
      <w:pPr>
        <w:ind w:left="1985"/>
        <w:rPr>
          <w:u w:color="2725C7"/>
        </w:rPr>
      </w:pPr>
      <w:r w:rsidRPr="00875AC1">
        <w:rPr>
          <w:u w:color="2725C7"/>
        </w:rPr>
        <w:t>• Cancer Institute NSW</w:t>
      </w:r>
      <w:r w:rsidR="00FE5DAA">
        <w:rPr>
          <w:u w:color="2725C7"/>
        </w:rPr>
        <w:t xml:space="preserve">    </w:t>
      </w:r>
      <w:hyperlink r:id="rId25" w:history="1">
        <w:r w:rsidRPr="00E516A6">
          <w:rPr>
            <w:rStyle w:val="Hyperlink"/>
            <w:sz w:val="22"/>
          </w:rPr>
          <w:t>www.cancerinstitute.org.au</w:t>
        </w:r>
      </w:hyperlink>
    </w:p>
    <w:p w:rsidR="00875AC1" w:rsidRPr="00875AC1" w:rsidRDefault="00875AC1" w:rsidP="007F6D40">
      <w:pPr>
        <w:ind w:left="1985"/>
        <w:rPr>
          <w:u w:color="2725C7"/>
        </w:rPr>
      </w:pPr>
      <w:r w:rsidRPr="00875AC1">
        <w:rPr>
          <w:u w:color="2725C7"/>
        </w:rPr>
        <w:t>• Vic Cancer Registry</w:t>
      </w:r>
      <w:r w:rsidR="00FE5DAA">
        <w:rPr>
          <w:u w:color="2725C7"/>
        </w:rPr>
        <w:t xml:space="preserve">    </w:t>
      </w:r>
      <w:r w:rsidRPr="00875AC1">
        <w:rPr>
          <w:color w:val="2725C7"/>
          <w:u w:val="thick" w:color="2725C7"/>
        </w:rPr>
        <w:t>www.cancervic.org.au</w:t>
      </w:r>
    </w:p>
    <w:p w:rsidR="00875AC1" w:rsidRDefault="00875AC1" w:rsidP="007F6D40">
      <w:pPr>
        <w:ind w:left="1985"/>
        <w:rPr>
          <w:rStyle w:val="Hyperlink"/>
          <w:sz w:val="22"/>
        </w:rPr>
      </w:pPr>
      <w:r w:rsidRPr="00875AC1">
        <w:rPr>
          <w:u w:color="2725C7"/>
        </w:rPr>
        <w:t>• WA Cancer Registry</w:t>
      </w:r>
      <w:r w:rsidR="00FE5DAA">
        <w:rPr>
          <w:u w:color="2725C7"/>
        </w:rPr>
        <w:t xml:space="preserve">    </w:t>
      </w:r>
      <w:hyperlink r:id="rId26" w:history="1">
        <w:r w:rsidRPr="00E516A6">
          <w:rPr>
            <w:rStyle w:val="Hyperlink"/>
            <w:sz w:val="22"/>
          </w:rPr>
          <w:t>www.health.wa.gov.au/wacr</w:t>
        </w:r>
      </w:hyperlink>
    </w:p>
    <w:p w:rsidR="009F42CF" w:rsidRPr="00875AC1" w:rsidRDefault="009F42CF" w:rsidP="009F42CF">
      <w:pPr>
        <w:ind w:left="1985"/>
        <w:rPr>
          <w:u w:color="2725C7"/>
        </w:rPr>
      </w:pPr>
      <w:r w:rsidRPr="00875AC1">
        <w:rPr>
          <w:u w:color="2725C7"/>
        </w:rPr>
        <w:t>• Tas Cancer Registry</w:t>
      </w:r>
      <w:r>
        <w:rPr>
          <w:u w:color="2725C7"/>
        </w:rPr>
        <w:t xml:space="preserve">    </w:t>
      </w:r>
      <w:hyperlink r:id="rId27" w:history="1">
        <w:r w:rsidRPr="00E516A6">
          <w:rPr>
            <w:rStyle w:val="Hyperlink"/>
            <w:sz w:val="22"/>
          </w:rPr>
          <w:t>www.menzies.utas.edu.au</w:t>
        </w:r>
      </w:hyperlink>
    </w:p>
    <w:p w:rsidR="009F42CF" w:rsidRDefault="007F6D40" w:rsidP="009F42CF">
      <w:pPr>
        <w:ind w:left="1985"/>
        <w:rPr>
          <w:u w:color="2725C7"/>
        </w:rPr>
      </w:pPr>
      <w:r>
        <w:rPr>
          <w:u w:color="2725C7"/>
        </w:rPr>
        <w:t>• SA Cancer Registry</w:t>
      </w:r>
    </w:p>
    <w:p w:rsidR="00875AC1" w:rsidRPr="00875AC1" w:rsidRDefault="00FE5DAA" w:rsidP="009F42CF">
      <w:pPr>
        <w:ind w:left="1985"/>
        <w:rPr>
          <w:u w:color="2725C7"/>
        </w:rPr>
      </w:pPr>
      <w:r>
        <w:rPr>
          <w:u w:color="2725C7"/>
        </w:rPr>
        <w:t xml:space="preserve"> </w:t>
      </w:r>
      <w:hyperlink r:id="rId28" w:history="1">
        <w:r w:rsidR="009F42CF" w:rsidRPr="006A3319">
          <w:rPr>
            <w:rStyle w:val="Hyperlink"/>
            <w:sz w:val="22"/>
          </w:rPr>
          <w:t>www.health.sa.gov.au/pehs/branches/branch-cancer registry.htm</w:t>
        </w:r>
      </w:hyperlink>
    </w:p>
    <w:p w:rsidR="009F42CF" w:rsidRDefault="00B47EB6" w:rsidP="007F6D40">
      <w:pPr>
        <w:ind w:left="1985"/>
        <w:rPr>
          <w:u w:color="2725C7"/>
        </w:rPr>
      </w:pPr>
      <w:r>
        <w:rPr>
          <w:u w:color="2725C7"/>
        </w:rPr>
        <w:t xml:space="preserve">• Qld Cancer </w:t>
      </w:r>
      <w:r w:rsidR="00FE5DAA">
        <w:rPr>
          <w:u w:color="2725C7"/>
        </w:rPr>
        <w:t>r</w:t>
      </w:r>
      <w:r>
        <w:rPr>
          <w:u w:color="2725C7"/>
        </w:rPr>
        <w:t>egistry</w:t>
      </w:r>
      <w:r w:rsidR="00FE5DAA">
        <w:rPr>
          <w:u w:color="2725C7"/>
        </w:rPr>
        <w:t xml:space="preserve"> </w:t>
      </w:r>
    </w:p>
    <w:p w:rsidR="00875AC1" w:rsidRPr="00875AC1" w:rsidRDefault="00F45C4F" w:rsidP="007F6D40">
      <w:pPr>
        <w:ind w:left="1985"/>
        <w:rPr>
          <w:u w:color="2725C7"/>
        </w:rPr>
      </w:pPr>
      <w:hyperlink r:id="rId29" w:history="1">
        <w:r w:rsidR="00CE028C" w:rsidRPr="00511C14">
          <w:rPr>
            <w:rStyle w:val="Hyperlink"/>
            <w:sz w:val="22"/>
          </w:rPr>
          <w:t>http://www.cancerqld.org.au/page/research_statistics/queensland_cancer_registry/</w:t>
        </w:r>
      </w:hyperlink>
    </w:p>
    <w:p w:rsidR="009F42CF" w:rsidRDefault="005E6FE4" w:rsidP="007F6D40">
      <w:pPr>
        <w:ind w:left="1985"/>
        <w:rPr>
          <w:u w:color="2725C7"/>
        </w:rPr>
      </w:pPr>
      <w:r>
        <w:rPr>
          <w:u w:color="2725C7"/>
        </w:rPr>
        <w:t>• NT Cancer Registry</w:t>
      </w:r>
    </w:p>
    <w:p w:rsidR="00875AC1" w:rsidRPr="00875AC1" w:rsidRDefault="00F45C4F" w:rsidP="007F6D40">
      <w:pPr>
        <w:ind w:left="1985"/>
        <w:rPr>
          <w:color w:val="2725C7"/>
          <w:u w:val="thick" w:color="2725C7"/>
        </w:rPr>
      </w:pPr>
      <w:hyperlink r:id="rId30" w:anchor="NTCancerRegistry" w:history="1">
        <w:r w:rsidR="009F42CF" w:rsidRPr="006A3319">
          <w:rPr>
            <w:rStyle w:val="Hyperlink"/>
            <w:sz w:val="22"/>
          </w:rPr>
          <w:t>http://www.health.nt.gov.au/Health_Gains/Publications/index.aspx#NTCancerRegistry</w:t>
        </w:r>
      </w:hyperlink>
      <w:r w:rsidR="00875AC1" w:rsidRPr="00875AC1">
        <w:rPr>
          <w:color w:val="2725C7"/>
          <w:u w:val="thick" w:color="2725C7"/>
        </w:rPr>
        <w:br/>
      </w:r>
    </w:p>
    <w:p w:rsidR="009F42CF" w:rsidRDefault="00875AC1" w:rsidP="009F42CF">
      <w:pPr>
        <w:ind w:left="1985"/>
        <w:rPr>
          <w:u w:color="2725C7"/>
        </w:rPr>
      </w:pPr>
      <w:r w:rsidRPr="00875AC1">
        <w:rPr>
          <w:u w:color="2725C7"/>
        </w:rPr>
        <w:t>• ACT Cancer publications</w:t>
      </w:r>
    </w:p>
    <w:p w:rsidR="00875AC1" w:rsidRPr="00875AC1" w:rsidRDefault="00F45C4F" w:rsidP="009F42CF">
      <w:pPr>
        <w:ind w:left="1985"/>
        <w:rPr>
          <w:u w:color="2725C7"/>
        </w:rPr>
      </w:pPr>
      <w:hyperlink r:id="rId31" w:history="1">
        <w:r w:rsidR="005E6FE4" w:rsidRPr="00511C14">
          <w:rPr>
            <w:rStyle w:val="Hyperlink"/>
            <w:sz w:val="22"/>
          </w:rPr>
          <w:t>http://health.act.gov.au/health-services/population-health/epidemiology-branch/epidemiology-publications-health-series/cancer-in-the-act-incidence-and-mortality-2011</w:t>
        </w:r>
      </w:hyperlink>
    </w:p>
    <w:p w:rsidR="00875AC1" w:rsidRPr="00875AC1" w:rsidRDefault="00875AC1" w:rsidP="00D531BC">
      <w:pPr>
        <w:pStyle w:val="Headingtwo"/>
      </w:pPr>
      <w:r w:rsidRPr="00875AC1">
        <w:t xml:space="preserve">Australian </w:t>
      </w:r>
      <w:r w:rsidRPr="00D531BC">
        <w:rPr>
          <w:rStyle w:val="Emphasis"/>
          <w:i w:val="0"/>
        </w:rPr>
        <w:t>Mesothelioma</w:t>
      </w:r>
      <w:r w:rsidR="00397EA4">
        <w:t xml:space="preserve"> Registry</w:t>
      </w:r>
    </w:p>
    <w:p w:rsidR="00875AC1" w:rsidRPr="00875AC1" w:rsidRDefault="00F45C4F" w:rsidP="00F2252C">
      <w:hyperlink r:id="rId32" w:history="1">
        <w:r w:rsidR="00875AC1" w:rsidRPr="00E91550">
          <w:rPr>
            <w:rStyle w:val="Hyperlink"/>
            <w:sz w:val="22"/>
          </w:rPr>
          <w:t>www.mesothelioma-australia.com</w:t>
        </w:r>
      </w:hyperlink>
    </w:p>
    <w:p w:rsidR="00875AC1" w:rsidRPr="00875AC1" w:rsidRDefault="00875AC1" w:rsidP="00F2252C">
      <w:r w:rsidRPr="00875AC1">
        <w:t>Safe Work Australia has a web page for Mesothelioma-related reports:</w:t>
      </w:r>
    </w:p>
    <w:p w:rsidR="00D16FCF" w:rsidRDefault="00F45C4F" w:rsidP="00F2252C">
      <w:hyperlink r:id="rId33" w:history="1">
        <w:r w:rsidR="00875AC1" w:rsidRPr="00E91550">
          <w:rPr>
            <w:rStyle w:val="Hyperlink"/>
            <w:sz w:val="22"/>
          </w:rPr>
          <w:t>http://www.safeworkaustralia.gov.au/AboutSafeWorkAustralia/WhatWeDo/Statistics/Pages/Mesothelioma.aspx</w:t>
        </w:r>
      </w:hyperlink>
    </w:p>
    <w:sectPr w:rsidR="00D16FCF" w:rsidSect="00D531B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AA" w:rsidRDefault="00FE5DAA" w:rsidP="00F2252C">
      <w:r>
        <w:separator/>
      </w:r>
    </w:p>
  </w:endnote>
  <w:endnote w:type="continuationSeparator" w:id="0">
    <w:p w:rsidR="00FE5DAA" w:rsidRDefault="00FE5DAA" w:rsidP="00F2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3644"/>
      <w:docPartObj>
        <w:docPartGallery w:val="Page Numbers (Bottom of Page)"/>
        <w:docPartUnique/>
      </w:docPartObj>
    </w:sdtPr>
    <w:sdtEndPr>
      <w:rPr>
        <w:noProof/>
      </w:rPr>
    </w:sdtEndPr>
    <w:sdtContent>
      <w:p w:rsidR="00FE5DAA" w:rsidRDefault="00FE5DAA">
        <w:pPr>
          <w:pStyle w:val="Footer"/>
          <w:jc w:val="right"/>
        </w:pPr>
        <w:r>
          <w:fldChar w:fldCharType="begin"/>
        </w:r>
        <w:r>
          <w:instrText xml:space="preserve"> PAGE   \* MERGEFORMAT </w:instrText>
        </w:r>
        <w:r>
          <w:fldChar w:fldCharType="separate"/>
        </w:r>
        <w:r w:rsidR="00F45C4F">
          <w:rPr>
            <w:noProof/>
          </w:rPr>
          <w:t>1</w:t>
        </w:r>
        <w:r>
          <w:rPr>
            <w:noProof/>
          </w:rPr>
          <w:fldChar w:fldCharType="end"/>
        </w:r>
      </w:p>
    </w:sdtContent>
  </w:sdt>
  <w:p w:rsidR="00FE5DAA" w:rsidRDefault="00FE5DAA" w:rsidP="00FD53F9">
    <w:pPr>
      <w:pStyle w:val="Footno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AA" w:rsidRDefault="00FE5DAA" w:rsidP="00F2252C">
      <w:r>
        <w:separator/>
      </w:r>
    </w:p>
  </w:footnote>
  <w:footnote w:type="continuationSeparator" w:id="0">
    <w:p w:rsidR="00FE5DAA" w:rsidRDefault="00FE5DAA" w:rsidP="00F22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65E4E"/>
    <w:multiLevelType w:val="hybridMultilevel"/>
    <w:tmpl w:val="2C8A135E"/>
    <w:lvl w:ilvl="0" w:tplc="0C090001">
      <w:start w:val="1"/>
      <w:numFmt w:val="bullet"/>
      <w:lvlText w:val=""/>
      <w:lvlJc w:val="left"/>
      <w:pPr>
        <w:ind w:left="2875" w:hanging="360"/>
      </w:pPr>
      <w:rPr>
        <w:rFonts w:ascii="Symbol" w:hAnsi="Symbol" w:hint="default"/>
      </w:rPr>
    </w:lvl>
    <w:lvl w:ilvl="1" w:tplc="0C090003" w:tentative="1">
      <w:start w:val="1"/>
      <w:numFmt w:val="bullet"/>
      <w:lvlText w:val="o"/>
      <w:lvlJc w:val="left"/>
      <w:pPr>
        <w:ind w:left="3595" w:hanging="360"/>
      </w:pPr>
      <w:rPr>
        <w:rFonts w:ascii="Courier New" w:hAnsi="Courier New" w:cs="Courier New" w:hint="default"/>
      </w:rPr>
    </w:lvl>
    <w:lvl w:ilvl="2" w:tplc="0C090005" w:tentative="1">
      <w:start w:val="1"/>
      <w:numFmt w:val="bullet"/>
      <w:lvlText w:val=""/>
      <w:lvlJc w:val="left"/>
      <w:pPr>
        <w:ind w:left="4315" w:hanging="360"/>
      </w:pPr>
      <w:rPr>
        <w:rFonts w:ascii="Wingdings" w:hAnsi="Wingdings" w:hint="default"/>
      </w:rPr>
    </w:lvl>
    <w:lvl w:ilvl="3" w:tplc="0C090001" w:tentative="1">
      <w:start w:val="1"/>
      <w:numFmt w:val="bullet"/>
      <w:lvlText w:val=""/>
      <w:lvlJc w:val="left"/>
      <w:pPr>
        <w:ind w:left="5035" w:hanging="360"/>
      </w:pPr>
      <w:rPr>
        <w:rFonts w:ascii="Symbol" w:hAnsi="Symbol" w:hint="default"/>
      </w:rPr>
    </w:lvl>
    <w:lvl w:ilvl="4" w:tplc="0C090003" w:tentative="1">
      <w:start w:val="1"/>
      <w:numFmt w:val="bullet"/>
      <w:lvlText w:val="o"/>
      <w:lvlJc w:val="left"/>
      <w:pPr>
        <w:ind w:left="5755" w:hanging="360"/>
      </w:pPr>
      <w:rPr>
        <w:rFonts w:ascii="Courier New" w:hAnsi="Courier New" w:cs="Courier New" w:hint="default"/>
      </w:rPr>
    </w:lvl>
    <w:lvl w:ilvl="5" w:tplc="0C090005" w:tentative="1">
      <w:start w:val="1"/>
      <w:numFmt w:val="bullet"/>
      <w:lvlText w:val=""/>
      <w:lvlJc w:val="left"/>
      <w:pPr>
        <w:ind w:left="6475" w:hanging="360"/>
      </w:pPr>
      <w:rPr>
        <w:rFonts w:ascii="Wingdings" w:hAnsi="Wingdings" w:hint="default"/>
      </w:rPr>
    </w:lvl>
    <w:lvl w:ilvl="6" w:tplc="0C090001" w:tentative="1">
      <w:start w:val="1"/>
      <w:numFmt w:val="bullet"/>
      <w:lvlText w:val=""/>
      <w:lvlJc w:val="left"/>
      <w:pPr>
        <w:ind w:left="7195" w:hanging="360"/>
      </w:pPr>
      <w:rPr>
        <w:rFonts w:ascii="Symbol" w:hAnsi="Symbol" w:hint="default"/>
      </w:rPr>
    </w:lvl>
    <w:lvl w:ilvl="7" w:tplc="0C090003" w:tentative="1">
      <w:start w:val="1"/>
      <w:numFmt w:val="bullet"/>
      <w:lvlText w:val="o"/>
      <w:lvlJc w:val="left"/>
      <w:pPr>
        <w:ind w:left="7915" w:hanging="360"/>
      </w:pPr>
      <w:rPr>
        <w:rFonts w:ascii="Courier New" w:hAnsi="Courier New" w:cs="Courier New" w:hint="default"/>
      </w:rPr>
    </w:lvl>
    <w:lvl w:ilvl="8" w:tplc="0C090005" w:tentative="1">
      <w:start w:val="1"/>
      <w:numFmt w:val="bullet"/>
      <w:lvlText w:val=""/>
      <w:lvlJc w:val="left"/>
      <w:pPr>
        <w:ind w:left="86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2"/>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7B"/>
    <w:rsid w:val="00001AAB"/>
    <w:rsid w:val="0000209D"/>
    <w:rsid w:val="00043CCF"/>
    <w:rsid w:val="000602FC"/>
    <w:rsid w:val="0007093E"/>
    <w:rsid w:val="00081FF9"/>
    <w:rsid w:val="000A6D3B"/>
    <w:rsid w:val="000B33C2"/>
    <w:rsid w:val="000F2910"/>
    <w:rsid w:val="0014523B"/>
    <w:rsid w:val="001624C3"/>
    <w:rsid w:val="0016356C"/>
    <w:rsid w:val="00187C1C"/>
    <w:rsid w:val="00190540"/>
    <w:rsid w:val="001962FD"/>
    <w:rsid w:val="001E0F2C"/>
    <w:rsid w:val="001F4A1E"/>
    <w:rsid w:val="00215672"/>
    <w:rsid w:val="00216168"/>
    <w:rsid w:val="00233C86"/>
    <w:rsid w:val="002422BD"/>
    <w:rsid w:val="00244FA5"/>
    <w:rsid w:val="0024545B"/>
    <w:rsid w:val="002523AB"/>
    <w:rsid w:val="0026142D"/>
    <w:rsid w:val="00262382"/>
    <w:rsid w:val="00282ED9"/>
    <w:rsid w:val="00297E1D"/>
    <w:rsid w:val="002A109A"/>
    <w:rsid w:val="002B72A1"/>
    <w:rsid w:val="002D0006"/>
    <w:rsid w:val="002D0103"/>
    <w:rsid w:val="002E0533"/>
    <w:rsid w:val="002E4E22"/>
    <w:rsid w:val="002F1765"/>
    <w:rsid w:val="002F1969"/>
    <w:rsid w:val="002F7F45"/>
    <w:rsid w:val="00323867"/>
    <w:rsid w:val="003455DC"/>
    <w:rsid w:val="00346638"/>
    <w:rsid w:val="0038764D"/>
    <w:rsid w:val="003913DA"/>
    <w:rsid w:val="003916A5"/>
    <w:rsid w:val="00397EA4"/>
    <w:rsid w:val="003C1707"/>
    <w:rsid w:val="003C5AB1"/>
    <w:rsid w:val="003E06D3"/>
    <w:rsid w:val="00401782"/>
    <w:rsid w:val="00420CDF"/>
    <w:rsid w:val="0042636D"/>
    <w:rsid w:val="004362BF"/>
    <w:rsid w:val="0044203F"/>
    <w:rsid w:val="004579B1"/>
    <w:rsid w:val="00460522"/>
    <w:rsid w:val="00460BA2"/>
    <w:rsid w:val="00465F28"/>
    <w:rsid w:val="00485ADD"/>
    <w:rsid w:val="00486C74"/>
    <w:rsid w:val="004903D2"/>
    <w:rsid w:val="004C327B"/>
    <w:rsid w:val="004C32CD"/>
    <w:rsid w:val="004E63FB"/>
    <w:rsid w:val="004F601A"/>
    <w:rsid w:val="00511CBB"/>
    <w:rsid w:val="00520B8D"/>
    <w:rsid w:val="00552C1A"/>
    <w:rsid w:val="005554BA"/>
    <w:rsid w:val="00560291"/>
    <w:rsid w:val="00561C96"/>
    <w:rsid w:val="005652C5"/>
    <w:rsid w:val="005652E4"/>
    <w:rsid w:val="00581391"/>
    <w:rsid w:val="005A19F5"/>
    <w:rsid w:val="005B2D61"/>
    <w:rsid w:val="005B7327"/>
    <w:rsid w:val="005D535C"/>
    <w:rsid w:val="005E2EAF"/>
    <w:rsid w:val="005E6FE4"/>
    <w:rsid w:val="005E7401"/>
    <w:rsid w:val="005F7A1A"/>
    <w:rsid w:val="0060169D"/>
    <w:rsid w:val="006212C7"/>
    <w:rsid w:val="006231FB"/>
    <w:rsid w:val="00634182"/>
    <w:rsid w:val="0063443E"/>
    <w:rsid w:val="006653E0"/>
    <w:rsid w:val="0066620D"/>
    <w:rsid w:val="00694735"/>
    <w:rsid w:val="006973BB"/>
    <w:rsid w:val="006C0233"/>
    <w:rsid w:val="006F48EC"/>
    <w:rsid w:val="00710603"/>
    <w:rsid w:val="0071125E"/>
    <w:rsid w:val="00713DD0"/>
    <w:rsid w:val="00725876"/>
    <w:rsid w:val="007417BD"/>
    <w:rsid w:val="00752355"/>
    <w:rsid w:val="00775C6B"/>
    <w:rsid w:val="00777CBC"/>
    <w:rsid w:val="00793F65"/>
    <w:rsid w:val="007A211D"/>
    <w:rsid w:val="007A4517"/>
    <w:rsid w:val="007B2017"/>
    <w:rsid w:val="007B48F1"/>
    <w:rsid w:val="007B4C8F"/>
    <w:rsid w:val="007C7B82"/>
    <w:rsid w:val="007C7F36"/>
    <w:rsid w:val="007D2DD8"/>
    <w:rsid w:val="007D3DFD"/>
    <w:rsid w:val="007E7509"/>
    <w:rsid w:val="007F0AAA"/>
    <w:rsid w:val="007F63B7"/>
    <w:rsid w:val="007F6D40"/>
    <w:rsid w:val="008034FD"/>
    <w:rsid w:val="0080538B"/>
    <w:rsid w:val="00810F32"/>
    <w:rsid w:val="00835D7C"/>
    <w:rsid w:val="00837916"/>
    <w:rsid w:val="008568FC"/>
    <w:rsid w:val="00873C08"/>
    <w:rsid w:val="00875AC1"/>
    <w:rsid w:val="00883EC3"/>
    <w:rsid w:val="00895BF7"/>
    <w:rsid w:val="00896791"/>
    <w:rsid w:val="008A23A6"/>
    <w:rsid w:val="008B39E4"/>
    <w:rsid w:val="008C2766"/>
    <w:rsid w:val="008C72AE"/>
    <w:rsid w:val="00923F62"/>
    <w:rsid w:val="0093047F"/>
    <w:rsid w:val="009365A0"/>
    <w:rsid w:val="0096075F"/>
    <w:rsid w:val="00974E4D"/>
    <w:rsid w:val="009804B0"/>
    <w:rsid w:val="00987775"/>
    <w:rsid w:val="009A1309"/>
    <w:rsid w:val="009A17E9"/>
    <w:rsid w:val="009A1B4F"/>
    <w:rsid w:val="009A2210"/>
    <w:rsid w:val="009A29AF"/>
    <w:rsid w:val="009B13F8"/>
    <w:rsid w:val="009B42E7"/>
    <w:rsid w:val="009C3EE7"/>
    <w:rsid w:val="009D01CB"/>
    <w:rsid w:val="009D7415"/>
    <w:rsid w:val="009E0A4E"/>
    <w:rsid w:val="009F42CF"/>
    <w:rsid w:val="009F59A1"/>
    <w:rsid w:val="00A01014"/>
    <w:rsid w:val="00A06261"/>
    <w:rsid w:val="00A06EAE"/>
    <w:rsid w:val="00A16B33"/>
    <w:rsid w:val="00A21CD9"/>
    <w:rsid w:val="00A21DFB"/>
    <w:rsid w:val="00A222F5"/>
    <w:rsid w:val="00A4027D"/>
    <w:rsid w:val="00A44636"/>
    <w:rsid w:val="00A51A08"/>
    <w:rsid w:val="00A51A4F"/>
    <w:rsid w:val="00A67DED"/>
    <w:rsid w:val="00A9105B"/>
    <w:rsid w:val="00A968C8"/>
    <w:rsid w:val="00AB0AA6"/>
    <w:rsid w:val="00AB1F7D"/>
    <w:rsid w:val="00AB5456"/>
    <w:rsid w:val="00AD0620"/>
    <w:rsid w:val="00AE5654"/>
    <w:rsid w:val="00AF19AD"/>
    <w:rsid w:val="00AF1FD6"/>
    <w:rsid w:val="00AF3CF5"/>
    <w:rsid w:val="00B07C6B"/>
    <w:rsid w:val="00B17533"/>
    <w:rsid w:val="00B229D0"/>
    <w:rsid w:val="00B3215D"/>
    <w:rsid w:val="00B40FC3"/>
    <w:rsid w:val="00B47EB6"/>
    <w:rsid w:val="00B54DB3"/>
    <w:rsid w:val="00B67483"/>
    <w:rsid w:val="00B71C16"/>
    <w:rsid w:val="00B847EC"/>
    <w:rsid w:val="00B87E59"/>
    <w:rsid w:val="00B93563"/>
    <w:rsid w:val="00B93610"/>
    <w:rsid w:val="00BA2239"/>
    <w:rsid w:val="00BA25AF"/>
    <w:rsid w:val="00BC0FC8"/>
    <w:rsid w:val="00BC2378"/>
    <w:rsid w:val="00BC70A9"/>
    <w:rsid w:val="00BC7E07"/>
    <w:rsid w:val="00BD0A12"/>
    <w:rsid w:val="00BD2EF4"/>
    <w:rsid w:val="00BD6CFC"/>
    <w:rsid w:val="00BE15A9"/>
    <w:rsid w:val="00C10810"/>
    <w:rsid w:val="00C15DE9"/>
    <w:rsid w:val="00C25FA5"/>
    <w:rsid w:val="00C3267B"/>
    <w:rsid w:val="00C628DE"/>
    <w:rsid w:val="00C64BDE"/>
    <w:rsid w:val="00C65500"/>
    <w:rsid w:val="00C70486"/>
    <w:rsid w:val="00C8679F"/>
    <w:rsid w:val="00C8703D"/>
    <w:rsid w:val="00CB206B"/>
    <w:rsid w:val="00CB36B2"/>
    <w:rsid w:val="00CB53E2"/>
    <w:rsid w:val="00CE028C"/>
    <w:rsid w:val="00CE7EA5"/>
    <w:rsid w:val="00D16FCF"/>
    <w:rsid w:val="00D2588E"/>
    <w:rsid w:val="00D33FD6"/>
    <w:rsid w:val="00D41E24"/>
    <w:rsid w:val="00D46803"/>
    <w:rsid w:val="00D531BC"/>
    <w:rsid w:val="00D76ECF"/>
    <w:rsid w:val="00D8325D"/>
    <w:rsid w:val="00D83E47"/>
    <w:rsid w:val="00D915F8"/>
    <w:rsid w:val="00D941B2"/>
    <w:rsid w:val="00D97473"/>
    <w:rsid w:val="00D975F6"/>
    <w:rsid w:val="00DA7A5A"/>
    <w:rsid w:val="00DC2A48"/>
    <w:rsid w:val="00DC67A2"/>
    <w:rsid w:val="00DE0A42"/>
    <w:rsid w:val="00DE4BDF"/>
    <w:rsid w:val="00E21B9B"/>
    <w:rsid w:val="00E315DA"/>
    <w:rsid w:val="00E328A4"/>
    <w:rsid w:val="00E422A1"/>
    <w:rsid w:val="00E516A6"/>
    <w:rsid w:val="00E5588E"/>
    <w:rsid w:val="00E626DD"/>
    <w:rsid w:val="00E71735"/>
    <w:rsid w:val="00E82AAA"/>
    <w:rsid w:val="00E91550"/>
    <w:rsid w:val="00E95895"/>
    <w:rsid w:val="00E963C5"/>
    <w:rsid w:val="00E9752A"/>
    <w:rsid w:val="00EA7109"/>
    <w:rsid w:val="00EB470E"/>
    <w:rsid w:val="00EC584D"/>
    <w:rsid w:val="00ED59D6"/>
    <w:rsid w:val="00ED6DB7"/>
    <w:rsid w:val="00EF3DF7"/>
    <w:rsid w:val="00EF6E04"/>
    <w:rsid w:val="00F00F65"/>
    <w:rsid w:val="00F123F1"/>
    <w:rsid w:val="00F1473D"/>
    <w:rsid w:val="00F2252C"/>
    <w:rsid w:val="00F25E50"/>
    <w:rsid w:val="00F329B0"/>
    <w:rsid w:val="00F32C8F"/>
    <w:rsid w:val="00F3515C"/>
    <w:rsid w:val="00F366F0"/>
    <w:rsid w:val="00F45C4F"/>
    <w:rsid w:val="00F63B50"/>
    <w:rsid w:val="00F859AD"/>
    <w:rsid w:val="00F945EC"/>
    <w:rsid w:val="00FA05F0"/>
    <w:rsid w:val="00FB15D1"/>
    <w:rsid w:val="00FB2FA3"/>
    <w:rsid w:val="00FD53F9"/>
    <w:rsid w:val="00FD7190"/>
    <w:rsid w:val="00FE5DAA"/>
    <w:rsid w:val="00FF37F0"/>
    <w:rsid w:val="00FF5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52C"/>
    <w:pPr>
      <w:suppressAutoHyphens/>
      <w:autoSpaceDE w:val="0"/>
      <w:autoSpaceDN w:val="0"/>
      <w:adjustRightInd w:val="0"/>
      <w:spacing w:after="113" w:line="240" w:lineRule="atLeast"/>
      <w:ind w:left="1984"/>
      <w:textAlignment w:val="center"/>
    </w:pPr>
    <w:rPr>
      <w:rFonts w:ascii="Arial" w:hAnsi="Arial" w:cs="Arial"/>
      <w:color w:val="000000"/>
      <w:sz w:val="22"/>
      <w:lang w:val="en-GB"/>
    </w:rPr>
  </w:style>
  <w:style w:type="paragraph" w:styleId="Heading1">
    <w:name w:val="heading 1"/>
    <w:basedOn w:val="Normal"/>
    <w:next w:val="Normal"/>
    <w:link w:val="Heading1Char"/>
    <w:qFormat/>
    <w:rsid w:val="00D531BC"/>
    <w:pPr>
      <w:keepNext/>
      <w:keepLines/>
      <w:spacing w:before="600" w:after="240"/>
      <w:ind w:left="720"/>
      <w:outlineLvl w:val="0"/>
    </w:pPr>
    <w:rPr>
      <w:rFonts w:eastAsiaTheme="majorEastAsia"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75AC1"/>
    <w:rPr>
      <w:sz w:val="20"/>
    </w:rPr>
  </w:style>
  <w:style w:type="character" w:customStyle="1" w:styleId="BodyTextChar">
    <w:name w:val="Body Text Char"/>
    <w:basedOn w:val="DefaultParagraphFont"/>
    <w:link w:val="BodyText"/>
    <w:uiPriority w:val="99"/>
    <w:rsid w:val="00875AC1"/>
    <w:rPr>
      <w:rFonts w:ascii="Arial" w:hAnsi="Arial" w:cs="Arial"/>
      <w:color w:val="000000"/>
      <w:lang w:val="en-GB"/>
    </w:rPr>
  </w:style>
  <w:style w:type="paragraph" w:customStyle="1" w:styleId="Headingtwo">
    <w:name w:val="Heading two"/>
    <w:basedOn w:val="Normal"/>
    <w:uiPriority w:val="99"/>
    <w:qFormat/>
    <w:rsid w:val="00EF3DF7"/>
    <w:pPr>
      <w:spacing w:before="113" w:after="227" w:line="280" w:lineRule="atLeast"/>
      <w:ind w:left="720"/>
    </w:pPr>
    <w:rPr>
      <w:b/>
      <w:bCs/>
      <w:color w:val="548DD4" w:themeColor="text2" w:themeTint="99"/>
      <w:sz w:val="28"/>
      <w:szCs w:val="36"/>
    </w:rPr>
  </w:style>
  <w:style w:type="paragraph" w:customStyle="1" w:styleId="MainHeading">
    <w:name w:val="Main Heading"/>
    <w:basedOn w:val="Headingtwo"/>
    <w:uiPriority w:val="99"/>
    <w:rsid w:val="00875AC1"/>
    <w:pPr>
      <w:jc w:val="center"/>
    </w:pPr>
    <w:rPr>
      <w:sz w:val="60"/>
      <w:szCs w:val="60"/>
    </w:rPr>
  </w:style>
  <w:style w:type="paragraph" w:customStyle="1" w:styleId="NoParagraphStyle">
    <w:name w:val="[No Paragraph Style]"/>
    <w:rsid w:val="00875AC1"/>
    <w:pPr>
      <w:autoSpaceDE w:val="0"/>
      <w:autoSpaceDN w:val="0"/>
      <w:adjustRightInd w:val="0"/>
      <w:spacing w:line="288" w:lineRule="auto"/>
      <w:textAlignment w:val="center"/>
    </w:pPr>
    <w:rPr>
      <w:color w:val="000000"/>
      <w:sz w:val="24"/>
      <w:szCs w:val="24"/>
      <w:lang w:val="en-GB"/>
    </w:rPr>
  </w:style>
  <w:style w:type="paragraph" w:customStyle="1" w:styleId="Headingthree">
    <w:name w:val="Heading three"/>
    <w:basedOn w:val="Headingtwo"/>
    <w:uiPriority w:val="99"/>
    <w:rsid w:val="00E82AAA"/>
    <w:pPr>
      <w:ind w:left="1440"/>
    </w:pPr>
    <w:rPr>
      <w:szCs w:val="32"/>
    </w:rPr>
  </w:style>
  <w:style w:type="character" w:styleId="Hyperlink">
    <w:name w:val="Hyperlink"/>
    <w:basedOn w:val="DefaultParagraphFont"/>
    <w:uiPriority w:val="99"/>
    <w:rsid w:val="00875AC1"/>
    <w:rPr>
      <w:rFonts w:ascii="Arial" w:hAnsi="Arial" w:cs="Arial"/>
      <w:color w:val="2725C7"/>
      <w:sz w:val="20"/>
      <w:szCs w:val="20"/>
      <w:u w:val="thick" w:color="2725C7"/>
    </w:rPr>
  </w:style>
  <w:style w:type="paragraph" w:customStyle="1" w:styleId="Headingone">
    <w:name w:val="Heading one"/>
    <w:basedOn w:val="BodyText"/>
    <w:uiPriority w:val="99"/>
    <w:rsid w:val="00875AC1"/>
    <w:pPr>
      <w:spacing w:before="227"/>
      <w:ind w:left="0"/>
    </w:pPr>
    <w:rPr>
      <w:b/>
      <w:bCs/>
      <w:color w:val="00456B"/>
      <w:sz w:val="48"/>
      <w:szCs w:val="48"/>
    </w:rPr>
  </w:style>
  <w:style w:type="paragraph" w:customStyle="1" w:styleId="Contentswithtab">
    <w:name w:val="Contents with tab"/>
    <w:basedOn w:val="BodyText"/>
    <w:uiPriority w:val="99"/>
    <w:rsid w:val="00875AC1"/>
    <w:pPr>
      <w:tabs>
        <w:tab w:val="left" w:leader="dot" w:pos="8120"/>
      </w:tabs>
      <w:ind w:left="1701"/>
      <w:jc w:val="right"/>
    </w:pPr>
    <w:rPr>
      <w:sz w:val="22"/>
      <w:szCs w:val="22"/>
    </w:rPr>
  </w:style>
  <w:style w:type="paragraph" w:customStyle="1" w:styleId="Contentswithtab2">
    <w:name w:val="Contents with tab 2"/>
    <w:basedOn w:val="Contentswithtab"/>
    <w:uiPriority w:val="99"/>
    <w:rsid w:val="00875AC1"/>
    <w:pPr>
      <w:ind w:left="1984"/>
    </w:pPr>
  </w:style>
  <w:style w:type="paragraph" w:customStyle="1" w:styleId="Contentswithtab3">
    <w:name w:val="Contents with tab 3"/>
    <w:basedOn w:val="Contentswithtab"/>
    <w:uiPriority w:val="99"/>
    <w:rsid w:val="00875AC1"/>
    <w:pPr>
      <w:ind w:left="2268"/>
    </w:pPr>
  </w:style>
  <w:style w:type="paragraph" w:customStyle="1" w:styleId="BulletinBodytext">
    <w:name w:val="Bullet in Body text"/>
    <w:basedOn w:val="BodyText"/>
    <w:uiPriority w:val="99"/>
    <w:rsid w:val="00875AC1"/>
    <w:pPr>
      <w:ind w:left="2268" w:hanging="113"/>
    </w:pPr>
  </w:style>
  <w:style w:type="paragraph" w:customStyle="1" w:styleId="TableFigureheading">
    <w:name w:val="Table/Figure heading"/>
    <w:basedOn w:val="BodyText"/>
    <w:uiPriority w:val="99"/>
    <w:rsid w:val="00875AC1"/>
    <w:rPr>
      <w:b/>
      <w:bCs/>
    </w:rPr>
  </w:style>
  <w:style w:type="character" w:customStyle="1" w:styleId="Figtablenumber">
    <w:name w:val="Fig/table number"/>
    <w:uiPriority w:val="99"/>
    <w:rsid w:val="00875AC1"/>
    <w:rPr>
      <w:rFonts w:ascii="Arial" w:hAnsi="Arial" w:cs="Arial"/>
      <w:b/>
      <w:bCs/>
      <w:i/>
      <w:iCs/>
      <w:color w:val="00456B"/>
      <w:sz w:val="20"/>
      <w:szCs w:val="20"/>
    </w:rPr>
  </w:style>
  <w:style w:type="paragraph" w:customStyle="1" w:styleId="Tabletext">
    <w:name w:val="Table text"/>
    <w:basedOn w:val="NoParagraphStyle"/>
    <w:uiPriority w:val="99"/>
    <w:rsid w:val="00875AC1"/>
    <w:pPr>
      <w:jc w:val="right"/>
    </w:pPr>
    <w:rPr>
      <w:rFonts w:ascii="Arial" w:hAnsi="Arial" w:cs="Arial"/>
      <w:sz w:val="16"/>
      <w:szCs w:val="16"/>
    </w:rPr>
  </w:style>
  <w:style w:type="paragraph" w:customStyle="1" w:styleId="Tableheaders">
    <w:name w:val="Table headers"/>
    <w:basedOn w:val="Tabletext"/>
    <w:uiPriority w:val="99"/>
    <w:rsid w:val="00875AC1"/>
    <w:rPr>
      <w:b/>
      <w:bCs/>
      <w:sz w:val="18"/>
      <w:szCs w:val="18"/>
    </w:rPr>
  </w:style>
  <w:style w:type="paragraph" w:customStyle="1" w:styleId="Tabletextbold">
    <w:name w:val="Table text bold"/>
    <w:basedOn w:val="Tabletext"/>
    <w:uiPriority w:val="99"/>
    <w:rsid w:val="00875AC1"/>
    <w:rPr>
      <w:b/>
      <w:bCs/>
    </w:rPr>
  </w:style>
  <w:style w:type="paragraph" w:customStyle="1" w:styleId="Hyperlinklongerthanoneline">
    <w:name w:val="Hyperlink longer than one line"/>
    <w:basedOn w:val="BodyText"/>
    <w:uiPriority w:val="99"/>
    <w:rsid w:val="00875AC1"/>
    <w:pPr>
      <w:spacing w:line="288" w:lineRule="auto"/>
      <w:ind w:left="3628" w:hanging="2778"/>
    </w:pPr>
    <w:rPr>
      <w:u w:color="2725C7"/>
    </w:rPr>
  </w:style>
  <w:style w:type="character" w:customStyle="1" w:styleId="Heading1Char">
    <w:name w:val="Heading 1 Char"/>
    <w:basedOn w:val="DefaultParagraphFont"/>
    <w:link w:val="Heading1"/>
    <w:rsid w:val="00D531BC"/>
    <w:rPr>
      <w:rFonts w:ascii="Arial" w:eastAsiaTheme="majorEastAsia" w:hAnsi="Arial" w:cstheme="majorBidi"/>
      <w:b/>
      <w:bCs/>
      <w:color w:val="365F91" w:themeColor="accent1" w:themeShade="BF"/>
      <w:sz w:val="36"/>
      <w:szCs w:val="28"/>
      <w:lang w:val="en-GB"/>
    </w:rPr>
  </w:style>
  <w:style w:type="paragraph" w:styleId="ListParagraph">
    <w:name w:val="List Paragraph"/>
    <w:basedOn w:val="Normal"/>
    <w:uiPriority w:val="34"/>
    <w:qFormat/>
    <w:rsid w:val="00E82AAA"/>
    <w:pPr>
      <w:ind w:left="720"/>
      <w:contextualSpacing/>
    </w:pPr>
  </w:style>
  <w:style w:type="paragraph" w:styleId="Header">
    <w:name w:val="header"/>
    <w:basedOn w:val="Normal"/>
    <w:link w:val="HeaderChar"/>
    <w:rsid w:val="008C72AE"/>
    <w:pPr>
      <w:tabs>
        <w:tab w:val="center" w:pos="4513"/>
        <w:tab w:val="right" w:pos="9026"/>
      </w:tabs>
    </w:pPr>
  </w:style>
  <w:style w:type="character" w:customStyle="1" w:styleId="HeaderChar">
    <w:name w:val="Header Char"/>
    <w:basedOn w:val="DefaultParagraphFont"/>
    <w:link w:val="Header"/>
    <w:rsid w:val="008C72AE"/>
    <w:rPr>
      <w:sz w:val="24"/>
      <w:szCs w:val="24"/>
    </w:rPr>
  </w:style>
  <w:style w:type="paragraph" w:styleId="Footer">
    <w:name w:val="footer"/>
    <w:basedOn w:val="Normal"/>
    <w:link w:val="FooterChar"/>
    <w:uiPriority w:val="99"/>
    <w:rsid w:val="008C72AE"/>
    <w:pPr>
      <w:tabs>
        <w:tab w:val="center" w:pos="4513"/>
        <w:tab w:val="right" w:pos="9026"/>
      </w:tabs>
    </w:pPr>
  </w:style>
  <w:style w:type="character" w:customStyle="1" w:styleId="FooterChar">
    <w:name w:val="Footer Char"/>
    <w:basedOn w:val="DefaultParagraphFont"/>
    <w:link w:val="Footer"/>
    <w:uiPriority w:val="99"/>
    <w:rsid w:val="008C72AE"/>
    <w:rPr>
      <w:sz w:val="24"/>
      <w:szCs w:val="24"/>
    </w:rPr>
  </w:style>
  <w:style w:type="paragraph" w:customStyle="1" w:styleId="Footnote">
    <w:name w:val="Footnote"/>
    <w:basedOn w:val="BodyText"/>
    <w:uiPriority w:val="99"/>
    <w:rsid w:val="008C72AE"/>
    <w:pPr>
      <w:spacing w:line="180" w:lineRule="atLeast"/>
    </w:pPr>
    <w:rPr>
      <w:sz w:val="16"/>
      <w:szCs w:val="16"/>
    </w:rPr>
  </w:style>
  <w:style w:type="paragraph" w:customStyle="1" w:styleId="Tabletag">
    <w:name w:val="Table tag"/>
    <w:basedOn w:val="BodyText"/>
    <w:uiPriority w:val="99"/>
    <w:rsid w:val="008C72AE"/>
  </w:style>
  <w:style w:type="character" w:styleId="SubtleReference">
    <w:name w:val="Subtle Reference"/>
    <w:basedOn w:val="DefaultParagraphFont"/>
    <w:uiPriority w:val="31"/>
    <w:qFormat/>
    <w:rsid w:val="00F2252C"/>
    <w:rPr>
      <w:smallCaps/>
      <w:color w:val="C0504D" w:themeColor="accent2"/>
      <w:u w:val="single"/>
    </w:rPr>
  </w:style>
  <w:style w:type="character" w:styleId="Emphasis">
    <w:name w:val="Emphasis"/>
    <w:basedOn w:val="DefaultParagraphFont"/>
    <w:qFormat/>
    <w:rsid w:val="00D531BC"/>
    <w:rPr>
      <w:i/>
      <w:iCs/>
    </w:rPr>
  </w:style>
  <w:style w:type="paragraph" w:styleId="BalloonText">
    <w:name w:val="Balloon Text"/>
    <w:basedOn w:val="Normal"/>
    <w:link w:val="BalloonTextChar"/>
    <w:rsid w:val="0063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4182"/>
    <w:rPr>
      <w:rFonts w:ascii="Tahoma" w:hAnsi="Tahoma" w:cs="Tahoma"/>
      <w:color w:val="000000"/>
      <w:sz w:val="16"/>
      <w:szCs w:val="16"/>
      <w:lang w:val="en-GB"/>
    </w:rPr>
  </w:style>
  <w:style w:type="character" w:styleId="FollowedHyperlink">
    <w:name w:val="FollowedHyperlink"/>
    <w:basedOn w:val="DefaultParagraphFont"/>
    <w:rsid w:val="00E516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52C"/>
    <w:pPr>
      <w:suppressAutoHyphens/>
      <w:autoSpaceDE w:val="0"/>
      <w:autoSpaceDN w:val="0"/>
      <w:adjustRightInd w:val="0"/>
      <w:spacing w:after="113" w:line="240" w:lineRule="atLeast"/>
      <w:ind w:left="1984"/>
      <w:textAlignment w:val="center"/>
    </w:pPr>
    <w:rPr>
      <w:rFonts w:ascii="Arial" w:hAnsi="Arial" w:cs="Arial"/>
      <w:color w:val="000000"/>
      <w:sz w:val="22"/>
      <w:lang w:val="en-GB"/>
    </w:rPr>
  </w:style>
  <w:style w:type="paragraph" w:styleId="Heading1">
    <w:name w:val="heading 1"/>
    <w:basedOn w:val="Normal"/>
    <w:next w:val="Normal"/>
    <w:link w:val="Heading1Char"/>
    <w:qFormat/>
    <w:rsid w:val="00D531BC"/>
    <w:pPr>
      <w:keepNext/>
      <w:keepLines/>
      <w:spacing w:before="600" w:after="240"/>
      <w:ind w:left="720"/>
      <w:outlineLvl w:val="0"/>
    </w:pPr>
    <w:rPr>
      <w:rFonts w:eastAsiaTheme="majorEastAsia"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75AC1"/>
    <w:rPr>
      <w:sz w:val="20"/>
    </w:rPr>
  </w:style>
  <w:style w:type="character" w:customStyle="1" w:styleId="BodyTextChar">
    <w:name w:val="Body Text Char"/>
    <w:basedOn w:val="DefaultParagraphFont"/>
    <w:link w:val="BodyText"/>
    <w:uiPriority w:val="99"/>
    <w:rsid w:val="00875AC1"/>
    <w:rPr>
      <w:rFonts w:ascii="Arial" w:hAnsi="Arial" w:cs="Arial"/>
      <w:color w:val="000000"/>
      <w:lang w:val="en-GB"/>
    </w:rPr>
  </w:style>
  <w:style w:type="paragraph" w:customStyle="1" w:styleId="Headingtwo">
    <w:name w:val="Heading two"/>
    <w:basedOn w:val="Normal"/>
    <w:uiPriority w:val="99"/>
    <w:qFormat/>
    <w:rsid w:val="00EF3DF7"/>
    <w:pPr>
      <w:spacing w:before="113" w:after="227" w:line="280" w:lineRule="atLeast"/>
      <w:ind w:left="720"/>
    </w:pPr>
    <w:rPr>
      <w:b/>
      <w:bCs/>
      <w:color w:val="548DD4" w:themeColor="text2" w:themeTint="99"/>
      <w:sz w:val="28"/>
      <w:szCs w:val="36"/>
    </w:rPr>
  </w:style>
  <w:style w:type="paragraph" w:customStyle="1" w:styleId="MainHeading">
    <w:name w:val="Main Heading"/>
    <w:basedOn w:val="Headingtwo"/>
    <w:uiPriority w:val="99"/>
    <w:rsid w:val="00875AC1"/>
    <w:pPr>
      <w:jc w:val="center"/>
    </w:pPr>
    <w:rPr>
      <w:sz w:val="60"/>
      <w:szCs w:val="60"/>
    </w:rPr>
  </w:style>
  <w:style w:type="paragraph" w:customStyle="1" w:styleId="NoParagraphStyle">
    <w:name w:val="[No Paragraph Style]"/>
    <w:rsid w:val="00875AC1"/>
    <w:pPr>
      <w:autoSpaceDE w:val="0"/>
      <w:autoSpaceDN w:val="0"/>
      <w:adjustRightInd w:val="0"/>
      <w:spacing w:line="288" w:lineRule="auto"/>
      <w:textAlignment w:val="center"/>
    </w:pPr>
    <w:rPr>
      <w:color w:val="000000"/>
      <w:sz w:val="24"/>
      <w:szCs w:val="24"/>
      <w:lang w:val="en-GB"/>
    </w:rPr>
  </w:style>
  <w:style w:type="paragraph" w:customStyle="1" w:styleId="Headingthree">
    <w:name w:val="Heading three"/>
    <w:basedOn w:val="Headingtwo"/>
    <w:uiPriority w:val="99"/>
    <w:rsid w:val="00E82AAA"/>
    <w:pPr>
      <w:ind w:left="1440"/>
    </w:pPr>
    <w:rPr>
      <w:szCs w:val="32"/>
    </w:rPr>
  </w:style>
  <w:style w:type="character" w:styleId="Hyperlink">
    <w:name w:val="Hyperlink"/>
    <w:basedOn w:val="DefaultParagraphFont"/>
    <w:uiPriority w:val="99"/>
    <w:rsid w:val="00875AC1"/>
    <w:rPr>
      <w:rFonts w:ascii="Arial" w:hAnsi="Arial" w:cs="Arial"/>
      <w:color w:val="2725C7"/>
      <w:sz w:val="20"/>
      <w:szCs w:val="20"/>
      <w:u w:val="thick" w:color="2725C7"/>
    </w:rPr>
  </w:style>
  <w:style w:type="paragraph" w:customStyle="1" w:styleId="Headingone">
    <w:name w:val="Heading one"/>
    <w:basedOn w:val="BodyText"/>
    <w:uiPriority w:val="99"/>
    <w:rsid w:val="00875AC1"/>
    <w:pPr>
      <w:spacing w:before="227"/>
      <w:ind w:left="0"/>
    </w:pPr>
    <w:rPr>
      <w:b/>
      <w:bCs/>
      <w:color w:val="00456B"/>
      <w:sz w:val="48"/>
      <w:szCs w:val="48"/>
    </w:rPr>
  </w:style>
  <w:style w:type="paragraph" w:customStyle="1" w:styleId="Contentswithtab">
    <w:name w:val="Contents with tab"/>
    <w:basedOn w:val="BodyText"/>
    <w:uiPriority w:val="99"/>
    <w:rsid w:val="00875AC1"/>
    <w:pPr>
      <w:tabs>
        <w:tab w:val="left" w:leader="dot" w:pos="8120"/>
      </w:tabs>
      <w:ind w:left="1701"/>
      <w:jc w:val="right"/>
    </w:pPr>
    <w:rPr>
      <w:sz w:val="22"/>
      <w:szCs w:val="22"/>
    </w:rPr>
  </w:style>
  <w:style w:type="paragraph" w:customStyle="1" w:styleId="Contentswithtab2">
    <w:name w:val="Contents with tab 2"/>
    <w:basedOn w:val="Contentswithtab"/>
    <w:uiPriority w:val="99"/>
    <w:rsid w:val="00875AC1"/>
    <w:pPr>
      <w:ind w:left="1984"/>
    </w:pPr>
  </w:style>
  <w:style w:type="paragraph" w:customStyle="1" w:styleId="Contentswithtab3">
    <w:name w:val="Contents with tab 3"/>
    <w:basedOn w:val="Contentswithtab"/>
    <w:uiPriority w:val="99"/>
    <w:rsid w:val="00875AC1"/>
    <w:pPr>
      <w:ind w:left="2268"/>
    </w:pPr>
  </w:style>
  <w:style w:type="paragraph" w:customStyle="1" w:styleId="BulletinBodytext">
    <w:name w:val="Bullet in Body text"/>
    <w:basedOn w:val="BodyText"/>
    <w:uiPriority w:val="99"/>
    <w:rsid w:val="00875AC1"/>
    <w:pPr>
      <w:ind w:left="2268" w:hanging="113"/>
    </w:pPr>
  </w:style>
  <w:style w:type="paragraph" w:customStyle="1" w:styleId="TableFigureheading">
    <w:name w:val="Table/Figure heading"/>
    <w:basedOn w:val="BodyText"/>
    <w:uiPriority w:val="99"/>
    <w:rsid w:val="00875AC1"/>
    <w:rPr>
      <w:b/>
      <w:bCs/>
    </w:rPr>
  </w:style>
  <w:style w:type="character" w:customStyle="1" w:styleId="Figtablenumber">
    <w:name w:val="Fig/table number"/>
    <w:uiPriority w:val="99"/>
    <w:rsid w:val="00875AC1"/>
    <w:rPr>
      <w:rFonts w:ascii="Arial" w:hAnsi="Arial" w:cs="Arial"/>
      <w:b/>
      <w:bCs/>
      <w:i/>
      <w:iCs/>
      <w:color w:val="00456B"/>
      <w:sz w:val="20"/>
      <w:szCs w:val="20"/>
    </w:rPr>
  </w:style>
  <w:style w:type="paragraph" w:customStyle="1" w:styleId="Tabletext">
    <w:name w:val="Table text"/>
    <w:basedOn w:val="NoParagraphStyle"/>
    <w:uiPriority w:val="99"/>
    <w:rsid w:val="00875AC1"/>
    <w:pPr>
      <w:jc w:val="right"/>
    </w:pPr>
    <w:rPr>
      <w:rFonts w:ascii="Arial" w:hAnsi="Arial" w:cs="Arial"/>
      <w:sz w:val="16"/>
      <w:szCs w:val="16"/>
    </w:rPr>
  </w:style>
  <w:style w:type="paragraph" w:customStyle="1" w:styleId="Tableheaders">
    <w:name w:val="Table headers"/>
    <w:basedOn w:val="Tabletext"/>
    <w:uiPriority w:val="99"/>
    <w:rsid w:val="00875AC1"/>
    <w:rPr>
      <w:b/>
      <w:bCs/>
      <w:sz w:val="18"/>
      <w:szCs w:val="18"/>
    </w:rPr>
  </w:style>
  <w:style w:type="paragraph" w:customStyle="1" w:styleId="Tabletextbold">
    <w:name w:val="Table text bold"/>
    <w:basedOn w:val="Tabletext"/>
    <w:uiPriority w:val="99"/>
    <w:rsid w:val="00875AC1"/>
    <w:rPr>
      <w:b/>
      <w:bCs/>
    </w:rPr>
  </w:style>
  <w:style w:type="paragraph" w:customStyle="1" w:styleId="Hyperlinklongerthanoneline">
    <w:name w:val="Hyperlink longer than one line"/>
    <w:basedOn w:val="BodyText"/>
    <w:uiPriority w:val="99"/>
    <w:rsid w:val="00875AC1"/>
    <w:pPr>
      <w:spacing w:line="288" w:lineRule="auto"/>
      <w:ind w:left="3628" w:hanging="2778"/>
    </w:pPr>
    <w:rPr>
      <w:u w:color="2725C7"/>
    </w:rPr>
  </w:style>
  <w:style w:type="character" w:customStyle="1" w:styleId="Heading1Char">
    <w:name w:val="Heading 1 Char"/>
    <w:basedOn w:val="DefaultParagraphFont"/>
    <w:link w:val="Heading1"/>
    <w:rsid w:val="00D531BC"/>
    <w:rPr>
      <w:rFonts w:ascii="Arial" w:eastAsiaTheme="majorEastAsia" w:hAnsi="Arial" w:cstheme="majorBidi"/>
      <w:b/>
      <w:bCs/>
      <w:color w:val="365F91" w:themeColor="accent1" w:themeShade="BF"/>
      <w:sz w:val="36"/>
      <w:szCs w:val="28"/>
      <w:lang w:val="en-GB"/>
    </w:rPr>
  </w:style>
  <w:style w:type="paragraph" w:styleId="ListParagraph">
    <w:name w:val="List Paragraph"/>
    <w:basedOn w:val="Normal"/>
    <w:uiPriority w:val="34"/>
    <w:qFormat/>
    <w:rsid w:val="00E82AAA"/>
    <w:pPr>
      <w:ind w:left="720"/>
      <w:contextualSpacing/>
    </w:pPr>
  </w:style>
  <w:style w:type="paragraph" w:styleId="Header">
    <w:name w:val="header"/>
    <w:basedOn w:val="Normal"/>
    <w:link w:val="HeaderChar"/>
    <w:rsid w:val="008C72AE"/>
    <w:pPr>
      <w:tabs>
        <w:tab w:val="center" w:pos="4513"/>
        <w:tab w:val="right" w:pos="9026"/>
      </w:tabs>
    </w:pPr>
  </w:style>
  <w:style w:type="character" w:customStyle="1" w:styleId="HeaderChar">
    <w:name w:val="Header Char"/>
    <w:basedOn w:val="DefaultParagraphFont"/>
    <w:link w:val="Header"/>
    <w:rsid w:val="008C72AE"/>
    <w:rPr>
      <w:sz w:val="24"/>
      <w:szCs w:val="24"/>
    </w:rPr>
  </w:style>
  <w:style w:type="paragraph" w:styleId="Footer">
    <w:name w:val="footer"/>
    <w:basedOn w:val="Normal"/>
    <w:link w:val="FooterChar"/>
    <w:uiPriority w:val="99"/>
    <w:rsid w:val="008C72AE"/>
    <w:pPr>
      <w:tabs>
        <w:tab w:val="center" w:pos="4513"/>
        <w:tab w:val="right" w:pos="9026"/>
      </w:tabs>
    </w:pPr>
  </w:style>
  <w:style w:type="character" w:customStyle="1" w:styleId="FooterChar">
    <w:name w:val="Footer Char"/>
    <w:basedOn w:val="DefaultParagraphFont"/>
    <w:link w:val="Footer"/>
    <w:uiPriority w:val="99"/>
    <w:rsid w:val="008C72AE"/>
    <w:rPr>
      <w:sz w:val="24"/>
      <w:szCs w:val="24"/>
    </w:rPr>
  </w:style>
  <w:style w:type="paragraph" w:customStyle="1" w:styleId="Footnote">
    <w:name w:val="Footnote"/>
    <w:basedOn w:val="BodyText"/>
    <w:uiPriority w:val="99"/>
    <w:rsid w:val="008C72AE"/>
    <w:pPr>
      <w:spacing w:line="180" w:lineRule="atLeast"/>
    </w:pPr>
    <w:rPr>
      <w:sz w:val="16"/>
      <w:szCs w:val="16"/>
    </w:rPr>
  </w:style>
  <w:style w:type="paragraph" w:customStyle="1" w:styleId="Tabletag">
    <w:name w:val="Table tag"/>
    <w:basedOn w:val="BodyText"/>
    <w:uiPriority w:val="99"/>
    <w:rsid w:val="008C72AE"/>
  </w:style>
  <w:style w:type="character" w:styleId="SubtleReference">
    <w:name w:val="Subtle Reference"/>
    <w:basedOn w:val="DefaultParagraphFont"/>
    <w:uiPriority w:val="31"/>
    <w:qFormat/>
    <w:rsid w:val="00F2252C"/>
    <w:rPr>
      <w:smallCaps/>
      <w:color w:val="C0504D" w:themeColor="accent2"/>
      <w:u w:val="single"/>
    </w:rPr>
  </w:style>
  <w:style w:type="character" w:styleId="Emphasis">
    <w:name w:val="Emphasis"/>
    <w:basedOn w:val="DefaultParagraphFont"/>
    <w:qFormat/>
    <w:rsid w:val="00D531BC"/>
    <w:rPr>
      <w:i/>
      <w:iCs/>
    </w:rPr>
  </w:style>
  <w:style w:type="paragraph" w:styleId="BalloonText">
    <w:name w:val="Balloon Text"/>
    <w:basedOn w:val="Normal"/>
    <w:link w:val="BalloonTextChar"/>
    <w:rsid w:val="0063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4182"/>
    <w:rPr>
      <w:rFonts w:ascii="Tahoma" w:hAnsi="Tahoma" w:cs="Tahoma"/>
      <w:color w:val="000000"/>
      <w:sz w:val="16"/>
      <w:szCs w:val="16"/>
      <w:lang w:val="en-GB"/>
    </w:rPr>
  </w:style>
  <w:style w:type="character" w:styleId="FollowedHyperlink">
    <w:name w:val="FollowedHyperlink"/>
    <w:basedOn w:val="DefaultParagraphFont"/>
    <w:rsid w:val="00E51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footer" Target="footer1.xml"/><Relationship Id="rId26" Type="http://schemas.openxmlformats.org/officeDocument/2006/relationships/hyperlink" Target="www.health.wa.gov.au/wacr" TargetMode="External"/><Relationship Id="rId21" Type="http://schemas.openxmlformats.org/officeDocument/2006/relationships/chart" Target="charts/chart10.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www.cancerinstitute.org.au" TargetMode="External"/><Relationship Id="rId33" Type="http://schemas.openxmlformats.org/officeDocument/2006/relationships/hyperlink" Target="http://www.safeworkaustralia.gov.au/AboutSafeWorkAustralia/WhatWeDo/Statistics/Pages/Mesothelioma.aspx"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hyperlink" Target="http://www.cancerqld.org.au/page/research_statistics/queensland_cancer_regist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www.aihw.gov.au" TargetMode="External"/><Relationship Id="rId32" Type="http://schemas.openxmlformats.org/officeDocument/2006/relationships/hyperlink" Target="www.mesothelioma-australia.com" TargetMode="Externa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hyperlink" Target="http://www.health.sa.gov.au/pehs/branches/branch-cancer%20registry.htm" TargetMode="External"/><Relationship Id="rId36" Type="http://schemas.openxmlformats.org/officeDocument/2006/relationships/customXml" Target="../customXml/item2.xml"/><Relationship Id="rId10" Type="http://schemas.openxmlformats.org/officeDocument/2006/relationships/hyperlink" Target="mailto:copyrightrequests@swa.gov.au" TargetMode="External"/><Relationship Id="rId19" Type="http://schemas.openxmlformats.org/officeDocument/2006/relationships/chart" Target="charts/chart8.xml"/><Relationship Id="rId31" Type="http://schemas.openxmlformats.org/officeDocument/2006/relationships/hyperlink" Target="http://health.act.gov.au/health-services/population-health/epidemiology-branch/epidemiology-publications-health-series/cancer-in-the-act-incidence-and-mortality-2011" TargetMode="External"/><Relationship Id="rId4" Type="http://schemas.microsoft.com/office/2007/relationships/stylesWithEffects" Target="stylesWithEffects.xml"/><Relationship Id="rId9" Type="http://schemas.openxmlformats.org/officeDocument/2006/relationships/hyperlink" Target="http://creativecommons.org/licenses/by/3.0/au/deed.en" TargetMode="Externa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hyperlink" Target="www.menzies.utas.edu.au" TargetMode="External"/><Relationship Id="rId30" Type="http://schemas.openxmlformats.org/officeDocument/2006/relationships/hyperlink" Target="http://www.health.nt.gov.au/Health_Gains/Publications/index.aspx"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EPNAS002\51000186\Data%20and%20Analysis\Projects\Mesothelioma\6th%20Annual%20Meso%20Report%202013\Spreadsheets\Data%20for%206th%20annual%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86929274843424"/>
          <c:y val="5.9232200405329123E-2"/>
          <c:w val="0.81523528184874716"/>
          <c:h val="0.71818233163892486"/>
        </c:manualLayout>
      </c:layout>
      <c:barChart>
        <c:barDir val="col"/>
        <c:grouping val="clustered"/>
        <c:varyColors val="0"/>
        <c:ser>
          <c:idx val="0"/>
          <c:order val="0"/>
          <c:tx>
            <c:v>Males</c:v>
          </c:tx>
          <c:spPr>
            <a:solidFill>
              <a:srgbClr val="00456B"/>
            </a:solidFill>
            <a:ln w="12700">
              <a:noFill/>
              <a:prstDash val="solid"/>
            </a:ln>
          </c:spPr>
          <c:invertIfNegative val="0"/>
          <c:cat>
            <c:strRef>
              <c:f>Incidence!$H$201:$T$201</c:f>
              <c:strCache>
                <c:ptCount val="13"/>
                <c:pt idx="0">
                  <c:v>25–29</c:v>
                </c:pt>
                <c:pt idx="1">
                  <c:v>30–34</c:v>
                </c:pt>
                <c:pt idx="2">
                  <c:v>35–39</c:v>
                </c:pt>
                <c:pt idx="3">
                  <c:v>40–44</c:v>
                </c:pt>
                <c:pt idx="4">
                  <c:v>45–49</c:v>
                </c:pt>
                <c:pt idx="5">
                  <c:v>50–54</c:v>
                </c:pt>
                <c:pt idx="6">
                  <c:v>55–59</c:v>
                </c:pt>
                <c:pt idx="7">
                  <c:v>60–64</c:v>
                </c:pt>
                <c:pt idx="8">
                  <c:v>65–69</c:v>
                </c:pt>
                <c:pt idx="9">
                  <c:v>70–74</c:v>
                </c:pt>
                <c:pt idx="10">
                  <c:v>75–79</c:v>
                </c:pt>
                <c:pt idx="11">
                  <c:v>80–84</c:v>
                </c:pt>
                <c:pt idx="12">
                  <c:v>85+</c:v>
                </c:pt>
              </c:strCache>
            </c:strRef>
          </c:cat>
          <c:val>
            <c:numRef>
              <c:f>Incidence!$H$202:$T$202</c:f>
              <c:numCache>
                <c:formatCode>0</c:formatCode>
                <c:ptCount val="13"/>
                <c:pt idx="0">
                  <c:v>0</c:v>
                </c:pt>
                <c:pt idx="1">
                  <c:v>0</c:v>
                </c:pt>
                <c:pt idx="2">
                  <c:v>2</c:v>
                </c:pt>
                <c:pt idx="3">
                  <c:v>1</c:v>
                </c:pt>
                <c:pt idx="4">
                  <c:v>9</c:v>
                </c:pt>
                <c:pt idx="5">
                  <c:v>17</c:v>
                </c:pt>
                <c:pt idx="6">
                  <c:v>37</c:v>
                </c:pt>
                <c:pt idx="7">
                  <c:v>54</c:v>
                </c:pt>
                <c:pt idx="8">
                  <c:v>84</c:v>
                </c:pt>
                <c:pt idx="9">
                  <c:v>104</c:v>
                </c:pt>
                <c:pt idx="10">
                  <c:v>102</c:v>
                </c:pt>
                <c:pt idx="11">
                  <c:v>82</c:v>
                </c:pt>
                <c:pt idx="12">
                  <c:v>48</c:v>
                </c:pt>
              </c:numCache>
            </c:numRef>
          </c:val>
        </c:ser>
        <c:ser>
          <c:idx val="1"/>
          <c:order val="1"/>
          <c:tx>
            <c:v>Females</c:v>
          </c:tx>
          <c:spPr>
            <a:solidFill>
              <a:srgbClr val="C4126B"/>
            </a:solidFill>
            <a:ln w="12700">
              <a:noFill/>
              <a:prstDash val="solid"/>
            </a:ln>
          </c:spPr>
          <c:invertIfNegative val="0"/>
          <c:cat>
            <c:strRef>
              <c:f>Incidence!$H$201:$T$201</c:f>
              <c:strCache>
                <c:ptCount val="13"/>
                <c:pt idx="0">
                  <c:v>25–29</c:v>
                </c:pt>
                <c:pt idx="1">
                  <c:v>30–34</c:v>
                </c:pt>
                <c:pt idx="2">
                  <c:v>35–39</c:v>
                </c:pt>
                <c:pt idx="3">
                  <c:v>40–44</c:v>
                </c:pt>
                <c:pt idx="4">
                  <c:v>45–49</c:v>
                </c:pt>
                <c:pt idx="5">
                  <c:v>50–54</c:v>
                </c:pt>
                <c:pt idx="6">
                  <c:v>55–59</c:v>
                </c:pt>
                <c:pt idx="7">
                  <c:v>60–64</c:v>
                </c:pt>
                <c:pt idx="8">
                  <c:v>65–69</c:v>
                </c:pt>
                <c:pt idx="9">
                  <c:v>70–74</c:v>
                </c:pt>
                <c:pt idx="10">
                  <c:v>75–79</c:v>
                </c:pt>
                <c:pt idx="11">
                  <c:v>80–84</c:v>
                </c:pt>
                <c:pt idx="12">
                  <c:v>85+</c:v>
                </c:pt>
              </c:strCache>
            </c:strRef>
          </c:cat>
          <c:val>
            <c:numRef>
              <c:f>Incidence!$H$203:$T$203</c:f>
              <c:numCache>
                <c:formatCode>0</c:formatCode>
                <c:ptCount val="13"/>
                <c:pt idx="0">
                  <c:v>1</c:v>
                </c:pt>
                <c:pt idx="1">
                  <c:v>0</c:v>
                </c:pt>
                <c:pt idx="2">
                  <c:v>2</c:v>
                </c:pt>
                <c:pt idx="3">
                  <c:v>0</c:v>
                </c:pt>
                <c:pt idx="4">
                  <c:v>2</c:v>
                </c:pt>
                <c:pt idx="5">
                  <c:v>5</c:v>
                </c:pt>
                <c:pt idx="6">
                  <c:v>11</c:v>
                </c:pt>
                <c:pt idx="7">
                  <c:v>15</c:v>
                </c:pt>
                <c:pt idx="8">
                  <c:v>9</c:v>
                </c:pt>
                <c:pt idx="9">
                  <c:v>19</c:v>
                </c:pt>
                <c:pt idx="10">
                  <c:v>22</c:v>
                </c:pt>
                <c:pt idx="11">
                  <c:v>20</c:v>
                </c:pt>
                <c:pt idx="12">
                  <c:v>20</c:v>
                </c:pt>
              </c:numCache>
            </c:numRef>
          </c:val>
        </c:ser>
        <c:dLbls>
          <c:showLegendKey val="0"/>
          <c:showVal val="0"/>
          <c:showCatName val="0"/>
          <c:showSerName val="0"/>
          <c:showPercent val="0"/>
          <c:showBubbleSize val="0"/>
        </c:dLbls>
        <c:gapWidth val="80"/>
        <c:overlap val="-1"/>
        <c:axId val="106255872"/>
        <c:axId val="106257792"/>
      </c:barChart>
      <c:catAx>
        <c:axId val="106255872"/>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a:t>Age group (years)</a:t>
                </a:r>
              </a:p>
            </c:rich>
          </c:tx>
          <c:layout>
            <c:manualLayout>
              <c:xMode val="edge"/>
              <c:yMode val="edge"/>
              <c:x val="0.43807726799790225"/>
              <c:y val="0.90007807568358311"/>
            </c:manualLayout>
          </c:layout>
          <c:overlay val="0"/>
          <c:spPr>
            <a:noFill/>
            <a:ln w="25400">
              <a:noFill/>
            </a:ln>
          </c:spPr>
        </c:title>
        <c:numFmt formatCode="General" sourceLinked="1"/>
        <c:majorTickMark val="none"/>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06257792"/>
        <c:crosses val="autoZero"/>
        <c:auto val="1"/>
        <c:lblAlgn val="ctr"/>
        <c:lblOffset val="100"/>
        <c:tickLblSkip val="1"/>
        <c:tickMarkSkip val="1"/>
        <c:noMultiLvlLbl val="0"/>
      </c:catAx>
      <c:valAx>
        <c:axId val="106257792"/>
        <c:scaling>
          <c:orientation val="minMax"/>
          <c:max val="110"/>
          <c:min val="0"/>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Number of new cases</a:t>
                </a:r>
              </a:p>
            </c:rich>
          </c:tx>
          <c:layout>
            <c:manualLayout>
              <c:xMode val="edge"/>
              <c:yMode val="edge"/>
              <c:x val="5.5223508890526914E-2"/>
              <c:y val="0.20707199574736787"/>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6255872"/>
        <c:crosses val="autoZero"/>
        <c:crossBetween val="between"/>
        <c:majorUnit val="10"/>
        <c:minorUnit val="10"/>
      </c:valAx>
      <c:spPr>
        <a:solidFill>
          <a:srgbClr val="FFFFFF"/>
        </a:solidFill>
        <a:ln w="3175">
          <a:solidFill>
            <a:srgbClr val="000000"/>
          </a:solidFill>
          <a:prstDash val="solid"/>
        </a:ln>
      </c:spPr>
    </c:plotArea>
    <c:legend>
      <c:legendPos val="r"/>
      <c:layout>
        <c:manualLayout>
          <c:xMode val="edge"/>
          <c:yMode val="edge"/>
          <c:x val="0.2076991460197444"/>
          <c:y val="6.6621150204325741E-2"/>
          <c:w val="0.17905102954341989"/>
          <c:h val="4.4374009508716512E-2"/>
        </c:manualLayout>
      </c:layout>
      <c:overlay val="0"/>
      <c:spPr>
        <a:solidFill>
          <a:srgbClr val="FFFFFF"/>
        </a:solid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125"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330197554092191"/>
          <c:y val="8.0870917573872547E-2"/>
          <c:w val="0.74129821260583939"/>
          <c:h val="0.59097978227060655"/>
        </c:manualLayout>
      </c:layout>
      <c:lineChart>
        <c:grouping val="standard"/>
        <c:varyColors val="0"/>
        <c:ser>
          <c:idx val="0"/>
          <c:order val="0"/>
          <c:tx>
            <c:v> Males</c:v>
          </c:tx>
          <c:spPr>
            <a:ln w="31750">
              <a:solidFill>
                <a:srgbClr val="00456B"/>
              </a:solidFill>
              <a:prstDash val="solid"/>
            </a:ln>
          </c:spPr>
          <c:marker>
            <c:symbol val="none"/>
          </c:marker>
          <c:cat>
            <c:numRef>
              <c:f>Mortality!$B$6:$P$6</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Mortality!$B$7:$P$7</c:f>
              <c:numCache>
                <c:formatCode>#,##0</c:formatCode>
                <c:ptCount val="15"/>
                <c:pt idx="0">
                  <c:v>353</c:v>
                </c:pt>
                <c:pt idx="1">
                  <c:v>360</c:v>
                </c:pt>
                <c:pt idx="2">
                  <c:v>333</c:v>
                </c:pt>
                <c:pt idx="3">
                  <c:v>375</c:v>
                </c:pt>
                <c:pt idx="4">
                  <c:v>434</c:v>
                </c:pt>
                <c:pt idx="5">
                  <c:v>406</c:v>
                </c:pt>
                <c:pt idx="6">
                  <c:v>426</c:v>
                </c:pt>
                <c:pt idx="7">
                  <c:v>458</c:v>
                </c:pt>
                <c:pt idx="8">
                  <c:v>445</c:v>
                </c:pt>
                <c:pt idx="9">
                  <c:v>388</c:v>
                </c:pt>
                <c:pt idx="10">
                  <c:v>496</c:v>
                </c:pt>
                <c:pt idx="11">
                  <c:v>477</c:v>
                </c:pt>
                <c:pt idx="12">
                  <c:v>474</c:v>
                </c:pt>
                <c:pt idx="13">
                  <c:v>517</c:v>
                </c:pt>
                <c:pt idx="14">
                  <c:v>510</c:v>
                </c:pt>
              </c:numCache>
            </c:numRef>
          </c:val>
          <c:smooth val="0"/>
        </c:ser>
        <c:ser>
          <c:idx val="1"/>
          <c:order val="1"/>
          <c:tx>
            <c:v> Females</c:v>
          </c:tx>
          <c:spPr>
            <a:ln w="31750">
              <a:solidFill>
                <a:srgbClr val="C4126B"/>
              </a:solidFill>
              <a:prstDash val="solid"/>
            </a:ln>
          </c:spPr>
          <c:marker>
            <c:symbol val="none"/>
          </c:marker>
          <c:cat>
            <c:numRef>
              <c:f>Mortality!$B$6:$P$6</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Mortality!$B$8:$P$8</c:f>
              <c:numCache>
                <c:formatCode>#,##0</c:formatCode>
                <c:ptCount val="15"/>
                <c:pt idx="0">
                  <c:v>63</c:v>
                </c:pt>
                <c:pt idx="1">
                  <c:v>43</c:v>
                </c:pt>
                <c:pt idx="2">
                  <c:v>57</c:v>
                </c:pt>
                <c:pt idx="3">
                  <c:v>62</c:v>
                </c:pt>
                <c:pt idx="4">
                  <c:v>85</c:v>
                </c:pt>
                <c:pt idx="5">
                  <c:v>84</c:v>
                </c:pt>
                <c:pt idx="6">
                  <c:v>84</c:v>
                </c:pt>
                <c:pt idx="7">
                  <c:v>87</c:v>
                </c:pt>
                <c:pt idx="8">
                  <c:v>93</c:v>
                </c:pt>
                <c:pt idx="9">
                  <c:v>88</c:v>
                </c:pt>
                <c:pt idx="10">
                  <c:v>93</c:v>
                </c:pt>
                <c:pt idx="11">
                  <c:v>118</c:v>
                </c:pt>
                <c:pt idx="12">
                  <c:v>110</c:v>
                </c:pt>
                <c:pt idx="13">
                  <c:v>117</c:v>
                </c:pt>
                <c:pt idx="14">
                  <c:v>96</c:v>
                </c:pt>
              </c:numCache>
            </c:numRef>
          </c:val>
          <c:smooth val="0"/>
        </c:ser>
        <c:ser>
          <c:idx val="2"/>
          <c:order val="2"/>
          <c:tx>
            <c:v> Persons</c:v>
          </c:tx>
          <c:spPr>
            <a:ln w="38100">
              <a:solidFill>
                <a:srgbClr val="000000"/>
              </a:solidFill>
              <a:prstDash val="solid"/>
            </a:ln>
          </c:spPr>
          <c:marker>
            <c:symbol val="none"/>
          </c:marker>
          <c:cat>
            <c:numRef>
              <c:f>Mortality!$B$6:$P$6</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Mortality!$B$9:$P$9</c:f>
              <c:numCache>
                <c:formatCode>#,##0</c:formatCode>
                <c:ptCount val="15"/>
                <c:pt idx="0">
                  <c:v>416</c:v>
                </c:pt>
                <c:pt idx="1">
                  <c:v>403</c:v>
                </c:pt>
                <c:pt idx="2">
                  <c:v>390</c:v>
                </c:pt>
                <c:pt idx="3">
                  <c:v>437</c:v>
                </c:pt>
                <c:pt idx="4">
                  <c:v>519</c:v>
                </c:pt>
                <c:pt idx="5">
                  <c:v>490</c:v>
                </c:pt>
                <c:pt idx="6">
                  <c:v>510</c:v>
                </c:pt>
                <c:pt idx="7">
                  <c:v>545</c:v>
                </c:pt>
                <c:pt idx="8">
                  <c:v>538</c:v>
                </c:pt>
                <c:pt idx="9">
                  <c:v>476</c:v>
                </c:pt>
                <c:pt idx="10">
                  <c:v>589</c:v>
                </c:pt>
                <c:pt idx="11">
                  <c:v>595</c:v>
                </c:pt>
                <c:pt idx="12">
                  <c:v>584</c:v>
                </c:pt>
                <c:pt idx="13">
                  <c:v>634</c:v>
                </c:pt>
                <c:pt idx="14">
                  <c:v>606</c:v>
                </c:pt>
              </c:numCache>
            </c:numRef>
          </c:val>
          <c:smooth val="0"/>
        </c:ser>
        <c:dLbls>
          <c:showLegendKey val="0"/>
          <c:showVal val="0"/>
          <c:showCatName val="0"/>
          <c:showSerName val="0"/>
          <c:showPercent val="0"/>
          <c:showBubbleSize val="0"/>
        </c:dLbls>
        <c:marker val="1"/>
        <c:smooth val="0"/>
        <c:axId val="39097856"/>
        <c:axId val="39099776"/>
      </c:lineChart>
      <c:catAx>
        <c:axId val="39097856"/>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a:t>Year of death</a:t>
                </a:r>
              </a:p>
            </c:rich>
          </c:tx>
          <c:layout>
            <c:manualLayout>
              <c:xMode val="edge"/>
              <c:yMode val="edge"/>
              <c:x val="0.53535347206723494"/>
              <c:y val="0.9029239823282959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9099776"/>
        <c:crosses val="autoZero"/>
        <c:auto val="1"/>
        <c:lblAlgn val="ctr"/>
        <c:lblOffset val="100"/>
        <c:tickMarkSkip val="1"/>
        <c:noMultiLvlLbl val="0"/>
      </c:catAx>
      <c:valAx>
        <c:axId val="39099776"/>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Number of deaths</a:t>
                </a:r>
              </a:p>
            </c:rich>
          </c:tx>
          <c:layout>
            <c:manualLayout>
              <c:xMode val="edge"/>
              <c:yMode val="edge"/>
              <c:x val="0.14109669473200237"/>
              <c:y val="0.24261279007521697"/>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9097856"/>
        <c:crosses val="autoZero"/>
        <c:crossBetween val="between"/>
      </c:valAx>
      <c:dTable>
        <c:showHorzBorder val="1"/>
        <c:showVertBorder val="0"/>
        <c:showOutline val="1"/>
        <c:showKeys val="1"/>
        <c:spPr>
          <a:ln w="3175">
            <a:solidFill>
              <a:srgbClr val="000000"/>
            </a:solidFill>
            <a:prstDash val="solid"/>
          </a:ln>
        </c:spPr>
        <c:txPr>
          <a:bodyPr/>
          <a:lstStyle/>
          <a:p>
            <a:pPr rtl="0">
              <a:defRPr sz="800" b="0" i="0" u="none" strike="noStrike" baseline="0">
                <a:solidFill>
                  <a:srgbClr val="000000"/>
                </a:solidFill>
                <a:latin typeface="Arial"/>
                <a:ea typeface="Arial"/>
                <a:cs typeface="Arial"/>
              </a:defRPr>
            </a:pPr>
            <a:endParaRPr lang="en-US"/>
          </a:p>
        </c:txPr>
      </c:dTable>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10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31864910427051"/>
          <c:y val="0.10752725808992122"/>
          <c:w val="0.81005733905329635"/>
          <c:h val="0.68100596790283341"/>
        </c:manualLayout>
      </c:layout>
      <c:lineChart>
        <c:grouping val="standard"/>
        <c:varyColors val="0"/>
        <c:ser>
          <c:idx val="0"/>
          <c:order val="0"/>
          <c:spPr>
            <a:ln w="31750">
              <a:solidFill>
                <a:srgbClr val="00456B"/>
              </a:solidFill>
              <a:prstDash val="solid"/>
            </a:ln>
          </c:spPr>
          <c:marker>
            <c:symbol val="none"/>
          </c:marker>
          <c:cat>
            <c:numRef>
              <c:f>Mortality!$A$147:$A$161</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Mortality!$B$147:$B$161</c:f>
              <c:numCache>
                <c:formatCode>0.0</c:formatCode>
                <c:ptCount val="15"/>
                <c:pt idx="0">
                  <c:v>4.534208120348282</c:v>
                </c:pt>
                <c:pt idx="1">
                  <c:v>4.5173144113800658</c:v>
                </c:pt>
                <c:pt idx="2">
                  <c:v>4.0855599546329104</c:v>
                </c:pt>
                <c:pt idx="3">
                  <c:v>4.47573288259147</c:v>
                </c:pt>
                <c:pt idx="4">
                  <c:v>5.0127746270314475</c:v>
                </c:pt>
                <c:pt idx="5">
                  <c:v>4.5373000477922592</c:v>
                </c:pt>
                <c:pt idx="6">
                  <c:v>4.777273680553459</c:v>
                </c:pt>
                <c:pt idx="7">
                  <c:v>4.9520619537164405</c:v>
                </c:pt>
                <c:pt idx="8">
                  <c:v>4.6799821845634391</c:v>
                </c:pt>
                <c:pt idx="9">
                  <c:v>3.9933517576347475</c:v>
                </c:pt>
                <c:pt idx="10">
                  <c:v>4.921005481516957</c:v>
                </c:pt>
                <c:pt idx="11">
                  <c:v>4.6506056217746519</c:v>
                </c:pt>
                <c:pt idx="12">
                  <c:v>4.4547187280513709</c:v>
                </c:pt>
                <c:pt idx="13">
                  <c:v>4.7606137853955186</c:v>
                </c:pt>
                <c:pt idx="14">
                  <c:v>4.5621705394450434</c:v>
                </c:pt>
              </c:numCache>
            </c:numRef>
          </c:val>
          <c:smooth val="0"/>
        </c:ser>
        <c:ser>
          <c:idx val="1"/>
          <c:order val="1"/>
          <c:spPr>
            <a:ln w="31750">
              <a:solidFill>
                <a:srgbClr val="C4126B"/>
              </a:solidFill>
              <a:prstDash val="solid"/>
            </a:ln>
          </c:spPr>
          <c:marker>
            <c:symbol val="none"/>
          </c:marker>
          <c:cat>
            <c:numRef>
              <c:f>Mortality!$A$147:$A$161</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Mortality!$C$147:$C$161</c:f>
              <c:numCache>
                <c:formatCode>0.0</c:formatCode>
                <c:ptCount val="15"/>
                <c:pt idx="0">
                  <c:v>0.67069995958794759</c:v>
                </c:pt>
                <c:pt idx="1">
                  <c:v>0.45371643314901006</c:v>
                </c:pt>
                <c:pt idx="2">
                  <c:v>0.58078504456513258</c:v>
                </c:pt>
                <c:pt idx="3">
                  <c:v>0.60191704034903393</c:v>
                </c:pt>
                <c:pt idx="4">
                  <c:v>0.80610292549522622</c:v>
                </c:pt>
                <c:pt idx="5">
                  <c:v>0.78236898995799231</c:v>
                </c:pt>
                <c:pt idx="6">
                  <c:v>0.76166023607979016</c:v>
                </c:pt>
                <c:pt idx="7">
                  <c:v>0.76105630979308536</c:v>
                </c:pt>
                <c:pt idx="8">
                  <c:v>0.80354316235825485</c:v>
                </c:pt>
                <c:pt idx="9">
                  <c:v>0.74770934352258744</c:v>
                </c:pt>
                <c:pt idx="10">
                  <c:v>0.75407286228514991</c:v>
                </c:pt>
                <c:pt idx="11">
                  <c:v>0.95991803150157073</c:v>
                </c:pt>
                <c:pt idx="12">
                  <c:v>0.85782924674817651</c:v>
                </c:pt>
                <c:pt idx="13">
                  <c:v>0.89542028945099095</c:v>
                </c:pt>
                <c:pt idx="14">
                  <c:v>0.70400727375678074</c:v>
                </c:pt>
              </c:numCache>
            </c:numRef>
          </c:val>
          <c:smooth val="0"/>
        </c:ser>
        <c:ser>
          <c:idx val="2"/>
          <c:order val="2"/>
          <c:spPr>
            <a:ln w="38100">
              <a:solidFill>
                <a:schemeClr val="tx1"/>
              </a:solidFill>
              <a:prstDash val="solid"/>
            </a:ln>
          </c:spPr>
          <c:marker>
            <c:symbol val="square"/>
            <c:size val="7"/>
            <c:spPr>
              <a:noFill/>
              <a:ln w="9525">
                <a:noFill/>
              </a:ln>
            </c:spPr>
          </c:marker>
          <c:cat>
            <c:numRef>
              <c:f>Mortality!$A$147:$A$161</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Mortality!$D$147:$D$161</c:f>
              <c:numCache>
                <c:formatCode>#,##0.0</c:formatCode>
                <c:ptCount val="15"/>
                <c:pt idx="0">
                  <c:v>2.388482952307784</c:v>
                </c:pt>
                <c:pt idx="1">
                  <c:v>2.2533654266886582</c:v>
                </c:pt>
                <c:pt idx="2">
                  <c:v>2.1367444783084313</c:v>
                </c:pt>
                <c:pt idx="3">
                  <c:v>2.3288389057963221</c:v>
                </c:pt>
                <c:pt idx="4">
                  <c:v>2.6915888143530644</c:v>
                </c:pt>
                <c:pt idx="5">
                  <c:v>2.4715541602513107</c:v>
                </c:pt>
                <c:pt idx="6">
                  <c:v>2.5201141712372328</c:v>
                </c:pt>
                <c:pt idx="7">
                  <c:v>2.6369805406592164</c:v>
                </c:pt>
                <c:pt idx="8">
                  <c:v>2.5348080055742068</c:v>
                </c:pt>
                <c:pt idx="9">
                  <c:v>2.1977601667786715</c:v>
                </c:pt>
                <c:pt idx="10">
                  <c:v>2.6486606669987229</c:v>
                </c:pt>
                <c:pt idx="11">
                  <c:v>2.6185301458049519</c:v>
                </c:pt>
                <c:pt idx="12">
                  <c:v>2.5010590424145556</c:v>
                </c:pt>
                <c:pt idx="13">
                  <c:v>2.6296832567026245</c:v>
                </c:pt>
                <c:pt idx="14">
                  <c:v>2.4508230019191619</c:v>
                </c:pt>
              </c:numCache>
            </c:numRef>
          </c:val>
          <c:smooth val="0"/>
        </c:ser>
        <c:dLbls>
          <c:showLegendKey val="0"/>
          <c:showVal val="0"/>
          <c:showCatName val="0"/>
          <c:showSerName val="0"/>
          <c:showPercent val="0"/>
          <c:showBubbleSize val="0"/>
        </c:dLbls>
        <c:marker val="1"/>
        <c:smooth val="0"/>
        <c:axId val="39189888"/>
        <c:axId val="97322880"/>
      </c:lineChart>
      <c:catAx>
        <c:axId val="39189888"/>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a:t>Year of death</a:t>
                </a:r>
              </a:p>
            </c:rich>
          </c:tx>
          <c:layout>
            <c:manualLayout>
              <c:xMode val="edge"/>
              <c:yMode val="edge"/>
              <c:x val="0.45623919096105175"/>
              <c:y val="0.88530775827368369"/>
            </c:manualLayout>
          </c:layout>
          <c:overlay val="0"/>
          <c:spPr>
            <a:noFill/>
            <a:ln w="25400">
              <a:noFill/>
            </a:ln>
          </c:spPr>
        </c:title>
        <c:numFmt formatCode="General" sourceLinked="1"/>
        <c:majorTickMark val="none"/>
        <c:minorTickMark val="out"/>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322880"/>
        <c:crosses val="autoZero"/>
        <c:auto val="1"/>
        <c:lblAlgn val="ctr"/>
        <c:lblOffset val="100"/>
        <c:tickLblSkip val="1"/>
        <c:tickMarkSkip val="1"/>
        <c:noMultiLvlLbl val="0"/>
      </c:catAx>
      <c:valAx>
        <c:axId val="97322880"/>
        <c:scaling>
          <c:orientation val="minMax"/>
          <c:max val="5.0999999999999996"/>
          <c:min val="0"/>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Deaths per 100 000 population</a:t>
                </a:r>
              </a:p>
            </c:rich>
          </c:tx>
          <c:layout>
            <c:manualLayout>
              <c:xMode val="edge"/>
              <c:yMode val="edge"/>
              <c:x val="3.9093608050554278E-2"/>
              <c:y val="0.17562786418783943"/>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9189888"/>
        <c:crosses val="autoZero"/>
        <c:crossBetween val="between"/>
        <c:majorUnit val="1"/>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5589064723638"/>
          <c:y val="4.2672647885960723E-2"/>
          <c:w val="0.82453999969606717"/>
          <c:h val="0.52915418712236417"/>
        </c:manualLayout>
      </c:layout>
      <c:lineChart>
        <c:grouping val="standard"/>
        <c:varyColors val="0"/>
        <c:ser>
          <c:idx val="0"/>
          <c:order val="0"/>
          <c:tx>
            <c:strRef>
              <c:f>'S&amp;T mortality'!$B$51</c:f>
              <c:strCache>
                <c:ptCount val="1"/>
                <c:pt idx="0">
                  <c:v> NSW</c:v>
                </c:pt>
              </c:strCache>
            </c:strRef>
          </c:tx>
          <c:spPr>
            <a:ln w="31750">
              <a:solidFill>
                <a:srgbClr val="00456B"/>
              </a:solidFill>
              <a:prstDash val="solid"/>
            </a:ln>
          </c:spPr>
          <c:marker>
            <c:symbol val="none"/>
          </c:marker>
          <c:cat>
            <c:strRef>
              <c:f>'S&amp;T mortality'!$A$52:$A$62</c:f>
              <c:strCache>
                <c:ptCount val="11"/>
                <c:pt idx="0">
                  <c:v>1997–2001</c:v>
                </c:pt>
                <c:pt idx="1">
                  <c:v>1998–2002</c:v>
                </c:pt>
                <c:pt idx="2">
                  <c:v>1999–2003</c:v>
                </c:pt>
                <c:pt idx="3">
                  <c:v>2000–2004</c:v>
                </c:pt>
                <c:pt idx="4">
                  <c:v>2001–2005</c:v>
                </c:pt>
                <c:pt idx="5">
                  <c:v>2002–2006</c:v>
                </c:pt>
                <c:pt idx="6">
                  <c:v>2003–2007</c:v>
                </c:pt>
                <c:pt idx="7">
                  <c:v>2004–2008</c:v>
                </c:pt>
                <c:pt idx="8">
                  <c:v>2005–2009</c:v>
                </c:pt>
                <c:pt idx="9">
                  <c:v>2006–2010</c:v>
                </c:pt>
                <c:pt idx="10">
                  <c:v>2007–2011</c:v>
                </c:pt>
              </c:strCache>
            </c:strRef>
          </c:cat>
          <c:val>
            <c:numRef>
              <c:f>'S&amp;T mortality'!$B$52:$B$62</c:f>
              <c:numCache>
                <c:formatCode>#,##0</c:formatCode>
                <c:ptCount val="11"/>
                <c:pt idx="0">
                  <c:v>149</c:v>
                </c:pt>
                <c:pt idx="1">
                  <c:v>148</c:v>
                </c:pt>
                <c:pt idx="2">
                  <c:v>154</c:v>
                </c:pt>
                <c:pt idx="3">
                  <c:v>159</c:v>
                </c:pt>
                <c:pt idx="4">
                  <c:v>168</c:v>
                </c:pt>
                <c:pt idx="5">
                  <c:v>165</c:v>
                </c:pt>
                <c:pt idx="6">
                  <c:v>177</c:v>
                </c:pt>
                <c:pt idx="7">
                  <c:v>183</c:v>
                </c:pt>
                <c:pt idx="8">
                  <c:v>186</c:v>
                </c:pt>
                <c:pt idx="9">
                  <c:v>190</c:v>
                </c:pt>
                <c:pt idx="10">
                  <c:v>199</c:v>
                </c:pt>
              </c:numCache>
            </c:numRef>
          </c:val>
          <c:smooth val="0"/>
        </c:ser>
        <c:ser>
          <c:idx val="1"/>
          <c:order val="1"/>
          <c:tx>
            <c:strRef>
              <c:f>'S&amp;T mortality'!$C$51</c:f>
              <c:strCache>
                <c:ptCount val="1"/>
                <c:pt idx="0">
                  <c:v> Vic</c:v>
                </c:pt>
              </c:strCache>
            </c:strRef>
          </c:tx>
          <c:spPr>
            <a:ln w="31750">
              <a:solidFill>
                <a:srgbClr val="716814"/>
              </a:solidFill>
              <a:prstDash val="solid"/>
            </a:ln>
          </c:spPr>
          <c:marker>
            <c:symbol val="none"/>
          </c:marker>
          <c:cat>
            <c:strRef>
              <c:f>'S&amp;T mortality'!$A$52:$A$62</c:f>
              <c:strCache>
                <c:ptCount val="11"/>
                <c:pt idx="0">
                  <c:v>1997–2001</c:v>
                </c:pt>
                <c:pt idx="1">
                  <c:v>1998–2002</c:v>
                </c:pt>
                <c:pt idx="2">
                  <c:v>1999–2003</c:v>
                </c:pt>
                <c:pt idx="3">
                  <c:v>2000–2004</c:v>
                </c:pt>
                <c:pt idx="4">
                  <c:v>2001–2005</c:v>
                </c:pt>
                <c:pt idx="5">
                  <c:v>2002–2006</c:v>
                </c:pt>
                <c:pt idx="6">
                  <c:v>2003–2007</c:v>
                </c:pt>
                <c:pt idx="7">
                  <c:v>2004–2008</c:v>
                </c:pt>
                <c:pt idx="8">
                  <c:v>2005–2009</c:v>
                </c:pt>
                <c:pt idx="9">
                  <c:v>2006–2010</c:v>
                </c:pt>
                <c:pt idx="10">
                  <c:v>2007–2011</c:v>
                </c:pt>
              </c:strCache>
            </c:strRef>
          </c:cat>
          <c:val>
            <c:numRef>
              <c:f>'S&amp;T mortality'!$C$52:$C$62</c:f>
              <c:numCache>
                <c:formatCode>0</c:formatCode>
                <c:ptCount val="11"/>
                <c:pt idx="0">
                  <c:v>94</c:v>
                </c:pt>
                <c:pt idx="1">
                  <c:v>97</c:v>
                </c:pt>
                <c:pt idx="2">
                  <c:v>100</c:v>
                </c:pt>
                <c:pt idx="3">
                  <c:v>111</c:v>
                </c:pt>
                <c:pt idx="4">
                  <c:v>115</c:v>
                </c:pt>
                <c:pt idx="5">
                  <c:v>112</c:v>
                </c:pt>
                <c:pt idx="6">
                  <c:v>112</c:v>
                </c:pt>
                <c:pt idx="7">
                  <c:v>114</c:v>
                </c:pt>
                <c:pt idx="8">
                  <c:v>111</c:v>
                </c:pt>
                <c:pt idx="9">
                  <c:v>118</c:v>
                </c:pt>
                <c:pt idx="10">
                  <c:v>124</c:v>
                </c:pt>
              </c:numCache>
            </c:numRef>
          </c:val>
          <c:smooth val="0"/>
        </c:ser>
        <c:ser>
          <c:idx val="2"/>
          <c:order val="2"/>
          <c:tx>
            <c:strRef>
              <c:f>'S&amp;T mortality'!$D$51</c:f>
              <c:strCache>
                <c:ptCount val="1"/>
                <c:pt idx="0">
                  <c:v> Qld</c:v>
                </c:pt>
              </c:strCache>
            </c:strRef>
          </c:tx>
          <c:spPr>
            <a:ln w="31750">
              <a:solidFill>
                <a:srgbClr val="56004E"/>
              </a:solidFill>
              <a:prstDash val="solid"/>
            </a:ln>
          </c:spPr>
          <c:marker>
            <c:symbol val="none"/>
          </c:marker>
          <c:cat>
            <c:strRef>
              <c:f>'S&amp;T mortality'!$A$52:$A$62</c:f>
              <c:strCache>
                <c:ptCount val="11"/>
                <c:pt idx="0">
                  <c:v>1997–2001</c:v>
                </c:pt>
                <c:pt idx="1">
                  <c:v>1998–2002</c:v>
                </c:pt>
                <c:pt idx="2">
                  <c:v>1999–2003</c:v>
                </c:pt>
                <c:pt idx="3">
                  <c:v>2000–2004</c:v>
                </c:pt>
                <c:pt idx="4">
                  <c:v>2001–2005</c:v>
                </c:pt>
                <c:pt idx="5">
                  <c:v>2002–2006</c:v>
                </c:pt>
                <c:pt idx="6">
                  <c:v>2003–2007</c:v>
                </c:pt>
                <c:pt idx="7">
                  <c:v>2004–2008</c:v>
                </c:pt>
                <c:pt idx="8">
                  <c:v>2005–2009</c:v>
                </c:pt>
                <c:pt idx="9">
                  <c:v>2006–2010</c:v>
                </c:pt>
                <c:pt idx="10">
                  <c:v>2007–2011</c:v>
                </c:pt>
              </c:strCache>
            </c:strRef>
          </c:cat>
          <c:val>
            <c:numRef>
              <c:f>'S&amp;T mortality'!$D$52:$D$62</c:f>
              <c:numCache>
                <c:formatCode>#,##0</c:formatCode>
                <c:ptCount val="11"/>
                <c:pt idx="0">
                  <c:v>74</c:v>
                </c:pt>
                <c:pt idx="1">
                  <c:v>81</c:v>
                </c:pt>
                <c:pt idx="2">
                  <c:v>90</c:v>
                </c:pt>
                <c:pt idx="3">
                  <c:v>94</c:v>
                </c:pt>
                <c:pt idx="4">
                  <c:v>97</c:v>
                </c:pt>
                <c:pt idx="5">
                  <c:v>99</c:v>
                </c:pt>
                <c:pt idx="6">
                  <c:v>104</c:v>
                </c:pt>
                <c:pt idx="7">
                  <c:v>107</c:v>
                </c:pt>
                <c:pt idx="8">
                  <c:v>112</c:v>
                </c:pt>
                <c:pt idx="9">
                  <c:v>119</c:v>
                </c:pt>
                <c:pt idx="10" formatCode="General">
                  <c:v>123</c:v>
                </c:pt>
              </c:numCache>
            </c:numRef>
          </c:val>
          <c:smooth val="0"/>
        </c:ser>
        <c:ser>
          <c:idx val="3"/>
          <c:order val="3"/>
          <c:tx>
            <c:strRef>
              <c:f>'S&amp;T mortality'!$E$51</c:f>
              <c:strCache>
                <c:ptCount val="1"/>
                <c:pt idx="0">
                  <c:v> WA</c:v>
                </c:pt>
              </c:strCache>
            </c:strRef>
          </c:tx>
          <c:spPr>
            <a:ln w="31750">
              <a:solidFill>
                <a:srgbClr val="444D3E"/>
              </a:solidFill>
              <a:prstDash val="solid"/>
            </a:ln>
          </c:spPr>
          <c:marker>
            <c:symbol val="none"/>
          </c:marker>
          <c:cat>
            <c:strRef>
              <c:f>'S&amp;T mortality'!$A$52:$A$62</c:f>
              <c:strCache>
                <c:ptCount val="11"/>
                <c:pt idx="0">
                  <c:v>1997–2001</c:v>
                </c:pt>
                <c:pt idx="1">
                  <c:v>1998–2002</c:v>
                </c:pt>
                <c:pt idx="2">
                  <c:v>1999–2003</c:v>
                </c:pt>
                <c:pt idx="3">
                  <c:v>2000–2004</c:v>
                </c:pt>
                <c:pt idx="4">
                  <c:v>2001–2005</c:v>
                </c:pt>
                <c:pt idx="5">
                  <c:v>2002–2006</c:v>
                </c:pt>
                <c:pt idx="6">
                  <c:v>2003–2007</c:v>
                </c:pt>
                <c:pt idx="7">
                  <c:v>2004–2008</c:v>
                </c:pt>
                <c:pt idx="8">
                  <c:v>2005–2009</c:v>
                </c:pt>
                <c:pt idx="9">
                  <c:v>2006–2010</c:v>
                </c:pt>
                <c:pt idx="10">
                  <c:v>2007–2011</c:v>
                </c:pt>
              </c:strCache>
            </c:strRef>
          </c:cat>
          <c:val>
            <c:numRef>
              <c:f>'S&amp;T mortality'!$E$52:$E$62</c:f>
              <c:numCache>
                <c:formatCode>#,##0</c:formatCode>
                <c:ptCount val="11"/>
                <c:pt idx="0">
                  <c:v>63</c:v>
                </c:pt>
                <c:pt idx="1">
                  <c:v>64</c:v>
                </c:pt>
                <c:pt idx="2">
                  <c:v>64</c:v>
                </c:pt>
                <c:pt idx="3">
                  <c:v>67</c:v>
                </c:pt>
                <c:pt idx="4">
                  <c:v>69</c:v>
                </c:pt>
                <c:pt idx="5">
                  <c:v>70</c:v>
                </c:pt>
                <c:pt idx="6">
                  <c:v>73</c:v>
                </c:pt>
                <c:pt idx="7">
                  <c:v>79</c:v>
                </c:pt>
                <c:pt idx="8">
                  <c:v>83</c:v>
                </c:pt>
                <c:pt idx="9">
                  <c:v>86</c:v>
                </c:pt>
                <c:pt idx="10" formatCode="General">
                  <c:v>89</c:v>
                </c:pt>
              </c:numCache>
            </c:numRef>
          </c:val>
          <c:smooth val="0"/>
        </c:ser>
        <c:ser>
          <c:idx val="4"/>
          <c:order val="4"/>
          <c:tx>
            <c:strRef>
              <c:f>'S&amp;T mortality'!$F$51</c:f>
              <c:strCache>
                <c:ptCount val="1"/>
                <c:pt idx="0">
                  <c:v> SA</c:v>
                </c:pt>
              </c:strCache>
            </c:strRef>
          </c:tx>
          <c:spPr>
            <a:ln w="31750">
              <a:solidFill>
                <a:srgbClr val="FFEB29"/>
              </a:solidFill>
              <a:prstDash val="solid"/>
            </a:ln>
          </c:spPr>
          <c:marker>
            <c:symbol val="none"/>
          </c:marker>
          <c:cat>
            <c:strRef>
              <c:f>'S&amp;T mortality'!$A$52:$A$62</c:f>
              <c:strCache>
                <c:ptCount val="11"/>
                <c:pt idx="0">
                  <c:v>1997–2001</c:v>
                </c:pt>
                <c:pt idx="1">
                  <c:v>1998–2002</c:v>
                </c:pt>
                <c:pt idx="2">
                  <c:v>1999–2003</c:v>
                </c:pt>
                <c:pt idx="3">
                  <c:v>2000–2004</c:v>
                </c:pt>
                <c:pt idx="4">
                  <c:v>2001–2005</c:v>
                </c:pt>
                <c:pt idx="5">
                  <c:v>2002–2006</c:v>
                </c:pt>
                <c:pt idx="6">
                  <c:v>2003–2007</c:v>
                </c:pt>
                <c:pt idx="7">
                  <c:v>2004–2008</c:v>
                </c:pt>
                <c:pt idx="8">
                  <c:v>2005–2009</c:v>
                </c:pt>
                <c:pt idx="9">
                  <c:v>2006–2010</c:v>
                </c:pt>
                <c:pt idx="10">
                  <c:v>2007–2011</c:v>
                </c:pt>
              </c:strCache>
            </c:strRef>
          </c:cat>
          <c:val>
            <c:numRef>
              <c:f>'S&amp;T mortality'!$F$52:$F$62</c:f>
              <c:numCache>
                <c:formatCode>#,##0</c:formatCode>
                <c:ptCount val="11"/>
                <c:pt idx="0">
                  <c:v>43</c:v>
                </c:pt>
                <c:pt idx="1">
                  <c:v>44</c:v>
                </c:pt>
                <c:pt idx="2">
                  <c:v>47</c:v>
                </c:pt>
                <c:pt idx="3">
                  <c:v>50</c:v>
                </c:pt>
                <c:pt idx="4">
                  <c:v>52</c:v>
                </c:pt>
                <c:pt idx="5">
                  <c:v>45</c:v>
                </c:pt>
                <c:pt idx="6">
                  <c:v>47</c:v>
                </c:pt>
                <c:pt idx="7">
                  <c:v>47</c:v>
                </c:pt>
                <c:pt idx="8">
                  <c:v>47</c:v>
                </c:pt>
                <c:pt idx="9">
                  <c:v>44</c:v>
                </c:pt>
                <c:pt idx="10" formatCode="General">
                  <c:v>46</c:v>
                </c:pt>
              </c:numCache>
            </c:numRef>
          </c:val>
          <c:smooth val="0"/>
        </c:ser>
        <c:ser>
          <c:idx val="5"/>
          <c:order val="5"/>
          <c:tx>
            <c:strRef>
              <c:f>'S&amp;T mortality'!$G$51</c:f>
              <c:strCache>
                <c:ptCount val="1"/>
                <c:pt idx="0">
                  <c:v> Tas</c:v>
                </c:pt>
              </c:strCache>
            </c:strRef>
          </c:tx>
          <c:spPr>
            <a:ln w="31750">
              <a:solidFill>
                <a:srgbClr val="C4126B"/>
              </a:solidFill>
              <a:prstDash val="solid"/>
            </a:ln>
          </c:spPr>
          <c:marker>
            <c:symbol val="none"/>
          </c:marker>
          <c:cat>
            <c:strRef>
              <c:f>'S&amp;T mortality'!$A$52:$A$62</c:f>
              <c:strCache>
                <c:ptCount val="11"/>
                <c:pt idx="0">
                  <c:v>1997–2001</c:v>
                </c:pt>
                <c:pt idx="1">
                  <c:v>1998–2002</c:v>
                </c:pt>
                <c:pt idx="2">
                  <c:v>1999–2003</c:v>
                </c:pt>
                <c:pt idx="3">
                  <c:v>2000–2004</c:v>
                </c:pt>
                <c:pt idx="4">
                  <c:v>2001–2005</c:v>
                </c:pt>
                <c:pt idx="5">
                  <c:v>2002–2006</c:v>
                </c:pt>
                <c:pt idx="6">
                  <c:v>2003–2007</c:v>
                </c:pt>
                <c:pt idx="7">
                  <c:v>2004–2008</c:v>
                </c:pt>
                <c:pt idx="8">
                  <c:v>2005–2009</c:v>
                </c:pt>
                <c:pt idx="9">
                  <c:v>2006–2010</c:v>
                </c:pt>
                <c:pt idx="10">
                  <c:v>2007–2011</c:v>
                </c:pt>
              </c:strCache>
            </c:strRef>
          </c:cat>
          <c:val>
            <c:numRef>
              <c:f>'S&amp;T mortality'!$G$52:$G$62</c:f>
              <c:numCache>
                <c:formatCode>#,##0</c:formatCode>
                <c:ptCount val="11"/>
                <c:pt idx="0">
                  <c:v>6</c:v>
                </c:pt>
                <c:pt idx="1">
                  <c:v>8</c:v>
                </c:pt>
                <c:pt idx="2">
                  <c:v>9</c:v>
                </c:pt>
                <c:pt idx="3">
                  <c:v>13</c:v>
                </c:pt>
                <c:pt idx="4">
                  <c:v>13</c:v>
                </c:pt>
                <c:pt idx="5">
                  <c:v>13</c:v>
                </c:pt>
                <c:pt idx="6">
                  <c:v>12</c:v>
                </c:pt>
                <c:pt idx="7">
                  <c:v>12</c:v>
                </c:pt>
                <c:pt idx="8">
                  <c:v>10</c:v>
                </c:pt>
                <c:pt idx="9">
                  <c:v>10</c:v>
                </c:pt>
                <c:pt idx="10" formatCode="General">
                  <c:v>11</c:v>
                </c:pt>
              </c:numCache>
            </c:numRef>
          </c:val>
          <c:smooth val="0"/>
        </c:ser>
        <c:ser>
          <c:idx val="6"/>
          <c:order val="6"/>
          <c:tx>
            <c:strRef>
              <c:f>'S&amp;T mortality'!$H$51</c:f>
              <c:strCache>
                <c:ptCount val="1"/>
                <c:pt idx="0">
                  <c:v> ACT</c:v>
                </c:pt>
              </c:strCache>
            </c:strRef>
          </c:tx>
          <c:spPr>
            <a:ln>
              <a:noFill/>
            </a:ln>
          </c:spPr>
          <c:marker>
            <c:symbol val="none"/>
          </c:marker>
          <c:cat>
            <c:strRef>
              <c:f>'S&amp;T mortality'!$A$52:$A$62</c:f>
              <c:strCache>
                <c:ptCount val="11"/>
                <c:pt idx="0">
                  <c:v>1997–2001</c:v>
                </c:pt>
                <c:pt idx="1">
                  <c:v>1998–2002</c:v>
                </c:pt>
                <c:pt idx="2">
                  <c:v>1999–2003</c:v>
                </c:pt>
                <c:pt idx="3">
                  <c:v>2000–2004</c:v>
                </c:pt>
                <c:pt idx="4">
                  <c:v>2001–2005</c:v>
                </c:pt>
                <c:pt idx="5">
                  <c:v>2002–2006</c:v>
                </c:pt>
                <c:pt idx="6">
                  <c:v>2003–2007</c:v>
                </c:pt>
                <c:pt idx="7">
                  <c:v>2004–2008</c:v>
                </c:pt>
                <c:pt idx="8">
                  <c:v>2005–2009</c:v>
                </c:pt>
                <c:pt idx="9">
                  <c:v>2006–2010</c:v>
                </c:pt>
                <c:pt idx="10">
                  <c:v>2007–2011</c:v>
                </c:pt>
              </c:strCache>
            </c:strRef>
          </c:cat>
          <c:val>
            <c:numRef>
              <c:f>'S&amp;T mortality'!$H$52:$H$62</c:f>
              <c:numCache>
                <c:formatCode>#,##0</c:formatCode>
                <c:ptCount val="11"/>
                <c:pt idx="0">
                  <c:v>3</c:v>
                </c:pt>
                <c:pt idx="1">
                  <c:v>4</c:v>
                </c:pt>
                <c:pt idx="2">
                  <c:v>4</c:v>
                </c:pt>
                <c:pt idx="3">
                  <c:v>5</c:v>
                </c:pt>
                <c:pt idx="4">
                  <c:v>5</c:v>
                </c:pt>
                <c:pt idx="5">
                  <c:v>5</c:v>
                </c:pt>
                <c:pt idx="6">
                  <c:v>5</c:v>
                </c:pt>
                <c:pt idx="7">
                  <c:v>5</c:v>
                </c:pt>
                <c:pt idx="8">
                  <c:v>5</c:v>
                </c:pt>
                <c:pt idx="9">
                  <c:v>6</c:v>
                </c:pt>
                <c:pt idx="10" formatCode="General">
                  <c:v>7</c:v>
                </c:pt>
              </c:numCache>
            </c:numRef>
          </c:val>
          <c:smooth val="0"/>
        </c:ser>
        <c:ser>
          <c:idx val="7"/>
          <c:order val="7"/>
          <c:tx>
            <c:strRef>
              <c:f>'S&amp;T mortality'!$I$51</c:f>
              <c:strCache>
                <c:ptCount val="1"/>
                <c:pt idx="0">
                  <c:v> NT</c:v>
                </c:pt>
              </c:strCache>
            </c:strRef>
          </c:tx>
          <c:spPr>
            <a:ln>
              <a:noFill/>
            </a:ln>
          </c:spPr>
          <c:marker>
            <c:symbol val="none"/>
          </c:marker>
          <c:cat>
            <c:strRef>
              <c:f>'S&amp;T mortality'!$A$52:$A$62</c:f>
              <c:strCache>
                <c:ptCount val="11"/>
                <c:pt idx="0">
                  <c:v>1997–2001</c:v>
                </c:pt>
                <c:pt idx="1">
                  <c:v>1998–2002</c:v>
                </c:pt>
                <c:pt idx="2">
                  <c:v>1999–2003</c:v>
                </c:pt>
                <c:pt idx="3">
                  <c:v>2000–2004</c:v>
                </c:pt>
                <c:pt idx="4">
                  <c:v>2001–2005</c:v>
                </c:pt>
                <c:pt idx="5">
                  <c:v>2002–2006</c:v>
                </c:pt>
                <c:pt idx="6">
                  <c:v>2003–2007</c:v>
                </c:pt>
                <c:pt idx="7">
                  <c:v>2004–2008</c:v>
                </c:pt>
                <c:pt idx="8">
                  <c:v>2005–2009</c:v>
                </c:pt>
                <c:pt idx="9">
                  <c:v>2006–2010</c:v>
                </c:pt>
                <c:pt idx="10">
                  <c:v>2007–2011</c:v>
                </c:pt>
              </c:strCache>
            </c:strRef>
          </c:cat>
          <c:val>
            <c:numRef>
              <c:f>'S&amp;T mortality'!$I$52:$I$62</c:f>
              <c:numCache>
                <c:formatCode>#,##0</c:formatCode>
                <c:ptCount val="11"/>
                <c:pt idx="0">
                  <c:v>2</c:v>
                </c:pt>
                <c:pt idx="1">
                  <c:v>1</c:v>
                </c:pt>
                <c:pt idx="2">
                  <c:v>0</c:v>
                </c:pt>
                <c:pt idx="3">
                  <c:v>1</c:v>
                </c:pt>
                <c:pt idx="4">
                  <c:v>1</c:v>
                </c:pt>
                <c:pt idx="5">
                  <c:v>1</c:v>
                </c:pt>
                <c:pt idx="6">
                  <c:v>1</c:v>
                </c:pt>
                <c:pt idx="7">
                  <c:v>2</c:v>
                </c:pt>
                <c:pt idx="8">
                  <c:v>1</c:v>
                </c:pt>
                <c:pt idx="9">
                  <c:v>2</c:v>
                </c:pt>
                <c:pt idx="10" formatCode="General">
                  <c:v>2</c:v>
                </c:pt>
              </c:numCache>
            </c:numRef>
          </c:val>
          <c:smooth val="0"/>
        </c:ser>
        <c:dLbls>
          <c:showLegendKey val="0"/>
          <c:showVal val="0"/>
          <c:showCatName val="0"/>
          <c:showSerName val="0"/>
          <c:showPercent val="0"/>
          <c:showBubbleSize val="0"/>
        </c:dLbls>
        <c:marker val="1"/>
        <c:smooth val="0"/>
        <c:axId val="39494400"/>
        <c:axId val="39496320"/>
      </c:lineChart>
      <c:catAx>
        <c:axId val="39494400"/>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a:t>Year of death</a:t>
                </a:r>
              </a:p>
            </c:rich>
          </c:tx>
          <c:layout>
            <c:manualLayout>
              <c:xMode val="edge"/>
              <c:yMode val="edge"/>
              <c:x val="0.45986927114879872"/>
              <c:y val="0.949577000549349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9496320"/>
        <c:crossesAt val="0"/>
        <c:auto val="1"/>
        <c:lblAlgn val="ctr"/>
        <c:lblOffset val="100"/>
        <c:tickLblSkip val="1"/>
        <c:tickMarkSkip val="1"/>
        <c:noMultiLvlLbl val="0"/>
      </c:catAx>
      <c:valAx>
        <c:axId val="39496320"/>
        <c:scaling>
          <c:orientation val="minMax"/>
          <c:max val="200"/>
          <c:min val="0"/>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Five year</a:t>
                </a:r>
                <a:r>
                  <a:rPr lang="en-AU" baseline="0"/>
                  <a:t> </a:t>
                </a:r>
                <a:r>
                  <a:rPr lang="en-AU"/>
                  <a:t>average number of deaths</a:t>
                </a:r>
              </a:p>
            </c:rich>
          </c:tx>
          <c:layout>
            <c:manualLayout>
              <c:xMode val="edge"/>
              <c:yMode val="edge"/>
              <c:x val="8.449809246383598E-2"/>
              <c:y val="0.11456424386231549"/>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9494400"/>
        <c:crosses val="autoZero"/>
        <c:crossBetween val="between"/>
        <c:majorUnit val="50"/>
        <c:minorUnit val="25"/>
      </c:valAx>
      <c:dTable>
        <c:showHorzBorder val="1"/>
        <c:showVertBorder val="1"/>
        <c:showOutline val="1"/>
        <c:showKeys val="1"/>
        <c:spPr>
          <a:ln w="6350">
            <a:solidFill>
              <a:sysClr val="windowText" lastClr="000000"/>
            </a:solidFill>
          </a:ln>
        </c:spPr>
      </c:dTable>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9525993212757"/>
          <c:y val="6.1578095172304566E-2"/>
          <c:w val="0.8411308470162161"/>
          <c:h val="0.72830231099486409"/>
        </c:manualLayout>
      </c:layout>
      <c:lineChart>
        <c:grouping val="standard"/>
        <c:varyColors val="0"/>
        <c:ser>
          <c:idx val="0"/>
          <c:order val="0"/>
          <c:tx>
            <c:v>Males</c:v>
          </c:tx>
          <c:spPr>
            <a:ln w="31750">
              <a:solidFill>
                <a:srgbClr val="00456B"/>
              </a:solidFill>
            </a:ln>
          </c:spPr>
          <c:marker>
            <c:symbol val="none"/>
          </c:marker>
          <c:cat>
            <c:strRef>
              <c:f>Incidence!$J$234:$T$234</c:f>
              <c:strCache>
                <c:ptCount val="11"/>
                <c:pt idx="0">
                  <c:v>35–39</c:v>
                </c:pt>
                <c:pt idx="1">
                  <c:v>40–44</c:v>
                </c:pt>
                <c:pt idx="2">
                  <c:v>45–49</c:v>
                </c:pt>
                <c:pt idx="3">
                  <c:v>50–54</c:v>
                </c:pt>
                <c:pt idx="4">
                  <c:v>55–59</c:v>
                </c:pt>
                <c:pt idx="5">
                  <c:v>60–64</c:v>
                </c:pt>
                <c:pt idx="6">
                  <c:v>65–69</c:v>
                </c:pt>
                <c:pt idx="7">
                  <c:v>70–74</c:v>
                </c:pt>
                <c:pt idx="8">
                  <c:v>75–79</c:v>
                </c:pt>
                <c:pt idx="9">
                  <c:v>80–84</c:v>
                </c:pt>
                <c:pt idx="10">
                  <c:v>85+</c:v>
                </c:pt>
              </c:strCache>
            </c:strRef>
          </c:cat>
          <c:val>
            <c:numRef>
              <c:f>Incidence!$J$235:$T$235</c:f>
              <c:numCache>
                <c:formatCode>0.0</c:formatCode>
                <c:ptCount val="11"/>
                <c:pt idx="0">
                  <c:v>0.18852626996838934</c:v>
                </c:pt>
                <c:pt idx="1">
                  <c:v>7.5049811773548081E-2</c:v>
                </c:pt>
                <c:pt idx="2">
                  <c:v>1.2128769448918415</c:v>
                </c:pt>
                <c:pt idx="3">
                  <c:v>2.3890450517152719</c:v>
                </c:pt>
                <c:pt idx="4">
                  <c:v>5.76506437142866</c:v>
                </c:pt>
                <c:pt idx="5">
                  <c:v>9.3036204637925355</c:v>
                </c:pt>
                <c:pt idx="6">
                  <c:v>19.514142476381853</c:v>
                </c:pt>
                <c:pt idx="7">
                  <c:v>31.388527726636493</c:v>
                </c:pt>
                <c:pt idx="8">
                  <c:v>39.925489038739691</c:v>
                </c:pt>
                <c:pt idx="9">
                  <c:v>44.478809791109192</c:v>
                </c:pt>
                <c:pt idx="10">
                  <c:v>37.748252139534522</c:v>
                </c:pt>
              </c:numCache>
            </c:numRef>
          </c:val>
          <c:smooth val="0"/>
        </c:ser>
        <c:ser>
          <c:idx val="1"/>
          <c:order val="1"/>
          <c:tx>
            <c:v>Females</c:v>
          </c:tx>
          <c:spPr>
            <a:ln w="31750">
              <a:solidFill>
                <a:srgbClr val="C4126B"/>
              </a:solidFill>
            </a:ln>
          </c:spPr>
          <c:marker>
            <c:symbol val="none"/>
          </c:marker>
          <c:cat>
            <c:strRef>
              <c:f>Incidence!$J$234:$T$234</c:f>
              <c:strCache>
                <c:ptCount val="11"/>
                <c:pt idx="0">
                  <c:v>35–39</c:v>
                </c:pt>
                <c:pt idx="1">
                  <c:v>40–44</c:v>
                </c:pt>
                <c:pt idx="2">
                  <c:v>45–49</c:v>
                </c:pt>
                <c:pt idx="3">
                  <c:v>50–54</c:v>
                </c:pt>
                <c:pt idx="4">
                  <c:v>55–59</c:v>
                </c:pt>
                <c:pt idx="5">
                  <c:v>60–64</c:v>
                </c:pt>
                <c:pt idx="6">
                  <c:v>65–69</c:v>
                </c:pt>
                <c:pt idx="7">
                  <c:v>70–74</c:v>
                </c:pt>
                <c:pt idx="8">
                  <c:v>75–79</c:v>
                </c:pt>
                <c:pt idx="9">
                  <c:v>80–84</c:v>
                </c:pt>
                <c:pt idx="10">
                  <c:v>85+</c:v>
                </c:pt>
              </c:strCache>
            </c:strRef>
          </c:cat>
          <c:val>
            <c:numRef>
              <c:f>Incidence!$J$236:$T$236</c:f>
              <c:numCache>
                <c:formatCode>0.0</c:formatCode>
                <c:ptCount val="11"/>
                <c:pt idx="0">
                  <c:v>0.28307940449694619</c:v>
                </c:pt>
                <c:pt idx="1">
                  <c:v>6.3678439316654942E-2</c:v>
                </c:pt>
                <c:pt idx="2">
                  <c:v>0.19126603480367832</c:v>
                </c:pt>
                <c:pt idx="3">
                  <c:v>0.66504445780712063</c:v>
                </c:pt>
                <c:pt idx="4">
                  <c:v>1.6439190337956058</c:v>
                </c:pt>
                <c:pt idx="5">
                  <c:v>2.585886369188664</c:v>
                </c:pt>
                <c:pt idx="6">
                  <c:v>2.1390391006798035</c:v>
                </c:pt>
                <c:pt idx="7">
                  <c:v>5.376680100578354</c:v>
                </c:pt>
                <c:pt idx="8">
                  <c:v>7.3664764522359247</c:v>
                </c:pt>
                <c:pt idx="9">
                  <c:v>7.8690664766987437</c:v>
                </c:pt>
                <c:pt idx="10">
                  <c:v>7.9597034181371695</c:v>
                </c:pt>
              </c:numCache>
            </c:numRef>
          </c:val>
          <c:smooth val="0"/>
        </c:ser>
        <c:dLbls>
          <c:showLegendKey val="0"/>
          <c:showVal val="0"/>
          <c:showCatName val="0"/>
          <c:showSerName val="0"/>
          <c:showPercent val="0"/>
          <c:showBubbleSize val="0"/>
        </c:dLbls>
        <c:marker val="1"/>
        <c:smooth val="0"/>
        <c:axId val="106758912"/>
        <c:axId val="106760832"/>
      </c:lineChart>
      <c:catAx>
        <c:axId val="106758912"/>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a:t>Age group (years)</a:t>
                </a:r>
              </a:p>
            </c:rich>
          </c:tx>
          <c:layout>
            <c:manualLayout>
              <c:xMode val="edge"/>
              <c:yMode val="edge"/>
              <c:x val="0.42315300960660862"/>
              <c:y val="0.91305294513606627"/>
            </c:manualLayout>
          </c:layout>
          <c:overlay val="0"/>
          <c:spPr>
            <a:noFill/>
            <a:ln w="25400">
              <a:noFill/>
            </a:ln>
          </c:spPr>
        </c:title>
        <c:numFmt formatCode="General" sourceLinked="1"/>
        <c:majorTickMark val="none"/>
        <c:minorTickMark val="out"/>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06760832"/>
        <c:crosses val="autoZero"/>
        <c:auto val="1"/>
        <c:lblAlgn val="ctr"/>
        <c:lblOffset val="100"/>
        <c:tickLblSkip val="1"/>
        <c:tickMarkSkip val="1"/>
        <c:noMultiLvlLbl val="0"/>
      </c:catAx>
      <c:valAx>
        <c:axId val="106760832"/>
        <c:scaling>
          <c:orientation val="minMax"/>
          <c:max val="50"/>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New cases per 100 000 population</a:t>
                </a:r>
              </a:p>
            </c:rich>
          </c:tx>
          <c:layout>
            <c:manualLayout>
              <c:xMode val="edge"/>
              <c:yMode val="edge"/>
              <c:x val="3.9527662185645275E-2"/>
              <c:y val="0.1244833784844419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6758912"/>
        <c:crosses val="autoZero"/>
        <c:crossBetween val="between"/>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86181650161243"/>
          <c:y val="6.5692497099279934E-2"/>
          <c:w val="0.77687477807894401"/>
          <c:h val="0.73288185433514152"/>
        </c:manualLayout>
      </c:layout>
      <c:lineChart>
        <c:grouping val="standard"/>
        <c:varyColors val="0"/>
        <c:ser>
          <c:idx val="0"/>
          <c:order val="0"/>
          <c:spPr>
            <a:ln w="25400">
              <a:solidFill>
                <a:srgbClr val="00456B"/>
              </a:solidFill>
              <a:prstDash val="solid"/>
            </a:ln>
          </c:spPr>
          <c:marker>
            <c:symbol val="none"/>
          </c:marker>
          <c:cat>
            <c:numRef>
              <c:f>Incidence!$B$7:$AC$7</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Incidence!$B$8:$AC$8</c:f>
              <c:numCache>
                <c:formatCode>0</c:formatCode>
                <c:ptCount val="28"/>
                <c:pt idx="0">
                  <c:v>134</c:v>
                </c:pt>
                <c:pt idx="1">
                  <c:v>131</c:v>
                </c:pt>
                <c:pt idx="2">
                  <c:v>149</c:v>
                </c:pt>
                <c:pt idx="3">
                  <c:v>178</c:v>
                </c:pt>
                <c:pt idx="4">
                  <c:v>195</c:v>
                </c:pt>
                <c:pt idx="5">
                  <c:v>174</c:v>
                </c:pt>
                <c:pt idx="6">
                  <c:v>246</c:v>
                </c:pt>
                <c:pt idx="7">
                  <c:v>229</c:v>
                </c:pt>
                <c:pt idx="8">
                  <c:v>257</c:v>
                </c:pt>
                <c:pt idx="9">
                  <c:v>260</c:v>
                </c:pt>
                <c:pt idx="10">
                  <c:v>287</c:v>
                </c:pt>
                <c:pt idx="11">
                  <c:v>318</c:v>
                </c:pt>
                <c:pt idx="12">
                  <c:v>373</c:v>
                </c:pt>
                <c:pt idx="13">
                  <c:v>335</c:v>
                </c:pt>
                <c:pt idx="14">
                  <c:v>362</c:v>
                </c:pt>
                <c:pt idx="15">
                  <c:v>393</c:v>
                </c:pt>
                <c:pt idx="16">
                  <c:v>412</c:v>
                </c:pt>
                <c:pt idx="17">
                  <c:v>401</c:v>
                </c:pt>
                <c:pt idx="18">
                  <c:v>403</c:v>
                </c:pt>
                <c:pt idx="19">
                  <c:v>468</c:v>
                </c:pt>
                <c:pt idx="20">
                  <c:v>455</c:v>
                </c:pt>
                <c:pt idx="21">
                  <c:v>541</c:v>
                </c:pt>
                <c:pt idx="22">
                  <c:v>512</c:v>
                </c:pt>
                <c:pt idx="23">
                  <c:v>499</c:v>
                </c:pt>
                <c:pt idx="24">
                  <c:v>487</c:v>
                </c:pt>
                <c:pt idx="25">
                  <c:v>566</c:v>
                </c:pt>
                <c:pt idx="26">
                  <c:v>547</c:v>
                </c:pt>
                <c:pt idx="27">
                  <c:v>539.97100112999999</c:v>
                </c:pt>
              </c:numCache>
            </c:numRef>
          </c:val>
          <c:smooth val="0"/>
        </c:ser>
        <c:ser>
          <c:idx val="1"/>
          <c:order val="1"/>
          <c:spPr>
            <a:ln w="25400">
              <a:solidFill>
                <a:srgbClr val="C4126B"/>
              </a:solidFill>
              <a:prstDash val="solid"/>
            </a:ln>
          </c:spPr>
          <c:marker>
            <c:symbol val="none"/>
          </c:marker>
          <c:cat>
            <c:numRef>
              <c:f>Incidence!$B$7:$AC$7</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Incidence!$B$9:$AC$9</c:f>
              <c:numCache>
                <c:formatCode>0</c:formatCode>
                <c:ptCount val="28"/>
                <c:pt idx="0">
                  <c:v>22</c:v>
                </c:pt>
                <c:pt idx="1">
                  <c:v>15</c:v>
                </c:pt>
                <c:pt idx="2">
                  <c:v>17</c:v>
                </c:pt>
                <c:pt idx="3">
                  <c:v>24</c:v>
                </c:pt>
                <c:pt idx="4">
                  <c:v>30</c:v>
                </c:pt>
                <c:pt idx="5">
                  <c:v>29</c:v>
                </c:pt>
                <c:pt idx="6">
                  <c:v>31</c:v>
                </c:pt>
                <c:pt idx="7">
                  <c:v>40</c:v>
                </c:pt>
                <c:pt idx="8">
                  <c:v>34</c:v>
                </c:pt>
                <c:pt idx="9">
                  <c:v>47</c:v>
                </c:pt>
                <c:pt idx="10">
                  <c:v>39</c:v>
                </c:pt>
                <c:pt idx="11">
                  <c:v>51</c:v>
                </c:pt>
                <c:pt idx="12">
                  <c:v>47</c:v>
                </c:pt>
                <c:pt idx="13">
                  <c:v>59</c:v>
                </c:pt>
                <c:pt idx="14">
                  <c:v>53</c:v>
                </c:pt>
                <c:pt idx="15">
                  <c:v>75</c:v>
                </c:pt>
                <c:pt idx="16">
                  <c:v>61</c:v>
                </c:pt>
                <c:pt idx="17">
                  <c:v>76</c:v>
                </c:pt>
                <c:pt idx="18">
                  <c:v>77</c:v>
                </c:pt>
                <c:pt idx="19">
                  <c:v>107</c:v>
                </c:pt>
                <c:pt idx="20">
                  <c:v>108</c:v>
                </c:pt>
                <c:pt idx="21">
                  <c:v>112</c:v>
                </c:pt>
                <c:pt idx="22">
                  <c:v>93</c:v>
                </c:pt>
                <c:pt idx="23">
                  <c:v>113</c:v>
                </c:pt>
                <c:pt idx="24">
                  <c:v>104</c:v>
                </c:pt>
                <c:pt idx="25">
                  <c:v>109</c:v>
                </c:pt>
                <c:pt idx="26">
                  <c:v>116</c:v>
                </c:pt>
                <c:pt idx="27">
                  <c:v>126.16842839000002</c:v>
                </c:pt>
              </c:numCache>
            </c:numRef>
          </c:val>
          <c:smooth val="0"/>
        </c:ser>
        <c:ser>
          <c:idx val="2"/>
          <c:order val="2"/>
          <c:spPr>
            <a:ln w="38100">
              <a:solidFill>
                <a:srgbClr val="000000"/>
              </a:solidFill>
              <a:prstDash val="solid"/>
            </a:ln>
          </c:spPr>
          <c:marker>
            <c:symbol val="none"/>
          </c:marker>
          <c:cat>
            <c:numRef>
              <c:f>Incidence!$B$7:$AC$7</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Incidence!$B$10:$AC$10</c:f>
              <c:numCache>
                <c:formatCode>0</c:formatCode>
                <c:ptCount val="28"/>
                <c:pt idx="0">
                  <c:v>156</c:v>
                </c:pt>
                <c:pt idx="1">
                  <c:v>146</c:v>
                </c:pt>
                <c:pt idx="2">
                  <c:v>166</c:v>
                </c:pt>
                <c:pt idx="3">
                  <c:v>202</c:v>
                </c:pt>
                <c:pt idx="4">
                  <c:v>225</c:v>
                </c:pt>
                <c:pt idx="5">
                  <c:v>203</c:v>
                </c:pt>
                <c:pt idx="6">
                  <c:v>277</c:v>
                </c:pt>
                <c:pt idx="7">
                  <c:v>269</c:v>
                </c:pt>
                <c:pt idx="8">
                  <c:v>291</c:v>
                </c:pt>
                <c:pt idx="9">
                  <c:v>307</c:v>
                </c:pt>
                <c:pt idx="10">
                  <c:v>326</c:v>
                </c:pt>
                <c:pt idx="11">
                  <c:v>369</c:v>
                </c:pt>
                <c:pt idx="12">
                  <c:v>420</c:v>
                </c:pt>
                <c:pt idx="13">
                  <c:v>394</c:v>
                </c:pt>
                <c:pt idx="14">
                  <c:v>415</c:v>
                </c:pt>
                <c:pt idx="15">
                  <c:v>468</c:v>
                </c:pt>
                <c:pt idx="16">
                  <c:v>473</c:v>
                </c:pt>
                <c:pt idx="17">
                  <c:v>477</c:v>
                </c:pt>
                <c:pt idx="18">
                  <c:v>480</c:v>
                </c:pt>
                <c:pt idx="19">
                  <c:v>575</c:v>
                </c:pt>
                <c:pt idx="20">
                  <c:v>563</c:v>
                </c:pt>
                <c:pt idx="21">
                  <c:v>653</c:v>
                </c:pt>
                <c:pt idx="22">
                  <c:v>605</c:v>
                </c:pt>
                <c:pt idx="23">
                  <c:v>612</c:v>
                </c:pt>
                <c:pt idx="24">
                  <c:v>591</c:v>
                </c:pt>
                <c:pt idx="25">
                  <c:v>675</c:v>
                </c:pt>
                <c:pt idx="26">
                  <c:v>663</c:v>
                </c:pt>
                <c:pt idx="27">
                  <c:v>666.13942952000002</c:v>
                </c:pt>
              </c:numCache>
            </c:numRef>
          </c:val>
          <c:smooth val="0"/>
        </c:ser>
        <c:dLbls>
          <c:showLegendKey val="0"/>
          <c:showVal val="0"/>
          <c:showCatName val="0"/>
          <c:showSerName val="0"/>
          <c:showPercent val="0"/>
          <c:showBubbleSize val="0"/>
        </c:dLbls>
        <c:marker val="1"/>
        <c:smooth val="0"/>
        <c:axId val="106792064"/>
        <c:axId val="106793984"/>
      </c:lineChart>
      <c:catAx>
        <c:axId val="106792064"/>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a:t>Year of diagnosis</a:t>
                </a:r>
              </a:p>
            </c:rich>
          </c:tx>
          <c:layout>
            <c:manualLayout>
              <c:xMode val="edge"/>
              <c:yMode val="edge"/>
              <c:x val="0.46670972843458075"/>
              <c:y val="0.91449899471227458"/>
            </c:manualLayout>
          </c:layout>
          <c:overlay val="0"/>
          <c:spPr>
            <a:noFill/>
            <a:ln w="25400">
              <a:noFill/>
            </a:ln>
          </c:spPr>
        </c:title>
        <c:numFmt formatCode="General" sourceLinked="1"/>
        <c:majorTickMark val="none"/>
        <c:minorTickMark val="out"/>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06793984"/>
        <c:crosses val="autoZero"/>
        <c:auto val="1"/>
        <c:lblAlgn val="ctr"/>
        <c:lblOffset val="100"/>
        <c:tickLblSkip val="1"/>
        <c:tickMarkSkip val="1"/>
        <c:noMultiLvlLbl val="0"/>
      </c:catAx>
      <c:valAx>
        <c:axId val="106793984"/>
        <c:scaling>
          <c:orientation val="minMax"/>
          <c:max val="700"/>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Number of new cases</a:t>
                </a:r>
              </a:p>
            </c:rich>
          </c:tx>
          <c:layout>
            <c:manualLayout>
              <c:xMode val="edge"/>
              <c:yMode val="edge"/>
              <c:x val="8.9767114483258276E-2"/>
              <c:y val="0.2162163981470836"/>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6792064"/>
        <c:crosses val="autoZero"/>
        <c:crossBetween val="between"/>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82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92941301489048"/>
          <c:y val="4.6099131521501198E-2"/>
          <c:w val="0.85513689972754259"/>
          <c:h val="0.74868396763865364"/>
        </c:manualLayout>
      </c:layout>
      <c:lineChart>
        <c:grouping val="standard"/>
        <c:varyColors val="0"/>
        <c:ser>
          <c:idx val="1"/>
          <c:order val="0"/>
          <c:spPr>
            <a:ln w="25400">
              <a:solidFill>
                <a:srgbClr val="0000FF"/>
              </a:solidFill>
              <a:prstDash val="solid"/>
            </a:ln>
          </c:spPr>
          <c:marker>
            <c:symbol val="none"/>
          </c:marker>
          <c:cat>
            <c:numRef>
              <c:f>Incidence!$B$297:$AC$297</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Incidence!$B$296:$Z$296</c:f>
              <c:numCache>
                <c:formatCode>General</c:formatCode>
                <c:ptCount val="25"/>
                <c:pt idx="0">
                  <c:v>0</c:v>
                </c:pt>
              </c:numCache>
            </c:numRef>
          </c:val>
          <c:smooth val="0"/>
        </c:ser>
        <c:ser>
          <c:idx val="3"/>
          <c:order val="1"/>
          <c:spPr>
            <a:ln w="31750">
              <a:solidFill>
                <a:srgbClr val="00456B"/>
              </a:solidFill>
              <a:prstDash val="solid"/>
            </a:ln>
          </c:spPr>
          <c:marker>
            <c:symbol val="none"/>
          </c:marker>
          <c:cat>
            <c:numRef>
              <c:f>Incidence!$B$297:$AC$297</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Incidence!$B$299:$AC$299</c:f>
              <c:numCache>
                <c:formatCode>#,##0.0</c:formatCode>
                <c:ptCount val="28"/>
                <c:pt idx="0">
                  <c:v>0.65464210352510221</c:v>
                </c:pt>
                <c:pt idx="1">
                  <c:v>1.3266007183193784</c:v>
                </c:pt>
                <c:pt idx="2">
                  <c:v>0.33693607850880181</c:v>
                </c:pt>
                <c:pt idx="3">
                  <c:v>0.97350761282953235</c:v>
                </c:pt>
                <c:pt idx="4">
                  <c:v>0.75233034323818027</c:v>
                </c:pt>
                <c:pt idx="5">
                  <c:v>0.85143338810888125</c:v>
                </c:pt>
                <c:pt idx="6">
                  <c:v>0.76556196075729388</c:v>
                </c:pt>
                <c:pt idx="7">
                  <c:v>0.9708571526472991</c:v>
                </c:pt>
                <c:pt idx="8">
                  <c:v>0.88877482945244257</c:v>
                </c:pt>
                <c:pt idx="9">
                  <c:v>1.1376786155426402</c:v>
                </c:pt>
                <c:pt idx="10">
                  <c:v>1.1634086816728759</c:v>
                </c:pt>
                <c:pt idx="11">
                  <c:v>1.1888737953607043</c:v>
                </c:pt>
                <c:pt idx="12">
                  <c:v>1.4714037750132301</c:v>
                </c:pt>
                <c:pt idx="13">
                  <c:v>0.54680039747417986</c:v>
                </c:pt>
                <c:pt idx="14">
                  <c:v>0.82643382622819006</c:v>
                </c:pt>
                <c:pt idx="15">
                  <c:v>0.67492420360149197</c:v>
                </c:pt>
                <c:pt idx="16">
                  <c:v>0.85883967896572799</c:v>
                </c:pt>
                <c:pt idx="17">
                  <c:v>0.66068370381172026</c:v>
                </c:pt>
                <c:pt idx="18">
                  <c:v>0.65564281328838125</c:v>
                </c:pt>
                <c:pt idx="19">
                  <c:v>0.5114078826551367</c:v>
                </c:pt>
                <c:pt idx="20">
                  <c:v>0.69131655707762973</c:v>
                </c:pt>
                <c:pt idx="21">
                  <c:v>0.41167736570398206</c:v>
                </c:pt>
                <c:pt idx="22">
                  <c:v>0.54387458977125991</c:v>
                </c:pt>
                <c:pt idx="23">
                  <c:v>0.49345831286602831</c:v>
                </c:pt>
                <c:pt idx="24">
                  <c:v>0.66423203484826954</c:v>
                </c:pt>
                <c:pt idx="25">
                  <c:v>0.52412938832790057</c:v>
                </c:pt>
                <c:pt idx="26">
                  <c:v>0.34520239863886693</c:v>
                </c:pt>
                <c:pt idx="27">
                  <c:v>0.49259351877692192</c:v>
                </c:pt>
              </c:numCache>
            </c:numRef>
          </c:val>
          <c:smooth val="0"/>
        </c:ser>
        <c:ser>
          <c:idx val="4"/>
          <c:order val="2"/>
          <c:spPr>
            <a:ln w="31750" cmpd="sng">
              <a:solidFill>
                <a:srgbClr val="00456B"/>
              </a:solidFill>
              <a:prstDash val="solid"/>
            </a:ln>
          </c:spPr>
          <c:marker>
            <c:symbol val="none"/>
          </c:marker>
          <c:cat>
            <c:numRef>
              <c:f>Incidence!$B$297:$AC$297</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Incidence!$B$300:$AC$300</c:f>
              <c:numCache>
                <c:formatCode>#,##0.0</c:formatCode>
                <c:ptCount val="28"/>
                <c:pt idx="0">
                  <c:v>5.78976612146369</c:v>
                </c:pt>
                <c:pt idx="1">
                  <c:v>4.7957472788745488</c:v>
                </c:pt>
                <c:pt idx="2">
                  <c:v>6.1024871733916992</c:v>
                </c:pt>
                <c:pt idx="3">
                  <c:v>5.6120075237107319</c:v>
                </c:pt>
                <c:pt idx="4">
                  <c:v>7.0951795888747586</c:v>
                </c:pt>
                <c:pt idx="5">
                  <c:v>5.6229516390457768</c:v>
                </c:pt>
                <c:pt idx="6">
                  <c:v>7.5199610731426798</c:v>
                </c:pt>
                <c:pt idx="7">
                  <c:v>7.2691285365842973</c:v>
                </c:pt>
                <c:pt idx="8">
                  <c:v>7.2726894925221162</c:v>
                </c:pt>
                <c:pt idx="9">
                  <c:v>7.0214917587381178</c:v>
                </c:pt>
                <c:pt idx="10">
                  <c:v>8.1149482418457453</c:v>
                </c:pt>
                <c:pt idx="11">
                  <c:v>8.5178448850341457</c:v>
                </c:pt>
                <c:pt idx="12">
                  <c:v>9.3142733886307045</c:v>
                </c:pt>
                <c:pt idx="13">
                  <c:v>7.8791356508603778</c:v>
                </c:pt>
                <c:pt idx="14">
                  <c:v>9.293637111351714</c:v>
                </c:pt>
                <c:pt idx="15">
                  <c:v>7.7539301348740768</c:v>
                </c:pt>
                <c:pt idx="16">
                  <c:v>9.1286072151379205</c:v>
                </c:pt>
                <c:pt idx="17">
                  <c:v>7.2874532530305922</c:v>
                </c:pt>
                <c:pt idx="18">
                  <c:v>8.2599064795033037</c:v>
                </c:pt>
                <c:pt idx="19">
                  <c:v>7.6610886343634652</c:v>
                </c:pt>
                <c:pt idx="20">
                  <c:v>7.3201533664401115</c:v>
                </c:pt>
                <c:pt idx="21">
                  <c:v>7.9501139317079232</c:v>
                </c:pt>
                <c:pt idx="22">
                  <c:v>6.7601667663208502</c:v>
                </c:pt>
                <c:pt idx="23">
                  <c:v>6.3590730061325313</c:v>
                </c:pt>
                <c:pt idx="24">
                  <c:v>6.2459408293835583</c:v>
                </c:pt>
                <c:pt idx="25">
                  <c:v>5.9859153030733632</c:v>
                </c:pt>
                <c:pt idx="26">
                  <c:v>5.6276543989060261</c:v>
                </c:pt>
                <c:pt idx="27">
                  <c:v>5.5918266919413906</c:v>
                </c:pt>
              </c:numCache>
            </c:numRef>
          </c:val>
          <c:smooth val="0"/>
        </c:ser>
        <c:ser>
          <c:idx val="0"/>
          <c:order val="3"/>
          <c:spPr>
            <a:ln w="31750">
              <a:solidFill>
                <a:srgbClr val="00456B"/>
              </a:solidFill>
              <a:prstDash val="sysDash"/>
            </a:ln>
          </c:spPr>
          <c:marker>
            <c:symbol val="none"/>
          </c:marker>
          <c:cat>
            <c:numRef>
              <c:f>Incidence!$B$297:$AC$297</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Incidence!$B$301:$AC$301</c:f>
              <c:numCache>
                <c:formatCode>#,##0.0</c:formatCode>
                <c:ptCount val="28"/>
                <c:pt idx="0">
                  <c:v>10.057602633263235</c:v>
                </c:pt>
                <c:pt idx="1">
                  <c:v>8.9636256072856355</c:v>
                </c:pt>
                <c:pt idx="2">
                  <c:v>11.777527773871467</c:v>
                </c:pt>
                <c:pt idx="3">
                  <c:v>14.178848233366759</c:v>
                </c:pt>
                <c:pt idx="4">
                  <c:v>14.799272533536797</c:v>
                </c:pt>
                <c:pt idx="5">
                  <c:v>13.821019387554092</c:v>
                </c:pt>
                <c:pt idx="6">
                  <c:v>18.668806122134107</c:v>
                </c:pt>
                <c:pt idx="7">
                  <c:v>16.144318246368275</c:v>
                </c:pt>
                <c:pt idx="8">
                  <c:v>19.381708912963013</c:v>
                </c:pt>
                <c:pt idx="9">
                  <c:v>18.653842620921413</c:v>
                </c:pt>
                <c:pt idx="10">
                  <c:v>19.138993151269645</c:v>
                </c:pt>
                <c:pt idx="11">
                  <c:v>20.706049393339644</c:v>
                </c:pt>
                <c:pt idx="12">
                  <c:v>24.225507879873078</c:v>
                </c:pt>
                <c:pt idx="13">
                  <c:v>23.363159008885745</c:v>
                </c:pt>
                <c:pt idx="14">
                  <c:v>21.938036394445895</c:v>
                </c:pt>
                <c:pt idx="15">
                  <c:v>28.042694075208775</c:v>
                </c:pt>
                <c:pt idx="16">
                  <c:v>24.863131493219036</c:v>
                </c:pt>
                <c:pt idx="17">
                  <c:v>25.220740966335072</c:v>
                </c:pt>
                <c:pt idx="18">
                  <c:v>22.908511628125542</c:v>
                </c:pt>
                <c:pt idx="19">
                  <c:v>27.928447778418924</c:v>
                </c:pt>
                <c:pt idx="20">
                  <c:v>25.890114631889126</c:v>
                </c:pt>
                <c:pt idx="21">
                  <c:v>31.405245011204183</c:v>
                </c:pt>
                <c:pt idx="22">
                  <c:v>29.890766830040221</c:v>
                </c:pt>
                <c:pt idx="23">
                  <c:v>27.31550160114185</c:v>
                </c:pt>
                <c:pt idx="24">
                  <c:v>27.165291246939923</c:v>
                </c:pt>
                <c:pt idx="25">
                  <c:v>31.282499616737589</c:v>
                </c:pt>
                <c:pt idx="26">
                  <c:v>29.291421262328495</c:v>
                </c:pt>
                <c:pt idx="27">
                  <c:v>28.514378901765664</c:v>
                </c:pt>
              </c:numCache>
            </c:numRef>
          </c:val>
          <c:smooth val="0"/>
        </c:ser>
        <c:ser>
          <c:idx val="5"/>
          <c:order val="4"/>
          <c:spPr>
            <a:ln w="31750">
              <a:solidFill>
                <a:srgbClr val="00456B"/>
              </a:solidFill>
            </a:ln>
          </c:spPr>
          <c:marker>
            <c:symbol val="none"/>
          </c:marker>
          <c:val>
            <c:numRef>
              <c:f>Incidence!$B$302:$AC$302</c:f>
              <c:numCache>
                <c:formatCode>#,##0.0</c:formatCode>
                <c:ptCount val="28"/>
                <c:pt idx="0">
                  <c:v>7.1996832139385862</c:v>
                </c:pt>
                <c:pt idx="1">
                  <c:v>8.0656311932525231</c:v>
                </c:pt>
                <c:pt idx="2">
                  <c:v>8.7611704923777829</c:v>
                </c:pt>
                <c:pt idx="3">
                  <c:v>17.741228527895473</c:v>
                </c:pt>
                <c:pt idx="4">
                  <c:v>11.875544295780223</c:v>
                </c:pt>
                <c:pt idx="5">
                  <c:v>6.5653107736749794</c:v>
                </c:pt>
                <c:pt idx="6">
                  <c:v>23.282678582622168</c:v>
                </c:pt>
                <c:pt idx="7">
                  <c:v>17.087299010645388</c:v>
                </c:pt>
                <c:pt idx="8">
                  <c:v>19.617138840300143</c:v>
                </c:pt>
                <c:pt idx="9">
                  <c:v>18.657731686270242</c:v>
                </c:pt>
                <c:pt idx="10">
                  <c:v>19.895658325227696</c:v>
                </c:pt>
                <c:pt idx="11">
                  <c:v>26.471981497478197</c:v>
                </c:pt>
                <c:pt idx="12">
                  <c:v>29.639777899264274</c:v>
                </c:pt>
                <c:pt idx="13">
                  <c:v>26.980392156862745</c:v>
                </c:pt>
                <c:pt idx="14">
                  <c:v>29.49035845831628</c:v>
                </c:pt>
                <c:pt idx="15">
                  <c:v>27.225070234888637</c:v>
                </c:pt>
                <c:pt idx="16">
                  <c:v>33.520114862260257</c:v>
                </c:pt>
                <c:pt idx="17">
                  <c:v>35.595057680173014</c:v>
                </c:pt>
                <c:pt idx="18">
                  <c:v>34.607887544723056</c:v>
                </c:pt>
                <c:pt idx="19">
                  <c:v>44.249471861142304</c:v>
                </c:pt>
                <c:pt idx="20">
                  <c:v>41.427818780310979</c:v>
                </c:pt>
                <c:pt idx="21">
                  <c:v>50.205111481093702</c:v>
                </c:pt>
                <c:pt idx="22">
                  <c:v>45.467020025969454</c:v>
                </c:pt>
                <c:pt idx="23" formatCode="#,##0">
                  <c:v>47.805234478845207</c:v>
                </c:pt>
                <c:pt idx="24" formatCode="#,##0">
                  <c:v>37.70125818708695</c:v>
                </c:pt>
                <c:pt idx="25" formatCode="#,##0">
                  <c:v>49.463097372141398</c:v>
                </c:pt>
                <c:pt idx="26" formatCode="#,##0">
                  <c:v>47.58553667772528</c:v>
                </c:pt>
                <c:pt idx="27" formatCode="#,##0">
                  <c:v>41.719678095274844</c:v>
                </c:pt>
              </c:numCache>
            </c:numRef>
          </c:val>
          <c:smooth val="0"/>
        </c:ser>
        <c:dLbls>
          <c:showLegendKey val="0"/>
          <c:showVal val="0"/>
          <c:showCatName val="0"/>
          <c:showSerName val="0"/>
          <c:showPercent val="0"/>
          <c:showBubbleSize val="0"/>
        </c:dLbls>
        <c:marker val="1"/>
        <c:smooth val="0"/>
        <c:axId val="108310528"/>
        <c:axId val="108312448"/>
      </c:lineChart>
      <c:catAx>
        <c:axId val="108310528"/>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a:t>Year of diagnosis</a:t>
                </a:r>
              </a:p>
            </c:rich>
          </c:tx>
          <c:layout>
            <c:manualLayout>
              <c:xMode val="edge"/>
              <c:yMode val="edge"/>
              <c:x val="0.43837440889709495"/>
              <c:y val="0.91848912536481297"/>
            </c:manualLayout>
          </c:layout>
          <c:overlay val="0"/>
          <c:spPr>
            <a:noFill/>
            <a:ln w="25400">
              <a:noFill/>
            </a:ln>
          </c:spPr>
        </c:title>
        <c:numFmt formatCode="General" sourceLinked="1"/>
        <c:majorTickMark val="none"/>
        <c:minorTickMark val="out"/>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08312448"/>
        <c:crosses val="autoZero"/>
        <c:auto val="1"/>
        <c:lblAlgn val="ctr"/>
        <c:lblOffset val="100"/>
        <c:tickLblSkip val="1"/>
        <c:tickMarkSkip val="1"/>
        <c:noMultiLvlLbl val="0"/>
      </c:catAx>
      <c:valAx>
        <c:axId val="108312448"/>
        <c:scaling>
          <c:orientation val="minMax"/>
          <c:max val="52"/>
          <c:min val="0"/>
        </c:scaling>
        <c:delete val="0"/>
        <c:axPos val="l"/>
        <c:majorGridlines>
          <c:spPr>
            <a:ln w="3175">
              <a:solidFill>
                <a:schemeClr val="tx1"/>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New cases per 100 000 population</a:t>
                </a:r>
              </a:p>
            </c:rich>
          </c:tx>
          <c:layout>
            <c:manualLayout>
              <c:xMode val="edge"/>
              <c:yMode val="edge"/>
              <c:x val="3.0927259474250495E-2"/>
              <c:y val="0.1146714128450229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8310528"/>
        <c:crosses val="autoZero"/>
        <c:crossBetween val="between"/>
        <c:majorUnit val="10"/>
        <c:minorUnit val="2"/>
      </c:valAx>
      <c:spPr>
        <a:ln w="3175">
          <a:solidFill>
            <a:schemeClr val="tx1"/>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782556605551033E-2"/>
          <c:y val="6.5015479876160992E-2"/>
          <c:w val="0.87090097730393623"/>
          <c:h val="0.72719680395450381"/>
        </c:manualLayout>
      </c:layout>
      <c:lineChart>
        <c:grouping val="standard"/>
        <c:varyColors val="0"/>
        <c:ser>
          <c:idx val="2"/>
          <c:order val="0"/>
          <c:tx>
            <c:strRef>
              <c:f>Incidence!$A$308</c:f>
              <c:strCache>
                <c:ptCount val="1"/>
                <c:pt idx="0">
                  <c:v>35-49</c:v>
                </c:pt>
              </c:strCache>
            </c:strRef>
          </c:tx>
          <c:spPr>
            <a:ln w="31750">
              <a:solidFill>
                <a:srgbClr val="C4126B"/>
              </a:solidFill>
              <a:prstDash val="solid"/>
            </a:ln>
          </c:spPr>
          <c:marker>
            <c:symbol val="none"/>
          </c:marker>
          <c:cat>
            <c:numRef>
              <c:f>Incidence!$B$306:$AC$306</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Incidence!$B$308:$AC$308</c:f>
              <c:numCache>
                <c:formatCode>#,##0.0</c:formatCode>
                <c:ptCount val="28"/>
                <c:pt idx="0">
                  <c:v>0.30474541948587924</c:v>
                </c:pt>
                <c:pt idx="1">
                  <c:v>7.3181423334775009E-2</c:v>
                </c:pt>
                <c:pt idx="2">
                  <c:v>0.14103815364132305</c:v>
                </c:pt>
                <c:pt idx="3">
                  <c:v>0.33921509697141977</c:v>
                </c:pt>
                <c:pt idx="4">
                  <c:v>0.39260540800862687</c:v>
                </c:pt>
                <c:pt idx="5">
                  <c:v>0.31608239888840139</c:v>
                </c:pt>
                <c:pt idx="6">
                  <c:v>0.30492601884930676</c:v>
                </c:pt>
                <c:pt idx="7">
                  <c:v>0.29454178723243823</c:v>
                </c:pt>
                <c:pt idx="8">
                  <c:v>0.17104991578642481</c:v>
                </c:pt>
                <c:pt idx="9">
                  <c:v>0.49835570304423354</c:v>
                </c:pt>
                <c:pt idx="10">
                  <c:v>0.26915466057444065</c:v>
                </c:pt>
                <c:pt idx="11">
                  <c:v>0.4716449666311186</c:v>
                </c:pt>
                <c:pt idx="12">
                  <c:v>0.30755540610641008</c:v>
                </c:pt>
                <c:pt idx="13">
                  <c:v>0.15025362812427379</c:v>
                </c:pt>
                <c:pt idx="14">
                  <c:v>0.19531469347556149</c:v>
                </c:pt>
                <c:pt idx="15">
                  <c:v>0.38515830969424208</c:v>
                </c:pt>
                <c:pt idx="16">
                  <c:v>0.37944724023279086</c:v>
                </c:pt>
                <c:pt idx="17">
                  <c:v>0.28067719923449974</c:v>
                </c:pt>
                <c:pt idx="18">
                  <c:v>0.32415676406342542</c:v>
                </c:pt>
                <c:pt idx="19">
                  <c:v>0.32122911437133167</c:v>
                </c:pt>
                <c:pt idx="20">
                  <c:v>0.22744889678187105</c:v>
                </c:pt>
                <c:pt idx="21">
                  <c:v>0.31572376515925105</c:v>
                </c:pt>
                <c:pt idx="22">
                  <c:v>0.40202639169252657</c:v>
                </c:pt>
                <c:pt idx="23">
                  <c:v>0.13266223928553425</c:v>
                </c:pt>
                <c:pt idx="24">
                  <c:v>0.52342478582112051</c:v>
                </c:pt>
                <c:pt idx="25">
                  <c:v>0.25789280943268739</c:v>
                </c:pt>
                <c:pt idx="26">
                  <c:v>0.33967146127087228</c:v>
                </c:pt>
                <c:pt idx="27">
                  <c:v>0.18147047992279858</c:v>
                </c:pt>
              </c:numCache>
            </c:numRef>
          </c:val>
          <c:smooth val="0"/>
        </c:ser>
        <c:ser>
          <c:idx val="3"/>
          <c:order val="1"/>
          <c:tx>
            <c:strRef>
              <c:f>Incidence!$A$309</c:f>
              <c:strCache>
                <c:ptCount val="1"/>
                <c:pt idx="0">
                  <c:v>50-64</c:v>
                </c:pt>
              </c:strCache>
            </c:strRef>
          </c:tx>
          <c:spPr>
            <a:ln w="31750">
              <a:solidFill>
                <a:srgbClr val="C4126B"/>
              </a:solidFill>
              <a:prstDash val="sysDot"/>
            </a:ln>
          </c:spPr>
          <c:marker>
            <c:symbol val="square"/>
            <c:size val="7"/>
            <c:spPr>
              <a:noFill/>
              <a:ln w="9525">
                <a:noFill/>
              </a:ln>
            </c:spPr>
          </c:marker>
          <c:cat>
            <c:numRef>
              <c:f>Incidence!$B$306:$AC$306</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Incidence!$B$309:$AC$309</c:f>
              <c:numCache>
                <c:formatCode>#,##0.0</c:formatCode>
                <c:ptCount val="28"/>
                <c:pt idx="0">
                  <c:v>0.74234503083515668</c:v>
                </c:pt>
                <c:pt idx="1">
                  <c:v>0.4608307672740109</c:v>
                </c:pt>
                <c:pt idx="2">
                  <c:v>0.27448221218023966</c:v>
                </c:pt>
                <c:pt idx="3">
                  <c:v>0.18250872847993954</c:v>
                </c:pt>
                <c:pt idx="4">
                  <c:v>0.63729756697997431</c:v>
                </c:pt>
                <c:pt idx="5">
                  <c:v>0.90613443954225703</c:v>
                </c:pt>
                <c:pt idx="6">
                  <c:v>0.72008756264761797</c:v>
                </c:pt>
                <c:pt idx="7">
                  <c:v>1.2491412154144026</c:v>
                </c:pt>
                <c:pt idx="8">
                  <c:v>1.061317625832471</c:v>
                </c:pt>
                <c:pt idx="9">
                  <c:v>1.0508718295415835</c:v>
                </c:pt>
                <c:pt idx="10">
                  <c:v>0.77861743497462998</c:v>
                </c:pt>
                <c:pt idx="11">
                  <c:v>1.1117468022313612</c:v>
                </c:pt>
                <c:pt idx="12">
                  <c:v>1.087279250948233</c:v>
                </c:pt>
                <c:pt idx="13">
                  <c:v>1.791112337751682</c:v>
                </c:pt>
                <c:pt idx="14">
                  <c:v>0.95116708200962585</c:v>
                </c:pt>
                <c:pt idx="15">
                  <c:v>1.8910026095836012</c:v>
                </c:pt>
                <c:pt idx="16">
                  <c:v>1.2331788958116165</c:v>
                </c:pt>
                <c:pt idx="17">
                  <c:v>1.5332997865925477</c:v>
                </c:pt>
                <c:pt idx="18">
                  <c:v>1.2722049990960649</c:v>
                </c:pt>
                <c:pt idx="19">
                  <c:v>1.8683279753123008</c:v>
                </c:pt>
                <c:pt idx="20">
                  <c:v>1.8703988189054925</c:v>
                </c:pt>
                <c:pt idx="21">
                  <c:v>1.6897794294701152</c:v>
                </c:pt>
                <c:pt idx="22">
                  <c:v>1.5816519006769469</c:v>
                </c:pt>
                <c:pt idx="23">
                  <c:v>1.7041842836716992</c:v>
                </c:pt>
                <c:pt idx="24">
                  <c:v>1.4884529130677344</c:v>
                </c:pt>
                <c:pt idx="25">
                  <c:v>1.9281610057287806</c:v>
                </c:pt>
                <c:pt idx="26">
                  <c:v>1.1445939526939319</c:v>
                </c:pt>
                <c:pt idx="27">
                  <c:v>1.5627409871196731</c:v>
                </c:pt>
              </c:numCache>
            </c:numRef>
          </c:val>
          <c:smooth val="0"/>
        </c:ser>
        <c:ser>
          <c:idx val="4"/>
          <c:order val="2"/>
          <c:tx>
            <c:strRef>
              <c:f>Incidence!$A$310</c:f>
              <c:strCache>
                <c:ptCount val="1"/>
                <c:pt idx="0">
                  <c:v>65-79</c:v>
                </c:pt>
              </c:strCache>
            </c:strRef>
          </c:tx>
          <c:spPr>
            <a:ln w="31750">
              <a:solidFill>
                <a:srgbClr val="C4126B"/>
              </a:solidFill>
              <a:prstDash val="sysDash"/>
            </a:ln>
          </c:spPr>
          <c:marker>
            <c:symbol val="square"/>
            <c:size val="7"/>
            <c:spPr>
              <a:noFill/>
              <a:ln w="9525">
                <a:noFill/>
              </a:ln>
            </c:spPr>
          </c:marker>
          <c:cat>
            <c:numRef>
              <c:f>Incidence!$B$306:$AC$306</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Incidence!$B$310:$AC$310</c:f>
              <c:numCache>
                <c:formatCode>#,##0.0</c:formatCode>
                <c:ptCount val="28"/>
                <c:pt idx="0">
                  <c:v>1.3121905417305753</c:v>
                </c:pt>
                <c:pt idx="1">
                  <c:v>1.2809637401863945</c:v>
                </c:pt>
                <c:pt idx="2">
                  <c:v>1.1150680539971705</c:v>
                </c:pt>
                <c:pt idx="3">
                  <c:v>1.7672431957738417</c:v>
                </c:pt>
                <c:pt idx="4">
                  <c:v>1.8429491398693085</c:v>
                </c:pt>
                <c:pt idx="5">
                  <c:v>1.5341050734133197</c:v>
                </c:pt>
                <c:pt idx="6">
                  <c:v>1.6195320548996452</c:v>
                </c:pt>
                <c:pt idx="7">
                  <c:v>1.3358171436343456</c:v>
                </c:pt>
                <c:pt idx="8">
                  <c:v>1.9050091023716171</c:v>
                </c:pt>
                <c:pt idx="9">
                  <c:v>2.4446718377296679</c:v>
                </c:pt>
                <c:pt idx="10">
                  <c:v>1.9437746044704529</c:v>
                </c:pt>
                <c:pt idx="11">
                  <c:v>2.5873948870827124</c:v>
                </c:pt>
                <c:pt idx="12">
                  <c:v>1.8897875878751229</c:v>
                </c:pt>
                <c:pt idx="13">
                  <c:v>3.1848812588407909</c:v>
                </c:pt>
                <c:pt idx="14">
                  <c:v>2.8091223005415125</c:v>
                </c:pt>
                <c:pt idx="15">
                  <c:v>3.4138577018763416</c:v>
                </c:pt>
                <c:pt idx="16">
                  <c:v>2.9507291462486749</c:v>
                </c:pt>
                <c:pt idx="17">
                  <c:v>3.4364118029290727</c:v>
                </c:pt>
                <c:pt idx="18">
                  <c:v>3.6214339222819589</c:v>
                </c:pt>
                <c:pt idx="19">
                  <c:v>5.3401852017306313</c:v>
                </c:pt>
                <c:pt idx="20">
                  <c:v>3.8730772210059401</c:v>
                </c:pt>
                <c:pt idx="21">
                  <c:v>4.2433457771132117</c:v>
                </c:pt>
                <c:pt idx="22">
                  <c:v>3.5000350003500036</c:v>
                </c:pt>
                <c:pt idx="23">
                  <c:v>4.5523325261190077</c:v>
                </c:pt>
                <c:pt idx="24">
                  <c:v>3.912290362366114</c:v>
                </c:pt>
                <c:pt idx="25">
                  <c:v>4.3188501493362406</c:v>
                </c:pt>
                <c:pt idx="26">
                  <c:v>4.7114074481698065</c:v>
                </c:pt>
                <c:pt idx="27">
                  <c:v>4.6146924030504151</c:v>
                </c:pt>
              </c:numCache>
            </c:numRef>
          </c:val>
          <c:smooth val="0"/>
        </c:ser>
        <c:ser>
          <c:idx val="0"/>
          <c:order val="3"/>
          <c:tx>
            <c:v> </c:v>
          </c:tx>
          <c:spPr>
            <a:ln w="31750">
              <a:solidFill>
                <a:srgbClr val="C4126B"/>
              </a:solidFill>
            </a:ln>
          </c:spPr>
          <c:marker>
            <c:symbol val="none"/>
          </c:marker>
          <c:val>
            <c:numRef>
              <c:f>Incidence!$B$311:$AC$311</c:f>
              <c:numCache>
                <c:formatCode>#,##0.0</c:formatCode>
                <c:ptCount val="28"/>
                <c:pt idx="0">
                  <c:v>0.5473303959935415</c:v>
                </c:pt>
                <c:pt idx="1">
                  <c:v>0</c:v>
                </c:pt>
                <c:pt idx="2">
                  <c:v>1.5294495511065569</c:v>
                </c:pt>
                <c:pt idx="3">
                  <c:v>1.4690112085555214</c:v>
                </c:pt>
                <c:pt idx="4">
                  <c:v>1.406647817585911</c:v>
                </c:pt>
                <c:pt idx="5">
                  <c:v>0.45253988007693174</c:v>
                </c:pt>
                <c:pt idx="6">
                  <c:v>1.7477094083566724</c:v>
                </c:pt>
                <c:pt idx="7">
                  <c:v>2.9533746524510898</c:v>
                </c:pt>
                <c:pt idx="8">
                  <c:v>0.81654649824034231</c:v>
                </c:pt>
                <c:pt idx="9">
                  <c:v>1.5659132014312447</c:v>
                </c:pt>
                <c:pt idx="10">
                  <c:v>2.2465178972592481</c:v>
                </c:pt>
                <c:pt idx="11">
                  <c:v>1.7848155036213909</c:v>
                </c:pt>
                <c:pt idx="12">
                  <c:v>3.0542122677526091</c:v>
                </c:pt>
                <c:pt idx="13">
                  <c:v>1.6299280875727764</c:v>
                </c:pt>
                <c:pt idx="14">
                  <c:v>3.4569344533800965</c:v>
                </c:pt>
                <c:pt idx="15">
                  <c:v>2.1262765252996529</c:v>
                </c:pt>
                <c:pt idx="16">
                  <c:v>2.361268119043332</c:v>
                </c:pt>
                <c:pt idx="17">
                  <c:v>4.0094738138401302</c:v>
                </c:pt>
                <c:pt idx="18">
                  <c:v>4.1078896127903253</c:v>
                </c:pt>
                <c:pt idx="19">
                  <c:v>4.933616886472282</c:v>
                </c:pt>
                <c:pt idx="20" formatCode="#,##0.00">
                  <c:v>8.4922083987941068</c:v>
                </c:pt>
                <c:pt idx="21" formatCode="#,##0">
                  <c:v>8.4460682345786857</c:v>
                </c:pt>
                <c:pt idx="22" formatCode="#,##0">
                  <c:v>5.1433835047015197</c:v>
                </c:pt>
                <c:pt idx="23" formatCode="#,##0">
                  <c:v>7.214925877909927</c:v>
                </c:pt>
                <c:pt idx="24" formatCode="#,##0">
                  <c:v>5.2480467426029875</c:v>
                </c:pt>
                <c:pt idx="25" formatCode="_-* #,##0.0_-;\-* #,##0.0_-;_-* &quot;-&quot;??_-;_-@_-">
                  <c:v>4.6623899834909013</c:v>
                </c:pt>
                <c:pt idx="26" formatCode="#,##0">
                  <c:v>7.2231520597334038</c:v>
                </c:pt>
                <c:pt idx="27" formatCode="#,##0">
                  <c:v>7.9143052832957705</c:v>
                </c:pt>
              </c:numCache>
            </c:numRef>
          </c:val>
          <c:smooth val="0"/>
        </c:ser>
        <c:dLbls>
          <c:showLegendKey val="0"/>
          <c:showVal val="0"/>
          <c:showCatName val="0"/>
          <c:showSerName val="0"/>
          <c:showPercent val="0"/>
          <c:showBubbleSize val="0"/>
        </c:dLbls>
        <c:marker val="1"/>
        <c:smooth val="0"/>
        <c:axId val="108427136"/>
        <c:axId val="108441600"/>
      </c:lineChart>
      <c:catAx>
        <c:axId val="108427136"/>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sz="800"/>
                  <a:t>Year of diagnosis</a:t>
                </a:r>
              </a:p>
            </c:rich>
          </c:tx>
          <c:layout>
            <c:manualLayout>
              <c:xMode val="edge"/>
              <c:yMode val="edge"/>
              <c:x val="0.45920811963223218"/>
              <c:y val="0.91027007543405747"/>
            </c:manualLayout>
          </c:layout>
          <c:overlay val="0"/>
          <c:spPr>
            <a:noFill/>
            <a:ln w="25400">
              <a:noFill/>
            </a:ln>
          </c:spPr>
        </c:title>
        <c:numFmt formatCode="General" sourceLinked="1"/>
        <c:majorTickMark val="none"/>
        <c:minorTickMark val="out"/>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08441600"/>
        <c:crosses val="autoZero"/>
        <c:auto val="1"/>
        <c:lblAlgn val="ctr"/>
        <c:lblOffset val="100"/>
        <c:tickLblSkip val="1"/>
        <c:tickMarkSkip val="1"/>
        <c:noMultiLvlLbl val="0"/>
      </c:catAx>
      <c:valAx>
        <c:axId val="108441600"/>
        <c:scaling>
          <c:orientation val="minMax"/>
          <c:max val="10"/>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n-AU" sz="800"/>
                  <a:t>New cases per 100 000 population</a:t>
                </a:r>
              </a:p>
            </c:rich>
          </c:tx>
          <c:layout>
            <c:manualLayout>
              <c:xMode val="edge"/>
              <c:yMode val="edge"/>
              <c:x val="2.3180512470844052E-2"/>
              <c:y val="0.1671826625386996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8427136"/>
        <c:crosses val="autoZero"/>
        <c:crossBetween val="between"/>
        <c:majorUnit val="2"/>
      </c:valAx>
      <c:spPr>
        <a:no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20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61884319619586"/>
          <c:y val="7.2246472546636534E-2"/>
          <c:w val="0.81088049060788459"/>
          <c:h val="0.73657700505557844"/>
        </c:manualLayout>
      </c:layout>
      <c:lineChart>
        <c:grouping val="standard"/>
        <c:varyColors val="0"/>
        <c:ser>
          <c:idx val="0"/>
          <c:order val="0"/>
          <c:spPr>
            <a:ln w="31750">
              <a:solidFill>
                <a:srgbClr val="00456B"/>
              </a:solidFill>
              <a:prstDash val="solid"/>
            </a:ln>
          </c:spPr>
          <c:marker>
            <c:symbol val="none"/>
          </c:marker>
          <c:cat>
            <c:numRef>
              <c:f>Incidence!$A$266:$A$293</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Incidence!$B$266:$B$293</c:f>
              <c:numCache>
                <c:formatCode>0.0</c:formatCode>
                <c:ptCount val="28"/>
                <c:pt idx="0">
                  <c:v>2.2790021368837392</c:v>
                </c:pt>
                <c:pt idx="1">
                  <c:v>2.1392277509331343</c:v>
                </c:pt>
                <c:pt idx="2">
                  <c:v>2.4072662752747056</c:v>
                </c:pt>
                <c:pt idx="3">
                  <c:v>2.9677994341606952</c:v>
                </c:pt>
                <c:pt idx="4">
                  <c:v>3.0445576645744734</c:v>
                </c:pt>
                <c:pt idx="5">
                  <c:v>2.5552177786883146</c:v>
                </c:pt>
                <c:pt idx="6">
                  <c:v>3.8893278358903602</c:v>
                </c:pt>
                <c:pt idx="7">
                  <c:v>3.4506411684758365</c:v>
                </c:pt>
                <c:pt idx="8">
                  <c:v>3.8655596721641938</c:v>
                </c:pt>
                <c:pt idx="9">
                  <c:v>3.7234211976138183</c:v>
                </c:pt>
                <c:pt idx="10">
                  <c:v>4.0404747824675136</c:v>
                </c:pt>
                <c:pt idx="11">
                  <c:v>4.4257532179277099</c:v>
                </c:pt>
                <c:pt idx="12">
                  <c:v>5.0320943512197962</c:v>
                </c:pt>
                <c:pt idx="13">
                  <c:v>4.4526555389940015</c:v>
                </c:pt>
                <c:pt idx="14">
                  <c:v>4.6737295339103513</c:v>
                </c:pt>
                <c:pt idx="15">
                  <c:v>4.9644907864979375</c:v>
                </c:pt>
                <c:pt idx="16">
                  <c:v>5.0667318574421092</c:v>
                </c:pt>
                <c:pt idx="17">
                  <c:v>4.8607433417458648</c:v>
                </c:pt>
                <c:pt idx="18">
                  <c:v>4.7314167766644273</c:v>
                </c:pt>
                <c:pt idx="19">
                  <c:v>5.372591681658915</c:v>
                </c:pt>
                <c:pt idx="20">
                  <c:v>5.0623184202767852</c:v>
                </c:pt>
                <c:pt idx="21">
                  <c:v>5.8992522933162483</c:v>
                </c:pt>
                <c:pt idx="22">
                  <c:v>5.465388488415142</c:v>
                </c:pt>
                <c:pt idx="23">
                  <c:v>5.1707376468722108</c:v>
                </c:pt>
                <c:pt idx="24">
                  <c:v>4.8794979086003405</c:v>
                </c:pt>
                <c:pt idx="25">
                  <c:v>5.5641869393764303</c:v>
                </c:pt>
                <c:pt idx="26">
                  <c:v>5.2404697065035455</c:v>
                </c:pt>
                <c:pt idx="27">
                  <c:v>5.0189619761284394</c:v>
                </c:pt>
              </c:numCache>
            </c:numRef>
          </c:val>
          <c:smooth val="0"/>
        </c:ser>
        <c:ser>
          <c:idx val="1"/>
          <c:order val="1"/>
          <c:spPr>
            <a:ln w="31750">
              <a:solidFill>
                <a:srgbClr val="C4126B"/>
              </a:solidFill>
              <a:prstDash val="solid"/>
            </a:ln>
          </c:spPr>
          <c:marker>
            <c:symbol val="none"/>
          </c:marker>
          <c:cat>
            <c:numRef>
              <c:f>Incidence!$A$266:$A$293</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Incidence!$C$266:$C$293</c:f>
              <c:numCache>
                <c:formatCode>0.0</c:formatCode>
                <c:ptCount val="28"/>
                <c:pt idx="0">
                  <c:v>0.31304570907376017</c:v>
                </c:pt>
                <c:pt idx="1">
                  <c:v>0.21076065906748107</c:v>
                </c:pt>
                <c:pt idx="2">
                  <c:v>0.23940095848259205</c:v>
                </c:pt>
                <c:pt idx="3">
                  <c:v>0.33394569958490611</c:v>
                </c:pt>
                <c:pt idx="4">
                  <c:v>0.41513817351404875</c:v>
                </c:pt>
                <c:pt idx="5">
                  <c:v>0.37676008963305163</c:v>
                </c:pt>
                <c:pt idx="6">
                  <c:v>0.40949408758974776</c:v>
                </c:pt>
                <c:pt idx="7">
                  <c:v>0.50235335663012315</c:v>
                </c:pt>
                <c:pt idx="8">
                  <c:v>0.42646076308743963</c:v>
                </c:pt>
                <c:pt idx="9">
                  <c:v>0.58937646490950557</c:v>
                </c:pt>
                <c:pt idx="10">
                  <c:v>0.45372028058989322</c:v>
                </c:pt>
                <c:pt idx="11">
                  <c:v>0.59558081265277563</c:v>
                </c:pt>
                <c:pt idx="12">
                  <c:v>0.53783364397479239</c:v>
                </c:pt>
                <c:pt idx="13">
                  <c:v>0.66974287010319344</c:v>
                </c:pt>
                <c:pt idx="14">
                  <c:v>0.57101525706175349</c:v>
                </c:pt>
                <c:pt idx="15">
                  <c:v>0.81035173438949537</c:v>
                </c:pt>
                <c:pt idx="16">
                  <c:v>0.63769848544371766</c:v>
                </c:pt>
                <c:pt idx="17">
                  <c:v>0.76785056399501694</c:v>
                </c:pt>
                <c:pt idx="18">
                  <c:v>0.74810657237733724</c:v>
                </c:pt>
                <c:pt idx="19">
                  <c:v>1.0295612855505369</c:v>
                </c:pt>
                <c:pt idx="20">
                  <c:v>0.98783170525812991</c:v>
                </c:pt>
                <c:pt idx="21">
                  <c:v>1.0026437870338394</c:v>
                </c:pt>
                <c:pt idx="22">
                  <c:v>0.82551309469318046</c:v>
                </c:pt>
                <c:pt idx="23">
                  <c:v>0.9754651619646737</c:v>
                </c:pt>
                <c:pt idx="24">
                  <c:v>0.89448559039301545</c:v>
                </c:pt>
                <c:pt idx="25">
                  <c:v>0.91328768969879448</c:v>
                </c:pt>
                <c:pt idx="26">
                  <c:v>0.93946040137165587</c:v>
                </c:pt>
                <c:pt idx="27">
                  <c:v>0.98528222211506855</c:v>
                </c:pt>
              </c:numCache>
            </c:numRef>
          </c:val>
          <c:smooth val="0"/>
        </c:ser>
        <c:ser>
          <c:idx val="2"/>
          <c:order val="2"/>
          <c:spPr>
            <a:ln w="38100">
              <a:solidFill>
                <a:srgbClr val="000000"/>
              </a:solidFill>
              <a:prstDash val="solid"/>
            </a:ln>
          </c:spPr>
          <c:marker>
            <c:symbol val="none"/>
          </c:marker>
          <c:cat>
            <c:numRef>
              <c:f>Incidence!$A$266:$A$293</c:f>
              <c:numCache>
                <c:formatCode>General</c:formatCode>
                <c:ptCount val="2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numCache>
            </c:numRef>
          </c:cat>
          <c:val>
            <c:numRef>
              <c:f>Incidence!$D$266:$D$293</c:f>
              <c:numCache>
                <c:formatCode>0.0</c:formatCode>
                <c:ptCount val="28"/>
                <c:pt idx="0">
                  <c:v>1.2025412654877103</c:v>
                </c:pt>
                <c:pt idx="1">
                  <c:v>1.1007174378372486</c:v>
                </c:pt>
                <c:pt idx="2">
                  <c:v>1.2350645022598528</c:v>
                </c:pt>
                <c:pt idx="3">
                  <c:v>1.5141501528004584</c:v>
                </c:pt>
                <c:pt idx="4">
                  <c:v>1.6005353091171519</c:v>
                </c:pt>
                <c:pt idx="5">
                  <c:v>1.3861585032495973</c:v>
                </c:pt>
                <c:pt idx="6">
                  <c:v>1.932578423745823</c:v>
                </c:pt>
                <c:pt idx="7">
                  <c:v>1.8150387560458343</c:v>
                </c:pt>
                <c:pt idx="8">
                  <c:v>1.9355325573776967</c:v>
                </c:pt>
                <c:pt idx="9">
                  <c:v>1.9930558349027265</c:v>
                </c:pt>
                <c:pt idx="10">
                  <c:v>2.0647583759563566</c:v>
                </c:pt>
                <c:pt idx="11">
                  <c:v>2.3019987552735595</c:v>
                </c:pt>
                <c:pt idx="12">
                  <c:v>2.5645985649871159</c:v>
                </c:pt>
                <c:pt idx="13">
                  <c:v>2.3540728889733189</c:v>
                </c:pt>
                <c:pt idx="14">
                  <c:v>2.4302407807094686</c:v>
                </c:pt>
                <c:pt idx="15">
                  <c:v>2.6639243803829742</c:v>
                </c:pt>
                <c:pt idx="16">
                  <c:v>2.6287356392016026</c:v>
                </c:pt>
                <c:pt idx="17">
                  <c:v>2.5914711695492234</c:v>
                </c:pt>
                <c:pt idx="18">
                  <c:v>2.5421129532533269</c:v>
                </c:pt>
                <c:pt idx="19">
                  <c:v>2.9618961080170028</c:v>
                </c:pt>
                <c:pt idx="20">
                  <c:v>2.822387837787534</c:v>
                </c:pt>
                <c:pt idx="21">
                  <c:v>3.2023922074544866</c:v>
                </c:pt>
                <c:pt idx="22">
                  <c:v>2.9040984012533655</c:v>
                </c:pt>
                <c:pt idx="23">
                  <c:v>2.855525017658076</c:v>
                </c:pt>
                <c:pt idx="24">
                  <c:v>2.7091653745749733</c:v>
                </c:pt>
                <c:pt idx="25">
                  <c:v>3.0224247875076555</c:v>
                </c:pt>
                <c:pt idx="26">
                  <c:v>2.8860163241058236</c:v>
                </c:pt>
                <c:pt idx="27">
                  <c:v>2.8379767938292955</c:v>
                </c:pt>
              </c:numCache>
            </c:numRef>
          </c:val>
          <c:smooth val="0"/>
        </c:ser>
        <c:dLbls>
          <c:showLegendKey val="0"/>
          <c:showVal val="0"/>
          <c:showCatName val="0"/>
          <c:showSerName val="0"/>
          <c:showPercent val="0"/>
          <c:showBubbleSize val="0"/>
        </c:dLbls>
        <c:marker val="1"/>
        <c:smooth val="0"/>
        <c:axId val="108477056"/>
        <c:axId val="108495616"/>
      </c:lineChart>
      <c:catAx>
        <c:axId val="108477056"/>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a:t>Year of diagnosis</a:t>
                </a:r>
              </a:p>
            </c:rich>
          </c:tx>
          <c:layout>
            <c:manualLayout>
              <c:xMode val="edge"/>
              <c:yMode val="edge"/>
              <c:x val="0.44955074829808228"/>
              <c:y val="0.93315734885583157"/>
            </c:manualLayout>
          </c:layout>
          <c:overlay val="0"/>
          <c:spPr>
            <a:noFill/>
            <a:ln w="25400">
              <a:noFill/>
            </a:ln>
          </c:spPr>
        </c:title>
        <c:numFmt formatCode="General" sourceLinked="1"/>
        <c:majorTickMark val="none"/>
        <c:minorTickMark val="out"/>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08495616"/>
        <c:crosses val="autoZero"/>
        <c:auto val="1"/>
        <c:lblAlgn val="ctr"/>
        <c:lblOffset val="100"/>
        <c:tickLblSkip val="1"/>
        <c:tickMarkSkip val="1"/>
        <c:noMultiLvlLbl val="0"/>
      </c:catAx>
      <c:valAx>
        <c:axId val="108495616"/>
        <c:scaling>
          <c:orientation val="minMax"/>
          <c:max val="6"/>
        </c:scaling>
        <c:delete val="0"/>
        <c:axPos val="l"/>
        <c:majorGridlines>
          <c:spPr>
            <a:ln w="3175">
              <a:solidFill>
                <a:schemeClr val="tx1"/>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New cases per 100 000 population</a:t>
                </a:r>
              </a:p>
            </c:rich>
          </c:tx>
          <c:layout>
            <c:manualLayout>
              <c:xMode val="edge"/>
              <c:yMode val="edge"/>
              <c:x val="7.4474372325476712E-2"/>
              <c:y val="0.1449424862160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8477056"/>
        <c:crosses val="autoZero"/>
        <c:crossBetween val="between"/>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53010571932708"/>
          <c:y val="6.1538436422526495E-2"/>
          <c:w val="0.7487191985830669"/>
          <c:h val="0.73713953609863259"/>
        </c:manualLayout>
      </c:layout>
      <c:lineChart>
        <c:grouping val="standard"/>
        <c:varyColors val="0"/>
        <c:ser>
          <c:idx val="0"/>
          <c:order val="0"/>
          <c:tx>
            <c:strRef>
              <c:f>'S&amp;T incidence'!$B$48</c:f>
              <c:strCache>
                <c:ptCount val="1"/>
                <c:pt idx="0">
                  <c:v>NSW</c:v>
                </c:pt>
              </c:strCache>
            </c:strRef>
          </c:tx>
          <c:spPr>
            <a:ln w="31750">
              <a:solidFill>
                <a:srgbClr val="00456B"/>
              </a:solidFill>
              <a:prstDash val="solid"/>
            </a:ln>
          </c:spPr>
          <c:marker>
            <c:symbol val="none"/>
          </c:marker>
          <c:cat>
            <c:strRef>
              <c:f>'S&amp;T incidence'!$A$49:$A$72</c:f>
              <c:strCache>
                <c:ptCount val="24"/>
                <c:pt idx="0">
                  <c:v>1982-86</c:v>
                </c:pt>
                <c:pt idx="1">
                  <c:v>1983-87</c:v>
                </c:pt>
                <c:pt idx="2">
                  <c:v>1984-88</c:v>
                </c:pt>
                <c:pt idx="3">
                  <c:v>1985-89</c:v>
                </c:pt>
                <c:pt idx="4">
                  <c:v>1986-90</c:v>
                </c:pt>
                <c:pt idx="5">
                  <c:v>1987-91</c:v>
                </c:pt>
                <c:pt idx="6">
                  <c:v>1988-92</c:v>
                </c:pt>
                <c:pt idx="7">
                  <c:v>1989-93</c:v>
                </c:pt>
                <c:pt idx="8">
                  <c:v>1990-94</c:v>
                </c:pt>
                <c:pt idx="9">
                  <c:v>1991-95</c:v>
                </c:pt>
                <c:pt idx="10">
                  <c:v>1992-96</c:v>
                </c:pt>
                <c:pt idx="11">
                  <c:v>1993-97</c:v>
                </c:pt>
                <c:pt idx="12">
                  <c:v>1994-98</c:v>
                </c:pt>
                <c:pt idx="13">
                  <c:v>1995-99</c:v>
                </c:pt>
                <c:pt idx="14">
                  <c:v>1996-00</c:v>
                </c:pt>
                <c:pt idx="15">
                  <c:v>1997-01</c:v>
                </c:pt>
                <c:pt idx="16">
                  <c:v>1998-02</c:v>
                </c:pt>
                <c:pt idx="17">
                  <c:v>1999-03</c:v>
                </c:pt>
                <c:pt idx="18">
                  <c:v>2000-04</c:v>
                </c:pt>
                <c:pt idx="19">
                  <c:v>2001-05</c:v>
                </c:pt>
                <c:pt idx="20">
                  <c:v>2002-06</c:v>
                </c:pt>
                <c:pt idx="21">
                  <c:v>2003-07</c:v>
                </c:pt>
                <c:pt idx="22">
                  <c:v>2004-08</c:v>
                </c:pt>
                <c:pt idx="23">
                  <c:v>2005-09</c:v>
                </c:pt>
              </c:strCache>
            </c:strRef>
          </c:cat>
          <c:val>
            <c:numRef>
              <c:f>'S&amp;T incidence'!$B$49:$B$72</c:f>
              <c:numCache>
                <c:formatCode>0</c:formatCode>
                <c:ptCount val="24"/>
                <c:pt idx="0">
                  <c:v>72</c:v>
                </c:pt>
                <c:pt idx="1">
                  <c:v>75</c:v>
                </c:pt>
                <c:pt idx="2">
                  <c:v>82</c:v>
                </c:pt>
                <c:pt idx="3">
                  <c:v>87</c:v>
                </c:pt>
                <c:pt idx="4">
                  <c:v>92</c:v>
                </c:pt>
                <c:pt idx="5">
                  <c:v>97</c:v>
                </c:pt>
                <c:pt idx="6">
                  <c:v>105</c:v>
                </c:pt>
                <c:pt idx="7">
                  <c:v>110</c:v>
                </c:pt>
                <c:pt idx="8">
                  <c:v>124</c:v>
                </c:pt>
                <c:pt idx="9">
                  <c:v>131</c:v>
                </c:pt>
                <c:pt idx="10">
                  <c:v>140</c:v>
                </c:pt>
                <c:pt idx="11">
                  <c:v>147</c:v>
                </c:pt>
                <c:pt idx="12">
                  <c:v>153</c:v>
                </c:pt>
                <c:pt idx="13">
                  <c:v>154</c:v>
                </c:pt>
                <c:pt idx="14">
                  <c:v>158</c:v>
                </c:pt>
                <c:pt idx="15">
                  <c:v>167</c:v>
                </c:pt>
                <c:pt idx="16">
                  <c:v>172</c:v>
                </c:pt>
                <c:pt idx="17">
                  <c:v>184</c:v>
                </c:pt>
                <c:pt idx="18">
                  <c:v>190</c:v>
                </c:pt>
                <c:pt idx="19">
                  <c:v>200</c:v>
                </c:pt>
                <c:pt idx="20">
                  <c:v>205</c:v>
                </c:pt>
                <c:pt idx="21">
                  <c:v>211</c:v>
                </c:pt>
                <c:pt idx="22">
                  <c:v>211</c:v>
                </c:pt>
                <c:pt idx="23">
                  <c:v>216</c:v>
                </c:pt>
              </c:numCache>
            </c:numRef>
          </c:val>
          <c:smooth val="0"/>
        </c:ser>
        <c:ser>
          <c:idx val="1"/>
          <c:order val="1"/>
          <c:tx>
            <c:strRef>
              <c:f>'S&amp;T incidence'!$C$48</c:f>
              <c:strCache>
                <c:ptCount val="1"/>
                <c:pt idx="0">
                  <c:v>Vic</c:v>
                </c:pt>
              </c:strCache>
            </c:strRef>
          </c:tx>
          <c:spPr>
            <a:ln w="31750">
              <a:solidFill>
                <a:srgbClr val="716814"/>
              </a:solidFill>
              <a:prstDash val="solid"/>
            </a:ln>
          </c:spPr>
          <c:marker>
            <c:symbol val="none"/>
          </c:marker>
          <c:cat>
            <c:strRef>
              <c:f>'S&amp;T incidence'!$A$49:$A$72</c:f>
              <c:strCache>
                <c:ptCount val="24"/>
                <c:pt idx="0">
                  <c:v>1982-86</c:v>
                </c:pt>
                <c:pt idx="1">
                  <c:v>1983-87</c:v>
                </c:pt>
                <c:pt idx="2">
                  <c:v>1984-88</c:v>
                </c:pt>
                <c:pt idx="3">
                  <c:v>1985-89</c:v>
                </c:pt>
                <c:pt idx="4">
                  <c:v>1986-90</c:v>
                </c:pt>
                <c:pt idx="5">
                  <c:v>1987-91</c:v>
                </c:pt>
                <c:pt idx="6">
                  <c:v>1988-92</c:v>
                </c:pt>
                <c:pt idx="7">
                  <c:v>1989-93</c:v>
                </c:pt>
                <c:pt idx="8">
                  <c:v>1990-94</c:v>
                </c:pt>
                <c:pt idx="9">
                  <c:v>1991-95</c:v>
                </c:pt>
                <c:pt idx="10">
                  <c:v>1992-96</c:v>
                </c:pt>
                <c:pt idx="11">
                  <c:v>1993-97</c:v>
                </c:pt>
                <c:pt idx="12">
                  <c:v>1994-98</c:v>
                </c:pt>
                <c:pt idx="13">
                  <c:v>1995-99</c:v>
                </c:pt>
                <c:pt idx="14">
                  <c:v>1996-00</c:v>
                </c:pt>
                <c:pt idx="15">
                  <c:v>1997-01</c:v>
                </c:pt>
                <c:pt idx="16">
                  <c:v>1998-02</c:v>
                </c:pt>
                <c:pt idx="17">
                  <c:v>1999-03</c:v>
                </c:pt>
                <c:pt idx="18">
                  <c:v>2000-04</c:v>
                </c:pt>
                <c:pt idx="19">
                  <c:v>2001-05</c:v>
                </c:pt>
                <c:pt idx="20">
                  <c:v>2002-06</c:v>
                </c:pt>
                <c:pt idx="21">
                  <c:v>2003-07</c:v>
                </c:pt>
                <c:pt idx="22">
                  <c:v>2004-08</c:v>
                </c:pt>
                <c:pt idx="23">
                  <c:v>2005-09</c:v>
                </c:pt>
              </c:strCache>
            </c:strRef>
          </c:cat>
          <c:val>
            <c:numRef>
              <c:f>'S&amp;T incidence'!$C$49:$C$72</c:f>
              <c:numCache>
                <c:formatCode>0</c:formatCode>
                <c:ptCount val="24"/>
                <c:pt idx="0">
                  <c:v>36</c:v>
                </c:pt>
                <c:pt idx="1">
                  <c:v>37</c:v>
                </c:pt>
                <c:pt idx="2">
                  <c:v>40</c:v>
                </c:pt>
                <c:pt idx="3">
                  <c:v>44</c:v>
                </c:pt>
                <c:pt idx="4">
                  <c:v>48</c:v>
                </c:pt>
                <c:pt idx="5">
                  <c:v>52</c:v>
                </c:pt>
                <c:pt idx="6">
                  <c:v>59</c:v>
                </c:pt>
                <c:pt idx="7">
                  <c:v>65</c:v>
                </c:pt>
                <c:pt idx="8">
                  <c:v>72</c:v>
                </c:pt>
                <c:pt idx="9">
                  <c:v>78</c:v>
                </c:pt>
                <c:pt idx="10">
                  <c:v>86</c:v>
                </c:pt>
                <c:pt idx="11">
                  <c:v>94</c:v>
                </c:pt>
                <c:pt idx="12">
                  <c:v>100</c:v>
                </c:pt>
                <c:pt idx="13">
                  <c:v>100</c:v>
                </c:pt>
                <c:pt idx="14">
                  <c:v>103</c:v>
                </c:pt>
                <c:pt idx="15">
                  <c:v>108</c:v>
                </c:pt>
                <c:pt idx="16">
                  <c:v>110</c:v>
                </c:pt>
                <c:pt idx="17">
                  <c:v>120</c:v>
                </c:pt>
                <c:pt idx="18">
                  <c:v>129</c:v>
                </c:pt>
                <c:pt idx="19">
                  <c:v>132</c:v>
                </c:pt>
                <c:pt idx="20">
                  <c:v>130</c:v>
                </c:pt>
                <c:pt idx="21">
                  <c:v>138</c:v>
                </c:pt>
                <c:pt idx="22">
                  <c:v>137</c:v>
                </c:pt>
                <c:pt idx="23">
                  <c:v>140</c:v>
                </c:pt>
              </c:numCache>
            </c:numRef>
          </c:val>
          <c:smooth val="0"/>
        </c:ser>
        <c:ser>
          <c:idx val="2"/>
          <c:order val="2"/>
          <c:tx>
            <c:strRef>
              <c:f>'S&amp;T incidence'!$D$48</c:f>
              <c:strCache>
                <c:ptCount val="1"/>
                <c:pt idx="0">
                  <c:v>Qld</c:v>
                </c:pt>
              </c:strCache>
            </c:strRef>
          </c:tx>
          <c:spPr>
            <a:ln w="31750">
              <a:solidFill>
                <a:srgbClr val="56004E"/>
              </a:solidFill>
              <a:prstDash val="solid"/>
            </a:ln>
          </c:spPr>
          <c:marker>
            <c:symbol val="none"/>
          </c:marker>
          <c:cat>
            <c:strRef>
              <c:f>'S&amp;T incidence'!$A$49:$A$72</c:f>
              <c:strCache>
                <c:ptCount val="24"/>
                <c:pt idx="0">
                  <c:v>1982-86</c:v>
                </c:pt>
                <c:pt idx="1">
                  <c:v>1983-87</c:v>
                </c:pt>
                <c:pt idx="2">
                  <c:v>1984-88</c:v>
                </c:pt>
                <c:pt idx="3">
                  <c:v>1985-89</c:v>
                </c:pt>
                <c:pt idx="4">
                  <c:v>1986-90</c:v>
                </c:pt>
                <c:pt idx="5">
                  <c:v>1987-91</c:v>
                </c:pt>
                <c:pt idx="6">
                  <c:v>1988-92</c:v>
                </c:pt>
                <c:pt idx="7">
                  <c:v>1989-93</c:v>
                </c:pt>
                <c:pt idx="8">
                  <c:v>1990-94</c:v>
                </c:pt>
                <c:pt idx="9">
                  <c:v>1991-95</c:v>
                </c:pt>
                <c:pt idx="10">
                  <c:v>1992-96</c:v>
                </c:pt>
                <c:pt idx="11">
                  <c:v>1993-97</c:v>
                </c:pt>
                <c:pt idx="12">
                  <c:v>1994-98</c:v>
                </c:pt>
                <c:pt idx="13">
                  <c:v>1995-99</c:v>
                </c:pt>
                <c:pt idx="14">
                  <c:v>1996-00</c:v>
                </c:pt>
                <c:pt idx="15">
                  <c:v>1997-01</c:v>
                </c:pt>
                <c:pt idx="16">
                  <c:v>1998-02</c:v>
                </c:pt>
                <c:pt idx="17">
                  <c:v>1999-03</c:v>
                </c:pt>
                <c:pt idx="18">
                  <c:v>2000-04</c:v>
                </c:pt>
                <c:pt idx="19">
                  <c:v>2001-05</c:v>
                </c:pt>
                <c:pt idx="20">
                  <c:v>2002-06</c:v>
                </c:pt>
                <c:pt idx="21">
                  <c:v>2003-07</c:v>
                </c:pt>
                <c:pt idx="22">
                  <c:v>2004-08</c:v>
                </c:pt>
                <c:pt idx="23">
                  <c:v>2005-09</c:v>
                </c:pt>
              </c:strCache>
            </c:strRef>
          </c:cat>
          <c:val>
            <c:numRef>
              <c:f>'S&amp;T incidence'!$D$49:$D$72</c:f>
              <c:numCache>
                <c:formatCode>0</c:formatCode>
                <c:ptCount val="24"/>
                <c:pt idx="0">
                  <c:v>23</c:v>
                </c:pt>
                <c:pt idx="1">
                  <c:v>26</c:v>
                </c:pt>
                <c:pt idx="2">
                  <c:v>31</c:v>
                </c:pt>
                <c:pt idx="3">
                  <c:v>35</c:v>
                </c:pt>
                <c:pt idx="4">
                  <c:v>38</c:v>
                </c:pt>
                <c:pt idx="5">
                  <c:v>43</c:v>
                </c:pt>
                <c:pt idx="6">
                  <c:v>45</c:v>
                </c:pt>
                <c:pt idx="7">
                  <c:v>46</c:v>
                </c:pt>
                <c:pt idx="8">
                  <c:v>54</c:v>
                </c:pt>
                <c:pt idx="9">
                  <c:v>58</c:v>
                </c:pt>
                <c:pt idx="10">
                  <c:v>58</c:v>
                </c:pt>
                <c:pt idx="11">
                  <c:v>66</c:v>
                </c:pt>
                <c:pt idx="12">
                  <c:v>72</c:v>
                </c:pt>
                <c:pt idx="13">
                  <c:v>76</c:v>
                </c:pt>
                <c:pt idx="14">
                  <c:v>82</c:v>
                </c:pt>
                <c:pt idx="15">
                  <c:v>92</c:v>
                </c:pt>
                <c:pt idx="16">
                  <c:v>99</c:v>
                </c:pt>
                <c:pt idx="17">
                  <c:v>103</c:v>
                </c:pt>
                <c:pt idx="18">
                  <c:v>106</c:v>
                </c:pt>
                <c:pt idx="19">
                  <c:v>110</c:v>
                </c:pt>
                <c:pt idx="20">
                  <c:v>114</c:v>
                </c:pt>
                <c:pt idx="21">
                  <c:v>117</c:v>
                </c:pt>
                <c:pt idx="22">
                  <c:v>120</c:v>
                </c:pt>
                <c:pt idx="23">
                  <c:v>125</c:v>
                </c:pt>
              </c:numCache>
            </c:numRef>
          </c:val>
          <c:smooth val="0"/>
        </c:ser>
        <c:ser>
          <c:idx val="3"/>
          <c:order val="3"/>
          <c:tx>
            <c:strRef>
              <c:f>'S&amp;T incidence'!$E$48</c:f>
              <c:strCache>
                <c:ptCount val="1"/>
                <c:pt idx="0">
                  <c:v>WA</c:v>
                </c:pt>
              </c:strCache>
            </c:strRef>
          </c:tx>
          <c:spPr>
            <a:ln w="31750">
              <a:solidFill>
                <a:srgbClr val="444D3E"/>
              </a:solidFill>
              <a:prstDash val="solid"/>
            </a:ln>
          </c:spPr>
          <c:marker>
            <c:symbol val="none"/>
          </c:marker>
          <c:cat>
            <c:strRef>
              <c:f>'S&amp;T incidence'!$A$49:$A$72</c:f>
              <c:strCache>
                <c:ptCount val="24"/>
                <c:pt idx="0">
                  <c:v>1982-86</c:v>
                </c:pt>
                <c:pt idx="1">
                  <c:v>1983-87</c:v>
                </c:pt>
                <c:pt idx="2">
                  <c:v>1984-88</c:v>
                </c:pt>
                <c:pt idx="3">
                  <c:v>1985-89</c:v>
                </c:pt>
                <c:pt idx="4">
                  <c:v>1986-90</c:v>
                </c:pt>
                <c:pt idx="5">
                  <c:v>1987-91</c:v>
                </c:pt>
                <c:pt idx="6">
                  <c:v>1988-92</c:v>
                </c:pt>
                <c:pt idx="7">
                  <c:v>1989-93</c:v>
                </c:pt>
                <c:pt idx="8">
                  <c:v>1990-94</c:v>
                </c:pt>
                <c:pt idx="9">
                  <c:v>1991-95</c:v>
                </c:pt>
                <c:pt idx="10">
                  <c:v>1992-96</c:v>
                </c:pt>
                <c:pt idx="11">
                  <c:v>1993-97</c:v>
                </c:pt>
                <c:pt idx="12">
                  <c:v>1994-98</c:v>
                </c:pt>
                <c:pt idx="13">
                  <c:v>1995-99</c:v>
                </c:pt>
                <c:pt idx="14">
                  <c:v>1996-00</c:v>
                </c:pt>
                <c:pt idx="15">
                  <c:v>1997-01</c:v>
                </c:pt>
                <c:pt idx="16">
                  <c:v>1998-02</c:v>
                </c:pt>
                <c:pt idx="17">
                  <c:v>1999-03</c:v>
                </c:pt>
                <c:pt idx="18">
                  <c:v>2000-04</c:v>
                </c:pt>
                <c:pt idx="19">
                  <c:v>2001-05</c:v>
                </c:pt>
                <c:pt idx="20">
                  <c:v>2002-06</c:v>
                </c:pt>
                <c:pt idx="21">
                  <c:v>2003-07</c:v>
                </c:pt>
                <c:pt idx="22">
                  <c:v>2004-08</c:v>
                </c:pt>
                <c:pt idx="23">
                  <c:v>2005-09</c:v>
                </c:pt>
              </c:strCache>
            </c:strRef>
          </c:cat>
          <c:val>
            <c:numRef>
              <c:f>'S&amp;T incidence'!$E$49:$E$72</c:f>
              <c:numCache>
                <c:formatCode>0</c:formatCode>
                <c:ptCount val="24"/>
                <c:pt idx="0">
                  <c:v>24</c:v>
                </c:pt>
                <c:pt idx="1">
                  <c:v>26</c:v>
                </c:pt>
                <c:pt idx="2">
                  <c:v>31</c:v>
                </c:pt>
                <c:pt idx="3">
                  <c:v>33</c:v>
                </c:pt>
                <c:pt idx="4">
                  <c:v>36</c:v>
                </c:pt>
                <c:pt idx="5">
                  <c:v>38</c:v>
                </c:pt>
                <c:pt idx="6">
                  <c:v>42</c:v>
                </c:pt>
                <c:pt idx="7">
                  <c:v>47</c:v>
                </c:pt>
                <c:pt idx="8">
                  <c:v>50</c:v>
                </c:pt>
                <c:pt idx="9">
                  <c:v>55</c:v>
                </c:pt>
                <c:pt idx="10">
                  <c:v>59</c:v>
                </c:pt>
                <c:pt idx="11">
                  <c:v>62</c:v>
                </c:pt>
                <c:pt idx="12">
                  <c:v>61</c:v>
                </c:pt>
                <c:pt idx="13">
                  <c:v>63</c:v>
                </c:pt>
                <c:pt idx="14">
                  <c:v>63</c:v>
                </c:pt>
                <c:pt idx="15">
                  <c:v>66</c:v>
                </c:pt>
                <c:pt idx="16">
                  <c:v>68</c:v>
                </c:pt>
                <c:pt idx="17">
                  <c:v>70</c:v>
                </c:pt>
                <c:pt idx="18">
                  <c:v>74</c:v>
                </c:pt>
                <c:pt idx="19">
                  <c:v>80</c:v>
                </c:pt>
                <c:pt idx="20">
                  <c:v>81</c:v>
                </c:pt>
                <c:pt idx="21">
                  <c:v>84</c:v>
                </c:pt>
                <c:pt idx="22">
                  <c:v>90</c:v>
                </c:pt>
                <c:pt idx="23">
                  <c:v>93</c:v>
                </c:pt>
              </c:numCache>
            </c:numRef>
          </c:val>
          <c:smooth val="0"/>
        </c:ser>
        <c:ser>
          <c:idx val="4"/>
          <c:order val="4"/>
          <c:tx>
            <c:strRef>
              <c:f>'S&amp;T incidence'!$F$48</c:f>
              <c:strCache>
                <c:ptCount val="1"/>
                <c:pt idx="0">
                  <c:v>SA</c:v>
                </c:pt>
              </c:strCache>
            </c:strRef>
          </c:tx>
          <c:spPr>
            <a:ln w="31750">
              <a:solidFill>
                <a:srgbClr val="FFEB29"/>
              </a:solidFill>
              <a:prstDash val="solid"/>
            </a:ln>
          </c:spPr>
          <c:marker>
            <c:symbol val="none"/>
          </c:marker>
          <c:cat>
            <c:strRef>
              <c:f>'S&amp;T incidence'!$A$49:$A$72</c:f>
              <c:strCache>
                <c:ptCount val="24"/>
                <c:pt idx="0">
                  <c:v>1982-86</c:v>
                </c:pt>
                <c:pt idx="1">
                  <c:v>1983-87</c:v>
                </c:pt>
                <c:pt idx="2">
                  <c:v>1984-88</c:v>
                </c:pt>
                <c:pt idx="3">
                  <c:v>1985-89</c:v>
                </c:pt>
                <c:pt idx="4">
                  <c:v>1986-90</c:v>
                </c:pt>
                <c:pt idx="5">
                  <c:v>1987-91</c:v>
                </c:pt>
                <c:pt idx="6">
                  <c:v>1988-92</c:v>
                </c:pt>
                <c:pt idx="7">
                  <c:v>1989-93</c:v>
                </c:pt>
                <c:pt idx="8">
                  <c:v>1990-94</c:v>
                </c:pt>
                <c:pt idx="9">
                  <c:v>1991-95</c:v>
                </c:pt>
                <c:pt idx="10">
                  <c:v>1992-96</c:v>
                </c:pt>
                <c:pt idx="11">
                  <c:v>1993-97</c:v>
                </c:pt>
                <c:pt idx="12">
                  <c:v>1994-98</c:v>
                </c:pt>
                <c:pt idx="13">
                  <c:v>1995-99</c:v>
                </c:pt>
                <c:pt idx="14">
                  <c:v>1996-00</c:v>
                </c:pt>
                <c:pt idx="15">
                  <c:v>1997-01</c:v>
                </c:pt>
                <c:pt idx="16">
                  <c:v>1998-02</c:v>
                </c:pt>
                <c:pt idx="17">
                  <c:v>1999-03</c:v>
                </c:pt>
                <c:pt idx="18">
                  <c:v>2000-04</c:v>
                </c:pt>
                <c:pt idx="19">
                  <c:v>2001-05</c:v>
                </c:pt>
                <c:pt idx="20">
                  <c:v>2002-06</c:v>
                </c:pt>
                <c:pt idx="21">
                  <c:v>2003-07</c:v>
                </c:pt>
                <c:pt idx="22">
                  <c:v>2004-08</c:v>
                </c:pt>
                <c:pt idx="23">
                  <c:v>2005-09</c:v>
                </c:pt>
              </c:strCache>
            </c:strRef>
          </c:cat>
          <c:val>
            <c:numRef>
              <c:f>'S&amp;T incidence'!$F$49:$F$72</c:f>
              <c:numCache>
                <c:formatCode>0</c:formatCode>
                <c:ptCount val="24"/>
                <c:pt idx="0">
                  <c:v>20</c:v>
                </c:pt>
                <c:pt idx="1">
                  <c:v>21</c:v>
                </c:pt>
                <c:pt idx="2">
                  <c:v>26</c:v>
                </c:pt>
                <c:pt idx="3">
                  <c:v>31</c:v>
                </c:pt>
                <c:pt idx="4">
                  <c:v>34</c:v>
                </c:pt>
                <c:pt idx="5">
                  <c:v>35</c:v>
                </c:pt>
                <c:pt idx="6">
                  <c:v>39</c:v>
                </c:pt>
                <c:pt idx="7">
                  <c:v>37</c:v>
                </c:pt>
                <c:pt idx="8">
                  <c:v>34</c:v>
                </c:pt>
                <c:pt idx="9">
                  <c:v>33</c:v>
                </c:pt>
                <c:pt idx="10">
                  <c:v>32</c:v>
                </c:pt>
                <c:pt idx="11">
                  <c:v>33</c:v>
                </c:pt>
                <c:pt idx="12">
                  <c:v>36</c:v>
                </c:pt>
                <c:pt idx="13">
                  <c:v>40</c:v>
                </c:pt>
                <c:pt idx="14">
                  <c:v>44</c:v>
                </c:pt>
                <c:pt idx="15">
                  <c:v>49</c:v>
                </c:pt>
                <c:pt idx="16">
                  <c:v>51</c:v>
                </c:pt>
                <c:pt idx="17">
                  <c:v>54</c:v>
                </c:pt>
                <c:pt idx="18">
                  <c:v>56</c:v>
                </c:pt>
                <c:pt idx="19">
                  <c:v>57</c:v>
                </c:pt>
                <c:pt idx="20">
                  <c:v>55</c:v>
                </c:pt>
                <c:pt idx="21">
                  <c:v>54</c:v>
                </c:pt>
                <c:pt idx="22">
                  <c:v>54</c:v>
                </c:pt>
                <c:pt idx="23">
                  <c:v>51</c:v>
                </c:pt>
              </c:numCache>
            </c:numRef>
          </c:val>
          <c:smooth val="0"/>
        </c:ser>
        <c:ser>
          <c:idx val="5"/>
          <c:order val="5"/>
          <c:tx>
            <c:strRef>
              <c:f>'S&amp;T incidence'!$G$48</c:f>
              <c:strCache>
                <c:ptCount val="1"/>
                <c:pt idx="0">
                  <c:v>Tas</c:v>
                </c:pt>
              </c:strCache>
            </c:strRef>
          </c:tx>
          <c:spPr>
            <a:ln w="31750">
              <a:solidFill>
                <a:srgbClr val="C4126B"/>
              </a:solidFill>
              <a:prstDash val="solid"/>
            </a:ln>
          </c:spPr>
          <c:marker>
            <c:symbol val="none"/>
          </c:marker>
          <c:cat>
            <c:strRef>
              <c:f>'S&amp;T incidence'!$A$49:$A$72</c:f>
              <c:strCache>
                <c:ptCount val="24"/>
                <c:pt idx="0">
                  <c:v>1982-86</c:v>
                </c:pt>
                <c:pt idx="1">
                  <c:v>1983-87</c:v>
                </c:pt>
                <c:pt idx="2">
                  <c:v>1984-88</c:v>
                </c:pt>
                <c:pt idx="3">
                  <c:v>1985-89</c:v>
                </c:pt>
                <c:pt idx="4">
                  <c:v>1986-90</c:v>
                </c:pt>
                <c:pt idx="5">
                  <c:v>1987-91</c:v>
                </c:pt>
                <c:pt idx="6">
                  <c:v>1988-92</c:v>
                </c:pt>
                <c:pt idx="7">
                  <c:v>1989-93</c:v>
                </c:pt>
                <c:pt idx="8">
                  <c:v>1990-94</c:v>
                </c:pt>
                <c:pt idx="9">
                  <c:v>1991-95</c:v>
                </c:pt>
                <c:pt idx="10">
                  <c:v>1992-96</c:v>
                </c:pt>
                <c:pt idx="11">
                  <c:v>1993-97</c:v>
                </c:pt>
                <c:pt idx="12">
                  <c:v>1994-98</c:v>
                </c:pt>
                <c:pt idx="13">
                  <c:v>1995-99</c:v>
                </c:pt>
                <c:pt idx="14">
                  <c:v>1996-00</c:v>
                </c:pt>
                <c:pt idx="15">
                  <c:v>1997-01</c:v>
                </c:pt>
                <c:pt idx="16">
                  <c:v>1998-02</c:v>
                </c:pt>
                <c:pt idx="17">
                  <c:v>1999-03</c:v>
                </c:pt>
                <c:pt idx="18">
                  <c:v>2000-04</c:v>
                </c:pt>
                <c:pt idx="19">
                  <c:v>2001-05</c:v>
                </c:pt>
                <c:pt idx="20">
                  <c:v>2002-06</c:v>
                </c:pt>
                <c:pt idx="21">
                  <c:v>2003-07</c:v>
                </c:pt>
                <c:pt idx="22">
                  <c:v>2004-08</c:v>
                </c:pt>
                <c:pt idx="23">
                  <c:v>2005-09</c:v>
                </c:pt>
              </c:strCache>
            </c:strRef>
          </c:cat>
          <c:val>
            <c:numRef>
              <c:f>'S&amp;T incidence'!$G$49:$G$72</c:f>
              <c:numCache>
                <c:formatCode>0</c:formatCode>
                <c:ptCount val="24"/>
                <c:pt idx="0">
                  <c:v>2</c:v>
                </c:pt>
                <c:pt idx="1">
                  <c:v>1</c:v>
                </c:pt>
                <c:pt idx="2">
                  <c:v>2</c:v>
                </c:pt>
                <c:pt idx="3">
                  <c:v>2</c:v>
                </c:pt>
                <c:pt idx="4">
                  <c:v>3</c:v>
                </c:pt>
                <c:pt idx="5">
                  <c:v>3</c:v>
                </c:pt>
                <c:pt idx="6">
                  <c:v>4</c:v>
                </c:pt>
                <c:pt idx="7">
                  <c:v>5</c:v>
                </c:pt>
                <c:pt idx="8">
                  <c:v>5</c:v>
                </c:pt>
                <c:pt idx="9">
                  <c:v>6</c:v>
                </c:pt>
                <c:pt idx="10">
                  <c:v>6</c:v>
                </c:pt>
                <c:pt idx="11">
                  <c:v>6</c:v>
                </c:pt>
                <c:pt idx="12">
                  <c:v>6</c:v>
                </c:pt>
                <c:pt idx="13">
                  <c:v>5</c:v>
                </c:pt>
                <c:pt idx="14">
                  <c:v>6</c:v>
                </c:pt>
                <c:pt idx="15">
                  <c:v>7</c:v>
                </c:pt>
                <c:pt idx="16">
                  <c:v>8</c:v>
                </c:pt>
                <c:pt idx="17">
                  <c:v>11</c:v>
                </c:pt>
                <c:pt idx="18">
                  <c:v>13</c:v>
                </c:pt>
                <c:pt idx="19">
                  <c:v>14</c:v>
                </c:pt>
                <c:pt idx="20">
                  <c:v>13</c:v>
                </c:pt>
                <c:pt idx="21">
                  <c:v>13</c:v>
                </c:pt>
                <c:pt idx="22">
                  <c:v>10</c:v>
                </c:pt>
                <c:pt idx="23">
                  <c:v>10</c:v>
                </c:pt>
              </c:numCache>
            </c:numRef>
          </c:val>
          <c:smooth val="0"/>
        </c:ser>
        <c:dLbls>
          <c:showLegendKey val="0"/>
          <c:showVal val="0"/>
          <c:showCatName val="0"/>
          <c:showSerName val="0"/>
          <c:showPercent val="0"/>
          <c:showBubbleSize val="0"/>
        </c:dLbls>
        <c:marker val="1"/>
        <c:smooth val="0"/>
        <c:axId val="108027904"/>
        <c:axId val="108029824"/>
      </c:lineChart>
      <c:catAx>
        <c:axId val="108027904"/>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a:t>Year of diagnosis</a:t>
                </a:r>
              </a:p>
            </c:rich>
          </c:tx>
          <c:layout>
            <c:manualLayout>
              <c:xMode val="edge"/>
              <c:yMode val="edge"/>
              <c:x val="0.41196658343330067"/>
              <c:y val="0.94145481814773169"/>
            </c:manualLayout>
          </c:layout>
          <c:overlay val="0"/>
          <c:spPr>
            <a:noFill/>
            <a:ln w="25400">
              <a:noFill/>
            </a:ln>
          </c:spPr>
        </c:title>
        <c:numFmt formatCode="General" sourceLinked="1"/>
        <c:majorTickMark val="none"/>
        <c:minorTickMark val="out"/>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08029824"/>
        <c:crosses val="autoZero"/>
        <c:auto val="1"/>
        <c:lblAlgn val="ctr"/>
        <c:lblOffset val="100"/>
        <c:tickLblSkip val="1"/>
        <c:tickMarkSkip val="1"/>
        <c:noMultiLvlLbl val="0"/>
      </c:catAx>
      <c:valAx>
        <c:axId val="108029824"/>
        <c:scaling>
          <c:orientation val="minMax"/>
          <c:max val="250"/>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Average number of new cases</a:t>
                </a:r>
              </a:p>
            </c:rich>
          </c:tx>
          <c:layout>
            <c:manualLayout>
              <c:xMode val="edge"/>
              <c:yMode val="edge"/>
              <c:x val="2.56410684446257E-2"/>
              <c:y val="0.15625000000000044"/>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8027904"/>
        <c:crosses val="autoZero"/>
        <c:crossBetween val="between"/>
        <c:majorUnit val="50"/>
        <c:minorUnit val="5"/>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87765731909237"/>
          <c:y val="0.11538497654051652"/>
          <c:w val="0.76782518265931055"/>
          <c:h val="0.59295057388876538"/>
        </c:manualLayout>
      </c:layout>
      <c:barChart>
        <c:barDir val="col"/>
        <c:grouping val="clustered"/>
        <c:varyColors val="0"/>
        <c:ser>
          <c:idx val="0"/>
          <c:order val="0"/>
          <c:tx>
            <c:v>Males</c:v>
          </c:tx>
          <c:spPr>
            <a:solidFill>
              <a:srgbClr val="00456B"/>
            </a:solidFill>
            <a:ln w="12700">
              <a:noFill/>
              <a:prstDash val="solid"/>
            </a:ln>
          </c:spPr>
          <c:invertIfNegative val="0"/>
          <c:cat>
            <c:strRef>
              <c:f>Mortality!$C$82:$J$82</c:f>
              <c:strCache>
                <c:ptCount val="8"/>
                <c:pt idx="0">
                  <c:v>0–54</c:v>
                </c:pt>
                <c:pt idx="1">
                  <c:v>55–59</c:v>
                </c:pt>
                <c:pt idx="2">
                  <c:v>60–64</c:v>
                </c:pt>
                <c:pt idx="3">
                  <c:v>65–69</c:v>
                </c:pt>
                <c:pt idx="4">
                  <c:v>70–74</c:v>
                </c:pt>
                <c:pt idx="5">
                  <c:v>75–79</c:v>
                </c:pt>
                <c:pt idx="6">
                  <c:v>80–84</c:v>
                </c:pt>
                <c:pt idx="7">
                  <c:v>85+</c:v>
                </c:pt>
              </c:strCache>
            </c:strRef>
          </c:cat>
          <c:val>
            <c:numRef>
              <c:f>Mortality!$C$83:$J$83</c:f>
              <c:numCache>
                <c:formatCode>General</c:formatCode>
                <c:ptCount val="8"/>
                <c:pt idx="0">
                  <c:v>18</c:v>
                </c:pt>
                <c:pt idx="1">
                  <c:v>14</c:v>
                </c:pt>
                <c:pt idx="2">
                  <c:v>54</c:v>
                </c:pt>
                <c:pt idx="3">
                  <c:v>75</c:v>
                </c:pt>
                <c:pt idx="4">
                  <c:v>84</c:v>
                </c:pt>
                <c:pt idx="5">
                  <c:v>113</c:v>
                </c:pt>
                <c:pt idx="6">
                  <c:v>87</c:v>
                </c:pt>
                <c:pt idx="7">
                  <c:v>65</c:v>
                </c:pt>
              </c:numCache>
            </c:numRef>
          </c:val>
        </c:ser>
        <c:ser>
          <c:idx val="1"/>
          <c:order val="1"/>
          <c:tx>
            <c:v>Females</c:v>
          </c:tx>
          <c:spPr>
            <a:solidFill>
              <a:srgbClr val="C4126B"/>
            </a:solidFill>
            <a:ln w="12700">
              <a:noFill/>
              <a:prstDash val="solid"/>
            </a:ln>
          </c:spPr>
          <c:invertIfNegative val="0"/>
          <c:cat>
            <c:strRef>
              <c:f>Mortality!$C$82:$J$82</c:f>
              <c:strCache>
                <c:ptCount val="8"/>
                <c:pt idx="0">
                  <c:v>0–54</c:v>
                </c:pt>
                <c:pt idx="1">
                  <c:v>55–59</c:v>
                </c:pt>
                <c:pt idx="2">
                  <c:v>60–64</c:v>
                </c:pt>
                <c:pt idx="3">
                  <c:v>65–69</c:v>
                </c:pt>
                <c:pt idx="4">
                  <c:v>70–74</c:v>
                </c:pt>
                <c:pt idx="5">
                  <c:v>75–79</c:v>
                </c:pt>
                <c:pt idx="6">
                  <c:v>80–84</c:v>
                </c:pt>
                <c:pt idx="7">
                  <c:v>85+</c:v>
                </c:pt>
              </c:strCache>
            </c:strRef>
          </c:cat>
          <c:val>
            <c:numRef>
              <c:f>Mortality!$C$84:$J$84</c:f>
              <c:numCache>
                <c:formatCode>#,##0</c:formatCode>
                <c:ptCount val="8"/>
                <c:pt idx="0" formatCode="General">
                  <c:v>7</c:v>
                </c:pt>
                <c:pt idx="1">
                  <c:v>6</c:v>
                </c:pt>
                <c:pt idx="2">
                  <c:v>12</c:v>
                </c:pt>
                <c:pt idx="3">
                  <c:v>15</c:v>
                </c:pt>
                <c:pt idx="4">
                  <c:v>13</c:v>
                </c:pt>
                <c:pt idx="5">
                  <c:v>10</c:v>
                </c:pt>
                <c:pt idx="6">
                  <c:v>18</c:v>
                </c:pt>
                <c:pt idx="7">
                  <c:v>15</c:v>
                </c:pt>
              </c:numCache>
            </c:numRef>
          </c:val>
        </c:ser>
        <c:dLbls>
          <c:showLegendKey val="0"/>
          <c:showVal val="0"/>
          <c:showCatName val="0"/>
          <c:showSerName val="0"/>
          <c:showPercent val="0"/>
          <c:showBubbleSize val="0"/>
        </c:dLbls>
        <c:gapWidth val="64"/>
        <c:axId val="108084608"/>
        <c:axId val="108086784"/>
      </c:barChart>
      <c:catAx>
        <c:axId val="108084608"/>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a:t>Age group (years)</a:t>
                </a:r>
              </a:p>
            </c:rich>
          </c:tx>
          <c:layout>
            <c:manualLayout>
              <c:xMode val="edge"/>
              <c:yMode val="edge"/>
              <c:x val="0.46252332897079501"/>
              <c:y val="0.84305606961668966"/>
            </c:manualLayout>
          </c:layout>
          <c:overlay val="0"/>
          <c:spPr>
            <a:noFill/>
            <a:ln w="25400">
              <a:noFill/>
            </a:ln>
          </c:spPr>
        </c:title>
        <c:numFmt formatCode="General" sourceLinked="1"/>
        <c:majorTickMark val="none"/>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08086784"/>
        <c:crosses val="autoZero"/>
        <c:auto val="1"/>
        <c:lblAlgn val="ctr"/>
        <c:lblOffset val="100"/>
        <c:tickLblSkip val="1"/>
        <c:tickMarkSkip val="1"/>
        <c:noMultiLvlLbl val="0"/>
      </c:catAx>
      <c:valAx>
        <c:axId val="108086784"/>
        <c:scaling>
          <c:orientation val="minMax"/>
          <c:max val="115"/>
          <c:min val="0"/>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Number of deaths</a:t>
                </a:r>
              </a:p>
            </c:rich>
          </c:tx>
          <c:layout>
            <c:manualLayout>
              <c:xMode val="edge"/>
              <c:yMode val="edge"/>
              <c:x val="7.1298052675506915E-2"/>
              <c:y val="0.26602647369063726"/>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8084608"/>
        <c:crosses val="autoZero"/>
        <c:crossBetween val="between"/>
        <c:majorUnit val="10"/>
      </c:valAx>
      <c:spPr>
        <a:solidFill>
          <a:srgbClr val="FFFFFF"/>
        </a:solidFill>
        <a:ln w="3175">
          <a:solidFill>
            <a:srgbClr val="000000"/>
          </a:solidFill>
          <a:prstDash val="solid"/>
        </a:ln>
      </c:spPr>
    </c:plotArea>
    <c:legend>
      <c:legendPos val="r"/>
      <c:layout>
        <c:manualLayout>
          <c:xMode val="edge"/>
          <c:yMode val="edge"/>
          <c:x val="0.18707874495578364"/>
          <c:y val="0.14316272965879262"/>
          <c:w val="0.19561260605844205"/>
          <c:h val="4.9215480595522533E-2"/>
        </c:manualLayout>
      </c:layout>
      <c:overlay val="0"/>
      <c:spPr>
        <a:solidFill>
          <a:srgbClr val="FFFFFF">
            <a:alpha val="0"/>
          </a:srgbClr>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63102256936397"/>
          <c:y val="0.10112409030173576"/>
          <c:w val="0.81747572815533953"/>
          <c:h val="0.64127626858421194"/>
        </c:manualLayout>
      </c:layout>
      <c:lineChart>
        <c:grouping val="standard"/>
        <c:varyColors val="0"/>
        <c:ser>
          <c:idx val="0"/>
          <c:order val="0"/>
          <c:tx>
            <c:v>Males</c:v>
          </c:tx>
          <c:spPr>
            <a:ln w="31750">
              <a:solidFill>
                <a:srgbClr val="00456B"/>
              </a:solidFill>
            </a:ln>
          </c:spPr>
          <c:marker>
            <c:symbol val="none"/>
          </c:marker>
          <c:cat>
            <c:strRef>
              <c:f>Mortality!$C$114:$J$114</c:f>
              <c:strCache>
                <c:ptCount val="8"/>
                <c:pt idx="0">
                  <c:v>0–54</c:v>
                </c:pt>
                <c:pt idx="1">
                  <c:v>55–59</c:v>
                </c:pt>
                <c:pt idx="2">
                  <c:v>60–64</c:v>
                </c:pt>
                <c:pt idx="3">
                  <c:v>65–69</c:v>
                </c:pt>
                <c:pt idx="4">
                  <c:v>70–74</c:v>
                </c:pt>
                <c:pt idx="5">
                  <c:v>75–79</c:v>
                </c:pt>
                <c:pt idx="6">
                  <c:v>80–84</c:v>
                </c:pt>
                <c:pt idx="7">
                  <c:v>85+</c:v>
                </c:pt>
              </c:strCache>
            </c:strRef>
          </c:cat>
          <c:val>
            <c:numRef>
              <c:f>Mortality!$C$115:$J$115</c:f>
              <c:numCache>
                <c:formatCode>0.0</c:formatCode>
                <c:ptCount val="8"/>
                <c:pt idx="0">
                  <c:v>0.2139126404544455</c:v>
                </c:pt>
                <c:pt idx="1">
                  <c:v>2.1237219744546585</c:v>
                </c:pt>
                <c:pt idx="2">
                  <c:v>8.7746950793459924</c:v>
                </c:pt>
                <c:pt idx="3">
                  <c:v>15.840931700238881</c:v>
                </c:pt>
                <c:pt idx="4">
                  <c:v>24.039768645845555</c:v>
                </c:pt>
                <c:pt idx="5">
                  <c:v>43.786230199324216</c:v>
                </c:pt>
                <c:pt idx="6">
                  <c:v>45.680081909112388</c:v>
                </c:pt>
                <c:pt idx="7">
                  <c:v>46.784804295564804</c:v>
                </c:pt>
              </c:numCache>
            </c:numRef>
          </c:val>
          <c:smooth val="0"/>
        </c:ser>
        <c:ser>
          <c:idx val="1"/>
          <c:order val="1"/>
          <c:tx>
            <c:v>Females</c:v>
          </c:tx>
          <c:spPr>
            <a:ln w="31750">
              <a:solidFill>
                <a:srgbClr val="C4126B"/>
              </a:solidFill>
            </a:ln>
          </c:spPr>
          <c:marker>
            <c:symbol val="none"/>
          </c:marker>
          <c:cat>
            <c:strRef>
              <c:f>Mortality!$C$114:$J$114</c:f>
              <c:strCache>
                <c:ptCount val="8"/>
                <c:pt idx="0">
                  <c:v>0–54</c:v>
                </c:pt>
                <c:pt idx="1">
                  <c:v>55–59</c:v>
                </c:pt>
                <c:pt idx="2">
                  <c:v>60–64</c:v>
                </c:pt>
                <c:pt idx="3">
                  <c:v>65–69</c:v>
                </c:pt>
                <c:pt idx="4">
                  <c:v>70–74</c:v>
                </c:pt>
                <c:pt idx="5">
                  <c:v>75–79</c:v>
                </c:pt>
                <c:pt idx="6">
                  <c:v>80–84</c:v>
                </c:pt>
                <c:pt idx="7">
                  <c:v>85+</c:v>
                </c:pt>
              </c:strCache>
            </c:strRef>
          </c:cat>
          <c:val>
            <c:numRef>
              <c:f>Mortality!$C$116:$J$116</c:f>
              <c:numCache>
                <c:formatCode>0.0</c:formatCode>
                <c:ptCount val="8"/>
                <c:pt idx="0">
                  <c:v>8.4751313615092708E-2</c:v>
                </c:pt>
                <c:pt idx="1">
                  <c:v>0.89012451358404188</c:v>
                </c:pt>
                <c:pt idx="2">
                  <c:v>1.9212418907581859</c:v>
                </c:pt>
                <c:pt idx="3">
                  <c:v>3.1318378459636875</c:v>
                </c:pt>
                <c:pt idx="4">
                  <c:v>3.5151380773276295</c:v>
                </c:pt>
                <c:pt idx="5">
                  <c:v>3.3366811367405296</c:v>
                </c:pt>
                <c:pt idx="6">
                  <c:v>7.1048798683228931</c:v>
                </c:pt>
                <c:pt idx="7">
                  <c:v>5.6738017876258162</c:v>
                </c:pt>
              </c:numCache>
            </c:numRef>
          </c:val>
          <c:smooth val="0"/>
        </c:ser>
        <c:dLbls>
          <c:showLegendKey val="0"/>
          <c:showVal val="0"/>
          <c:showCatName val="0"/>
          <c:showSerName val="0"/>
          <c:showPercent val="0"/>
          <c:showBubbleSize val="0"/>
        </c:dLbls>
        <c:marker val="1"/>
        <c:smooth val="0"/>
        <c:axId val="108128128"/>
        <c:axId val="39059456"/>
      </c:lineChart>
      <c:catAx>
        <c:axId val="108128128"/>
        <c:scaling>
          <c:orientation val="minMax"/>
        </c:scaling>
        <c:delete val="0"/>
        <c:axPos val="b"/>
        <c:title>
          <c:tx>
            <c:rich>
              <a:bodyPr/>
              <a:lstStyle/>
              <a:p>
                <a:pPr>
                  <a:defRPr sz="800" b="0" i="0" u="none" strike="noStrike" baseline="0">
                    <a:solidFill>
                      <a:srgbClr val="000000"/>
                    </a:solidFill>
                    <a:latin typeface="Arial"/>
                    <a:ea typeface="Arial"/>
                    <a:cs typeface="Arial"/>
                  </a:defRPr>
                </a:pPr>
                <a:r>
                  <a:rPr lang="en-AU"/>
                  <a:t>Age group (years)</a:t>
                </a:r>
              </a:p>
            </c:rich>
          </c:tx>
          <c:layout>
            <c:manualLayout>
              <c:xMode val="edge"/>
              <c:yMode val="edge"/>
              <c:x val="0.43398327295313799"/>
              <c:y val="0.88249464689204271"/>
            </c:manualLayout>
          </c:layout>
          <c:overlay val="0"/>
          <c:spPr>
            <a:noFill/>
            <a:ln w="25400">
              <a:noFill/>
            </a:ln>
          </c:spPr>
        </c:title>
        <c:numFmt formatCode="General" sourceLinked="1"/>
        <c:majorTickMark val="none"/>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39059456"/>
        <c:crosses val="autoZero"/>
        <c:auto val="1"/>
        <c:lblAlgn val="ctr"/>
        <c:lblOffset val="100"/>
        <c:tickLblSkip val="1"/>
        <c:tickMarkSkip val="1"/>
        <c:noMultiLvlLbl val="0"/>
      </c:catAx>
      <c:valAx>
        <c:axId val="39059456"/>
        <c:scaling>
          <c:orientation val="minMax"/>
          <c:max val="50"/>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Deaths per 100 000 population</a:t>
                </a:r>
              </a:p>
            </c:rich>
          </c:tx>
          <c:layout>
            <c:manualLayout>
              <c:xMode val="edge"/>
              <c:yMode val="edge"/>
              <c:x val="6.2135922330097092E-2"/>
              <c:y val="0.1123599615225644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8128128"/>
        <c:crosses val="autoZero"/>
        <c:crossBetween val="between"/>
        <c:majorUnit val="10"/>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_rels/drawing10.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0.78474</cdr:x>
      <cdr:y>0.07</cdr:y>
    </cdr:from>
    <cdr:to>
      <cdr:x>0.8806</cdr:x>
      <cdr:y>0.13198</cdr:y>
    </cdr:to>
    <cdr:sp macro="" textlink="">
      <cdr:nvSpPr>
        <cdr:cNvPr id="2" name="TextBox 1"/>
        <cdr:cNvSpPr txBox="1"/>
      </cdr:nvSpPr>
      <cdr:spPr>
        <a:xfrm xmlns:a="http://schemas.openxmlformats.org/drawingml/2006/main">
          <a:off x="3818344" y="207739"/>
          <a:ext cx="466432" cy="1839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itchFamily="34" charset="0"/>
              <a:cs typeface="Arial" pitchFamily="34" charset="0"/>
            </a:rPr>
            <a:t>Males</a:t>
          </a:r>
        </a:p>
      </cdr:txBody>
    </cdr:sp>
  </cdr:relSizeAnchor>
  <cdr:relSizeAnchor xmlns:cdr="http://schemas.openxmlformats.org/drawingml/2006/chartDrawing">
    <cdr:from>
      <cdr:x>0.75971</cdr:x>
      <cdr:y>0.58417</cdr:y>
    </cdr:from>
    <cdr:to>
      <cdr:x>0.88608</cdr:x>
      <cdr:y>0.66349</cdr:y>
    </cdr:to>
    <cdr:sp macro="" textlink="">
      <cdr:nvSpPr>
        <cdr:cNvPr id="3" name="TextBox 2"/>
        <cdr:cNvSpPr txBox="1"/>
      </cdr:nvSpPr>
      <cdr:spPr>
        <a:xfrm xmlns:a="http://schemas.openxmlformats.org/drawingml/2006/main">
          <a:off x="3696588" y="1733563"/>
          <a:ext cx="614886" cy="2353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itchFamily="34" charset="0"/>
              <a:cs typeface="Arial" pitchFamily="34" charset="0"/>
            </a:rPr>
            <a:t>Females</a:t>
          </a:r>
        </a:p>
      </cdr:txBody>
    </cdr:sp>
  </cdr:relSizeAnchor>
</c:userShapes>
</file>

<file path=word/drawings/drawing10.xml><?xml version="1.0" encoding="utf-8"?>
<c:userShapes xmlns:c="http://schemas.openxmlformats.org/drawingml/2006/chart">
  <cdr:relSizeAnchor xmlns:cdr="http://schemas.openxmlformats.org/drawingml/2006/chartDrawing">
    <cdr:from>
      <cdr:x>0.54205</cdr:x>
      <cdr:y>0.31729</cdr:y>
    </cdr:from>
    <cdr:to>
      <cdr:x>0.58514</cdr:x>
      <cdr:y>0.35298</cdr:y>
    </cdr:to>
    <cdr:sp macro="" textlink="">
      <cdr:nvSpPr>
        <cdr:cNvPr id="25602" name="Text Box 2"/>
        <cdr:cNvSpPr txBox="1">
          <a:spLocks xmlns:a="http://schemas.openxmlformats.org/drawingml/2006/main" noChangeArrowheads="1"/>
        </cdr:cNvSpPr>
      </cdr:nvSpPr>
      <cdr:spPr bwMode="auto">
        <a:xfrm xmlns:a="http://schemas.openxmlformats.org/drawingml/2006/main">
          <a:off x="4183262" y="1406051"/>
          <a:ext cx="332550" cy="158158"/>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vertOverflow="clip" wrap="square" lIns="0" tIns="0" rIns="0" bIns="0" anchor="ctr" upright="1"/>
        <a:lstStyle xmlns:a="http://schemas.openxmlformats.org/drawingml/2006/main"/>
        <a:p xmlns:a="http://schemas.openxmlformats.org/drawingml/2006/main">
          <a:pPr algn="ctr" rtl="0">
            <a:defRPr sz="1000"/>
          </a:pPr>
          <a:r>
            <a:rPr lang="en-AU" sz="800" b="0" i="0" u="none" strike="noStrike" baseline="0">
              <a:solidFill>
                <a:srgbClr val="000000"/>
              </a:solidFill>
              <a:latin typeface="Arial"/>
              <a:cs typeface="Arial"/>
            </a:rPr>
            <a:t>Qld</a:t>
          </a:r>
        </a:p>
      </cdr:txBody>
    </cdr:sp>
  </cdr:relSizeAnchor>
  <cdr:relSizeAnchor xmlns:cdr="http://schemas.openxmlformats.org/drawingml/2006/chartDrawing">
    <cdr:from>
      <cdr:x>0.90206</cdr:x>
      <cdr:y>0.4514</cdr:y>
    </cdr:from>
    <cdr:to>
      <cdr:x>0.94153</cdr:x>
      <cdr:y>0.48705</cdr:y>
    </cdr:to>
    <cdr:sp macro="" textlink="">
      <cdr:nvSpPr>
        <cdr:cNvPr id="25603" name="Text Box 3"/>
        <cdr:cNvSpPr txBox="1">
          <a:spLocks xmlns:a="http://schemas.openxmlformats.org/drawingml/2006/main" noChangeArrowheads="1"/>
        </cdr:cNvSpPr>
      </cdr:nvSpPr>
      <cdr:spPr bwMode="auto">
        <a:xfrm xmlns:a="http://schemas.openxmlformats.org/drawingml/2006/main">
          <a:off x="6961659" y="2000344"/>
          <a:ext cx="304611" cy="157981"/>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vertOverflow="clip" wrap="square" lIns="0" tIns="0" rIns="0" bIns="0" anchor="ctr" upright="1"/>
        <a:lstStyle xmlns:a="http://schemas.openxmlformats.org/drawingml/2006/main"/>
        <a:p xmlns:a="http://schemas.openxmlformats.org/drawingml/2006/main">
          <a:pPr algn="ctr" rtl="0">
            <a:defRPr sz="1000"/>
          </a:pPr>
          <a:r>
            <a:rPr lang="en-AU" sz="800" b="0" i="0" u="none" strike="noStrike" baseline="0">
              <a:solidFill>
                <a:srgbClr val="000000"/>
              </a:solidFill>
              <a:latin typeface="Arial"/>
              <a:cs typeface="Arial"/>
            </a:rPr>
            <a:t>SA</a:t>
          </a:r>
        </a:p>
      </cdr:txBody>
    </cdr:sp>
  </cdr:relSizeAnchor>
  <cdr:relSizeAnchor xmlns:cdr="http://schemas.openxmlformats.org/drawingml/2006/chartDrawing">
    <cdr:from>
      <cdr:x>0.54525</cdr:x>
      <cdr:y>0.2299</cdr:y>
    </cdr:from>
    <cdr:to>
      <cdr:x>0.5802</cdr:x>
      <cdr:y>0.26943</cdr:y>
    </cdr:to>
    <cdr:sp macro="" textlink="">
      <cdr:nvSpPr>
        <cdr:cNvPr id="25601" name="Text Box 1"/>
        <cdr:cNvSpPr txBox="1">
          <a:spLocks xmlns:a="http://schemas.openxmlformats.org/drawingml/2006/main" noChangeArrowheads="1"/>
        </cdr:cNvSpPr>
      </cdr:nvSpPr>
      <cdr:spPr bwMode="auto">
        <a:xfrm xmlns:a="http://schemas.openxmlformats.org/drawingml/2006/main">
          <a:off x="4207980" y="1018800"/>
          <a:ext cx="269729" cy="175174"/>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vertOverflow="clip" wrap="square" lIns="0" tIns="0" rIns="0" bIns="0" anchor="ctr" upright="1"/>
        <a:lstStyle xmlns:a="http://schemas.openxmlformats.org/drawingml/2006/main"/>
        <a:p xmlns:a="http://schemas.openxmlformats.org/drawingml/2006/main">
          <a:pPr algn="ctr" rtl="0">
            <a:defRPr sz="1000"/>
          </a:pPr>
          <a:r>
            <a:rPr lang="en-AU" sz="800" b="0" i="0" u="none" strike="noStrike" baseline="0">
              <a:solidFill>
                <a:srgbClr val="000000"/>
              </a:solidFill>
              <a:latin typeface="Arial"/>
              <a:cs typeface="Arial"/>
            </a:rPr>
            <a:t>Vic</a:t>
          </a:r>
        </a:p>
      </cdr:txBody>
    </cdr:sp>
  </cdr:relSizeAnchor>
  <cdr:relSizeAnchor xmlns:cdr="http://schemas.openxmlformats.org/drawingml/2006/chartDrawing">
    <cdr:from>
      <cdr:x>0</cdr:x>
      <cdr:y>0</cdr:y>
    </cdr:from>
    <cdr:to>
      <cdr:x>0.00499</cdr:x>
      <cdr:y>0.00845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0.89013</cdr:x>
      <cdr:y>0.06314</cdr:y>
    </cdr:from>
    <cdr:to>
      <cdr:x>0.9395</cdr:x>
      <cdr:y>0.09328</cdr:y>
    </cdr:to>
    <cdr:sp macro="" textlink="">
      <cdr:nvSpPr>
        <cdr:cNvPr id="6" name="Text Box 1"/>
        <cdr:cNvSpPr txBox="1">
          <a:spLocks xmlns:a="http://schemas.openxmlformats.org/drawingml/2006/main" noChangeArrowheads="1"/>
        </cdr:cNvSpPr>
      </cdr:nvSpPr>
      <cdr:spPr bwMode="auto">
        <a:xfrm xmlns:a="http://schemas.openxmlformats.org/drawingml/2006/main">
          <a:off x="6869631" y="279800"/>
          <a:ext cx="381016" cy="133564"/>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en-AU" sz="800" b="0" i="0" u="none" strike="noStrike" baseline="0">
              <a:solidFill>
                <a:srgbClr val="000000"/>
              </a:solidFill>
              <a:latin typeface="Arial"/>
              <a:cs typeface="Arial"/>
            </a:rPr>
            <a:t>NSW</a:t>
          </a:r>
        </a:p>
      </cdr:txBody>
    </cdr:sp>
  </cdr:relSizeAnchor>
  <cdr:relSizeAnchor xmlns:cdr="http://schemas.openxmlformats.org/drawingml/2006/chartDrawing">
    <cdr:from>
      <cdr:x>0.89916</cdr:x>
      <cdr:y>0.34407</cdr:y>
    </cdr:from>
    <cdr:to>
      <cdr:x>0.93831</cdr:x>
      <cdr:y>0.37926</cdr:y>
    </cdr:to>
    <cdr:sp macro="" textlink="">
      <cdr:nvSpPr>
        <cdr:cNvPr id="7" name="Text Box 1"/>
        <cdr:cNvSpPr txBox="1">
          <a:spLocks xmlns:a="http://schemas.openxmlformats.org/drawingml/2006/main" noChangeArrowheads="1"/>
        </cdr:cNvSpPr>
      </cdr:nvSpPr>
      <cdr:spPr bwMode="auto">
        <a:xfrm xmlns:a="http://schemas.openxmlformats.org/drawingml/2006/main">
          <a:off x="6939309" y="1524736"/>
          <a:ext cx="302142" cy="155942"/>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en-AU" sz="800" b="0" i="0" u="none" strike="noStrike" baseline="0">
              <a:solidFill>
                <a:srgbClr val="000000"/>
              </a:solidFill>
              <a:latin typeface="Arial"/>
              <a:cs typeface="Arial"/>
            </a:rPr>
            <a:t>WA</a:t>
          </a:r>
        </a:p>
      </cdr:txBody>
    </cdr:sp>
  </cdr:relSizeAnchor>
  <cdr:relSizeAnchor xmlns:cdr="http://schemas.openxmlformats.org/drawingml/2006/chartDrawing">
    <cdr:from>
      <cdr:x>0.90064</cdr:x>
      <cdr:y>0.50172</cdr:y>
    </cdr:from>
    <cdr:to>
      <cdr:x>0.93962</cdr:x>
      <cdr:y>0.53567</cdr:y>
    </cdr:to>
    <cdr:sp macro="" textlink="">
      <cdr:nvSpPr>
        <cdr:cNvPr id="8" name="Text Box 1"/>
        <cdr:cNvSpPr txBox="1">
          <a:spLocks xmlns:a="http://schemas.openxmlformats.org/drawingml/2006/main" noChangeArrowheads="1"/>
        </cdr:cNvSpPr>
      </cdr:nvSpPr>
      <cdr:spPr bwMode="auto">
        <a:xfrm xmlns:a="http://schemas.openxmlformats.org/drawingml/2006/main">
          <a:off x="6950721" y="2223340"/>
          <a:ext cx="300830" cy="150447"/>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en-AU" sz="800" b="0" i="0" u="none" strike="noStrike" baseline="0">
              <a:solidFill>
                <a:srgbClr val="000000"/>
              </a:solidFill>
              <a:latin typeface="Arial"/>
              <a:cs typeface="Arial"/>
            </a:rPr>
            <a:t>Tas</a:t>
          </a:r>
        </a:p>
      </cdr:txBody>
    </cdr:sp>
  </cdr:relSizeAnchor>
</c:userShapes>
</file>

<file path=word/drawings/drawing2.xml><?xml version="1.0" encoding="utf-8"?>
<c:userShapes xmlns:c="http://schemas.openxmlformats.org/drawingml/2006/chart">
  <cdr:relSizeAnchor xmlns:cdr="http://schemas.openxmlformats.org/drawingml/2006/chartDrawing">
    <cdr:from>
      <cdr:x>0.67809</cdr:x>
      <cdr:y>0.08454</cdr:y>
    </cdr:from>
    <cdr:to>
      <cdr:x>0.75573</cdr:x>
      <cdr:y>0.13839</cdr:y>
    </cdr:to>
    <cdr:sp macro="" textlink="">
      <cdr:nvSpPr>
        <cdr:cNvPr id="2" name="Text Box 1026"/>
        <cdr:cNvSpPr txBox="1">
          <a:spLocks xmlns:a="http://schemas.openxmlformats.org/drawingml/2006/main" noChangeArrowheads="1"/>
        </cdr:cNvSpPr>
      </cdr:nvSpPr>
      <cdr:spPr bwMode="auto">
        <a:xfrm xmlns:a="http://schemas.openxmlformats.org/drawingml/2006/main">
          <a:off x="3558785" y="238620"/>
          <a:ext cx="407476" cy="151996"/>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Persons</a:t>
          </a:r>
        </a:p>
      </cdr:txBody>
    </cdr:sp>
  </cdr:relSizeAnchor>
  <cdr:relSizeAnchor xmlns:cdr="http://schemas.openxmlformats.org/drawingml/2006/chartDrawing">
    <cdr:from>
      <cdr:x>0.81069</cdr:x>
      <cdr:y>0.20199</cdr:y>
    </cdr:from>
    <cdr:to>
      <cdr:x>0.86783</cdr:x>
      <cdr:y>0.24794</cdr:y>
    </cdr:to>
    <cdr:sp macro="" textlink="">
      <cdr:nvSpPr>
        <cdr:cNvPr id="3" name="Text Box 1026"/>
        <cdr:cNvSpPr txBox="1">
          <a:spLocks xmlns:a="http://schemas.openxmlformats.org/drawingml/2006/main" noChangeArrowheads="1"/>
        </cdr:cNvSpPr>
      </cdr:nvSpPr>
      <cdr:spPr bwMode="auto">
        <a:xfrm xmlns:a="http://schemas.openxmlformats.org/drawingml/2006/main">
          <a:off x="4254733" y="570130"/>
          <a:ext cx="299886" cy="129697"/>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Males</a:t>
          </a:r>
        </a:p>
      </cdr:txBody>
    </cdr:sp>
  </cdr:relSizeAnchor>
  <cdr:relSizeAnchor xmlns:cdr="http://schemas.openxmlformats.org/drawingml/2006/chartDrawing">
    <cdr:from>
      <cdr:x>0.84846</cdr:x>
      <cdr:y>0.61249</cdr:y>
    </cdr:from>
    <cdr:to>
      <cdr:x>0.93103</cdr:x>
      <cdr:y>0.66324</cdr:y>
    </cdr:to>
    <cdr:sp macro="" textlink="">
      <cdr:nvSpPr>
        <cdr:cNvPr id="4" name="Text Box 1026"/>
        <cdr:cNvSpPr txBox="1">
          <a:spLocks xmlns:a="http://schemas.openxmlformats.org/drawingml/2006/main" noChangeArrowheads="1"/>
        </cdr:cNvSpPr>
      </cdr:nvSpPr>
      <cdr:spPr bwMode="auto">
        <a:xfrm xmlns:a="http://schemas.openxmlformats.org/drawingml/2006/main">
          <a:off x="4452937" y="1728788"/>
          <a:ext cx="433388" cy="143257"/>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Females</a:t>
          </a:r>
        </a:p>
      </cdr:txBody>
    </cdr:sp>
  </cdr:relSizeAnchor>
</c:userShapes>
</file>

<file path=word/drawings/drawing3.xml><?xml version="1.0" encoding="utf-8"?>
<c:userShapes xmlns:c="http://schemas.openxmlformats.org/drawingml/2006/chart">
  <cdr:relSizeAnchor xmlns:cdr="http://schemas.openxmlformats.org/drawingml/2006/chartDrawing">
    <cdr:from>
      <cdr:x>0.7565</cdr:x>
      <cdr:y>0.28824</cdr:y>
    </cdr:from>
    <cdr:to>
      <cdr:x>0.94285</cdr:x>
      <cdr:y>0.33103</cdr:y>
    </cdr:to>
    <cdr:sp macro="" textlink="">
      <cdr:nvSpPr>
        <cdr:cNvPr id="100356" name="Text Box 1028"/>
        <cdr:cNvSpPr txBox="1">
          <a:spLocks xmlns:a="http://schemas.openxmlformats.org/drawingml/2006/main" noChangeArrowheads="1"/>
        </cdr:cNvSpPr>
      </cdr:nvSpPr>
      <cdr:spPr bwMode="auto">
        <a:xfrm xmlns:a="http://schemas.openxmlformats.org/drawingml/2006/main">
          <a:off x="3644887" y="815091"/>
          <a:ext cx="897856" cy="121002"/>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vertOverflow="clip" wrap="square" lIns="0" tIns="0" rIns="0" bIns="0" anchor="ctr" upright="1"/>
        <a:lstStyle xmlns:a="http://schemas.openxmlformats.org/drawingml/2006/main"/>
        <a:p xmlns:a="http://schemas.openxmlformats.org/drawingml/2006/main">
          <a:pPr algn="ctr" rtl="0">
            <a:defRPr sz="1000"/>
          </a:pPr>
          <a:r>
            <a:rPr lang="en-AU" sz="800" b="0" i="0" u="none" strike="noStrike" baseline="0">
              <a:solidFill>
                <a:srgbClr val="000000"/>
              </a:solidFill>
              <a:latin typeface="Arial"/>
              <a:cs typeface="Arial"/>
            </a:rPr>
            <a:t>Males aged 65–79</a:t>
          </a:r>
        </a:p>
      </cdr:txBody>
    </cdr:sp>
  </cdr:relSizeAnchor>
  <cdr:relSizeAnchor xmlns:cdr="http://schemas.openxmlformats.org/drawingml/2006/chartDrawing">
    <cdr:from>
      <cdr:x>0.4346</cdr:x>
      <cdr:y>0.09595</cdr:y>
    </cdr:from>
    <cdr:to>
      <cdr:x>0.73076</cdr:x>
      <cdr:y>0.14662</cdr:y>
    </cdr:to>
    <cdr:sp macro="" textlink="">
      <cdr:nvSpPr>
        <cdr:cNvPr id="100354" name="Text Box 1026"/>
        <cdr:cNvSpPr txBox="1">
          <a:spLocks xmlns:a="http://schemas.openxmlformats.org/drawingml/2006/main" noChangeArrowheads="1"/>
        </cdr:cNvSpPr>
      </cdr:nvSpPr>
      <cdr:spPr bwMode="auto">
        <a:xfrm xmlns:a="http://schemas.openxmlformats.org/drawingml/2006/main">
          <a:off x="2093941" y="271343"/>
          <a:ext cx="1426932" cy="143258"/>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800" b="0" i="0" u="none" strike="noStrike" baseline="0">
              <a:solidFill>
                <a:srgbClr val="000000"/>
              </a:solidFill>
              <a:latin typeface="Arial"/>
              <a:cs typeface="Arial"/>
            </a:rPr>
            <a:t>Males aged 80 years and over</a:t>
          </a:r>
        </a:p>
      </cdr:txBody>
    </cdr:sp>
  </cdr:relSizeAnchor>
  <cdr:relSizeAnchor xmlns:cdr="http://schemas.openxmlformats.org/drawingml/2006/chartDrawing">
    <cdr:from>
      <cdr:x>0.75911</cdr:x>
      <cdr:y>0.59419</cdr:y>
    </cdr:from>
    <cdr:to>
      <cdr:x>0.94072</cdr:x>
      <cdr:y>0.64484</cdr:y>
    </cdr:to>
    <cdr:sp macro="" textlink="">
      <cdr:nvSpPr>
        <cdr:cNvPr id="4" name="Text Box 1026"/>
        <cdr:cNvSpPr txBox="1">
          <a:spLocks xmlns:a="http://schemas.openxmlformats.org/drawingml/2006/main" noChangeArrowheads="1"/>
        </cdr:cNvSpPr>
      </cdr:nvSpPr>
      <cdr:spPr bwMode="auto">
        <a:xfrm xmlns:a="http://schemas.openxmlformats.org/drawingml/2006/main">
          <a:off x="3657463" y="1680262"/>
          <a:ext cx="875017" cy="143229"/>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Males aged 50–64</a:t>
          </a:r>
        </a:p>
      </cdr:txBody>
    </cdr:sp>
  </cdr:relSizeAnchor>
  <cdr:relSizeAnchor xmlns:cdr="http://schemas.openxmlformats.org/drawingml/2006/chartDrawing">
    <cdr:from>
      <cdr:x>0.75717</cdr:x>
      <cdr:y>0.72461</cdr:y>
    </cdr:from>
    <cdr:to>
      <cdr:x>0.93972</cdr:x>
      <cdr:y>0.77527</cdr:y>
    </cdr:to>
    <cdr:sp macro="" textlink="">
      <cdr:nvSpPr>
        <cdr:cNvPr id="5" name="Text Box 1026"/>
        <cdr:cNvSpPr txBox="1">
          <a:spLocks xmlns:a="http://schemas.openxmlformats.org/drawingml/2006/main" noChangeArrowheads="1"/>
        </cdr:cNvSpPr>
      </cdr:nvSpPr>
      <cdr:spPr bwMode="auto">
        <a:xfrm xmlns:a="http://schemas.openxmlformats.org/drawingml/2006/main">
          <a:off x="3648145" y="2049056"/>
          <a:ext cx="879547" cy="143258"/>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Males aged 35–49</a:t>
          </a:r>
        </a:p>
      </cdr:txBody>
    </cdr:sp>
  </cdr:relSizeAnchor>
</c:userShapes>
</file>

<file path=word/drawings/drawing4.xml><?xml version="1.0" encoding="utf-8"?>
<c:userShapes xmlns:c="http://schemas.openxmlformats.org/drawingml/2006/chart">
  <cdr:relSizeAnchor xmlns:cdr="http://schemas.openxmlformats.org/drawingml/2006/chartDrawing">
    <cdr:from>
      <cdr:x>0.74359</cdr:x>
      <cdr:y>0.54592</cdr:y>
    </cdr:from>
    <cdr:to>
      <cdr:x>0.94972</cdr:x>
      <cdr:y>0.58871</cdr:y>
    </cdr:to>
    <cdr:sp macro="" textlink="">
      <cdr:nvSpPr>
        <cdr:cNvPr id="100356" name="Text Box 1028"/>
        <cdr:cNvSpPr txBox="1">
          <a:spLocks xmlns:a="http://schemas.openxmlformats.org/drawingml/2006/main" noChangeArrowheads="1"/>
        </cdr:cNvSpPr>
      </cdr:nvSpPr>
      <cdr:spPr bwMode="auto">
        <a:xfrm xmlns:a="http://schemas.openxmlformats.org/drawingml/2006/main">
          <a:off x="3528715" y="1659962"/>
          <a:ext cx="978192" cy="130110"/>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vertOverflow="clip" wrap="square" lIns="0" tIns="0" rIns="0" bIns="0" anchor="ctr" upright="1"/>
        <a:lstStyle xmlns:a="http://schemas.openxmlformats.org/drawingml/2006/main"/>
        <a:p xmlns:a="http://schemas.openxmlformats.org/drawingml/2006/main">
          <a:pPr algn="ctr" rtl="0">
            <a:defRPr sz="1000"/>
          </a:pPr>
          <a:r>
            <a:rPr lang="en-AU" sz="800" b="0" i="0" u="none" strike="noStrike" baseline="0">
              <a:solidFill>
                <a:srgbClr val="000000"/>
              </a:solidFill>
              <a:latin typeface="Arial"/>
              <a:cs typeface="Arial"/>
            </a:rPr>
            <a:t>Females aged 65–79</a:t>
          </a:r>
        </a:p>
      </cdr:txBody>
    </cdr:sp>
  </cdr:relSizeAnchor>
  <cdr:relSizeAnchor xmlns:cdr="http://schemas.openxmlformats.org/drawingml/2006/chartDrawing">
    <cdr:from>
      <cdr:x>0.62964</cdr:x>
      <cdr:y>0.095</cdr:y>
    </cdr:from>
    <cdr:to>
      <cdr:x>0.9587</cdr:x>
      <cdr:y>0.14566</cdr:y>
    </cdr:to>
    <cdr:sp macro="" textlink="">
      <cdr:nvSpPr>
        <cdr:cNvPr id="100354" name="Text Box 1026"/>
        <cdr:cNvSpPr txBox="1">
          <a:spLocks xmlns:a="http://schemas.openxmlformats.org/drawingml/2006/main" noChangeArrowheads="1"/>
        </cdr:cNvSpPr>
      </cdr:nvSpPr>
      <cdr:spPr bwMode="auto">
        <a:xfrm xmlns:a="http://schemas.openxmlformats.org/drawingml/2006/main">
          <a:off x="2993498" y="288864"/>
          <a:ext cx="1564452" cy="154040"/>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800" b="0" i="0" u="none" strike="noStrike" baseline="0">
              <a:solidFill>
                <a:srgbClr val="000000"/>
              </a:solidFill>
              <a:latin typeface="Arial"/>
              <a:cs typeface="Arial"/>
            </a:rPr>
            <a:t>Females aged 80 years and over</a:t>
          </a:r>
        </a:p>
      </cdr:txBody>
    </cdr:sp>
  </cdr:relSizeAnchor>
  <cdr:relSizeAnchor xmlns:cdr="http://schemas.openxmlformats.org/drawingml/2006/chartDrawing">
    <cdr:from>
      <cdr:x>0.74428</cdr:x>
      <cdr:y>0.59419</cdr:y>
    </cdr:from>
    <cdr:to>
      <cdr:x>0.95292</cdr:x>
      <cdr:y>0.64484</cdr:y>
    </cdr:to>
    <cdr:sp macro="" textlink="">
      <cdr:nvSpPr>
        <cdr:cNvPr id="4" name="Text Box 1026"/>
        <cdr:cNvSpPr txBox="1">
          <a:spLocks xmlns:a="http://schemas.openxmlformats.org/drawingml/2006/main" noChangeArrowheads="1"/>
        </cdr:cNvSpPr>
      </cdr:nvSpPr>
      <cdr:spPr bwMode="auto">
        <a:xfrm xmlns:a="http://schemas.openxmlformats.org/drawingml/2006/main">
          <a:off x="3538538" y="1804988"/>
          <a:ext cx="991929" cy="153892"/>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Females aged 50–64</a:t>
          </a:r>
        </a:p>
      </cdr:txBody>
    </cdr:sp>
  </cdr:relSizeAnchor>
  <cdr:relSizeAnchor xmlns:cdr="http://schemas.openxmlformats.org/drawingml/2006/chartDrawing">
    <cdr:from>
      <cdr:x>0.75035</cdr:x>
      <cdr:y>0.71181</cdr:y>
    </cdr:from>
    <cdr:to>
      <cdr:x>0.95898</cdr:x>
      <cdr:y>0.75058</cdr:y>
    </cdr:to>
    <cdr:sp macro="" textlink="">
      <cdr:nvSpPr>
        <cdr:cNvPr id="5" name="Text Box 1026"/>
        <cdr:cNvSpPr txBox="1">
          <a:spLocks xmlns:a="http://schemas.openxmlformats.org/drawingml/2006/main" noChangeArrowheads="1"/>
        </cdr:cNvSpPr>
      </cdr:nvSpPr>
      <cdr:spPr bwMode="auto">
        <a:xfrm xmlns:a="http://schemas.openxmlformats.org/drawingml/2006/main">
          <a:off x="3579235" y="2177810"/>
          <a:ext cx="995190" cy="118619"/>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ctr" anchorCtr="0"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Females aged 35–49</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0.00438</cdr:x>
      <cdr:y>0.008</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0.86534</cdr:x>
      <cdr:y>0.37946</cdr:y>
    </cdr:from>
    <cdr:to>
      <cdr:x>0.94639</cdr:x>
      <cdr:y>0.42667</cdr:y>
    </cdr:to>
    <cdr:sp macro="" textlink="">
      <cdr:nvSpPr>
        <cdr:cNvPr id="10" name="Text Box 1"/>
        <cdr:cNvSpPr txBox="1">
          <a:spLocks xmlns:a="http://schemas.openxmlformats.org/drawingml/2006/main" noChangeArrowheads="1"/>
        </cdr:cNvSpPr>
      </cdr:nvSpPr>
      <cdr:spPr bwMode="auto">
        <a:xfrm xmlns:a="http://schemas.openxmlformats.org/drawingml/2006/main">
          <a:off x="4461023" y="1085472"/>
          <a:ext cx="417846" cy="135057"/>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Persons</a:t>
          </a:r>
        </a:p>
      </cdr:txBody>
    </cdr:sp>
  </cdr:relSizeAnchor>
  <cdr:relSizeAnchor xmlns:cdr="http://schemas.openxmlformats.org/drawingml/2006/chartDrawing">
    <cdr:from>
      <cdr:x>0.8837</cdr:x>
      <cdr:y>0.07886</cdr:y>
    </cdr:from>
    <cdr:to>
      <cdr:x>0.93714</cdr:x>
      <cdr:y>0.13255</cdr:y>
    </cdr:to>
    <cdr:sp macro="" textlink="">
      <cdr:nvSpPr>
        <cdr:cNvPr id="11" name="Text Box 1"/>
        <cdr:cNvSpPr txBox="1">
          <a:spLocks xmlns:a="http://schemas.openxmlformats.org/drawingml/2006/main" noChangeArrowheads="1"/>
        </cdr:cNvSpPr>
      </cdr:nvSpPr>
      <cdr:spPr bwMode="auto">
        <a:xfrm xmlns:a="http://schemas.openxmlformats.org/drawingml/2006/main">
          <a:off x="4552951" y="223838"/>
          <a:ext cx="275339" cy="152399"/>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Males</a:t>
          </a:r>
        </a:p>
      </cdr:txBody>
    </cdr:sp>
  </cdr:relSizeAnchor>
  <cdr:relSizeAnchor xmlns:cdr="http://schemas.openxmlformats.org/drawingml/2006/chartDrawing">
    <cdr:from>
      <cdr:x>0.86521</cdr:x>
      <cdr:y>0.62416</cdr:y>
    </cdr:from>
    <cdr:to>
      <cdr:x>0.94361</cdr:x>
      <cdr:y>0.66779</cdr:y>
    </cdr:to>
    <cdr:sp macro="" textlink="">
      <cdr:nvSpPr>
        <cdr:cNvPr id="12" name="Text Box 1"/>
        <cdr:cNvSpPr txBox="1">
          <a:spLocks xmlns:a="http://schemas.openxmlformats.org/drawingml/2006/main" noChangeArrowheads="1"/>
        </cdr:cNvSpPr>
      </cdr:nvSpPr>
      <cdr:spPr bwMode="auto">
        <a:xfrm xmlns:a="http://schemas.openxmlformats.org/drawingml/2006/main">
          <a:off x="4457699" y="1771650"/>
          <a:ext cx="403927" cy="123825"/>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Females</a:t>
          </a:r>
        </a:p>
      </cdr:txBody>
    </cdr:sp>
  </cdr:relSizeAnchor>
</c:userShapes>
</file>

<file path=word/drawings/drawing6.xml><?xml version="1.0" encoding="utf-8"?>
<c:userShapes xmlns:c="http://schemas.openxmlformats.org/drawingml/2006/chart">
  <cdr:relSizeAnchor xmlns:cdr="http://schemas.openxmlformats.org/drawingml/2006/chartDrawing">
    <cdr:from>
      <cdr:x>0.73865</cdr:x>
      <cdr:y>0.36283</cdr:y>
    </cdr:from>
    <cdr:to>
      <cdr:x>0.76586</cdr:x>
      <cdr:y>0.39627</cdr:y>
    </cdr:to>
    <cdr:sp macro="" textlink="">
      <cdr:nvSpPr>
        <cdr:cNvPr id="13313" name="Text Box 1"/>
        <cdr:cNvSpPr txBox="1">
          <a:spLocks xmlns:a="http://schemas.openxmlformats.org/drawingml/2006/main" noChangeArrowheads="1"/>
        </cdr:cNvSpPr>
      </cdr:nvSpPr>
      <cdr:spPr bwMode="auto">
        <a:xfrm xmlns:a="http://schemas.openxmlformats.org/drawingml/2006/main">
          <a:off x="4103668" y="1101730"/>
          <a:ext cx="151169" cy="101541"/>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vertOverflow="clip" wrap="square" lIns="0" tIns="0" rIns="0" bIns="0" anchor="t" upright="1"/>
        <a:lstStyle xmlns:a="http://schemas.openxmlformats.org/drawingml/2006/main"/>
        <a:p xmlns:a="http://schemas.openxmlformats.org/drawingml/2006/main">
          <a:pPr algn="l" rtl="0">
            <a:defRPr sz="1000"/>
          </a:pPr>
          <a:r>
            <a:rPr lang="en-AU" sz="800" b="0" i="0" u="none" strike="noStrike" baseline="0">
              <a:solidFill>
                <a:srgbClr val="000000"/>
              </a:solidFill>
              <a:latin typeface="Arial"/>
              <a:cs typeface="Arial"/>
            </a:rPr>
            <a:t>Vic</a:t>
          </a:r>
        </a:p>
      </cdr:txBody>
    </cdr:sp>
  </cdr:relSizeAnchor>
  <cdr:relSizeAnchor xmlns:cdr="http://schemas.openxmlformats.org/drawingml/2006/chartDrawing">
    <cdr:from>
      <cdr:x>0.79066</cdr:x>
      <cdr:y>0.12724</cdr:y>
    </cdr:from>
    <cdr:to>
      <cdr:x>0.83596</cdr:x>
      <cdr:y>0.16511</cdr:y>
    </cdr:to>
    <cdr:sp macro="" textlink="">
      <cdr:nvSpPr>
        <cdr:cNvPr id="3" name="Text Box 1"/>
        <cdr:cNvSpPr txBox="1">
          <a:spLocks xmlns:a="http://schemas.openxmlformats.org/drawingml/2006/main" noChangeArrowheads="1"/>
        </cdr:cNvSpPr>
      </cdr:nvSpPr>
      <cdr:spPr bwMode="auto">
        <a:xfrm xmlns:a="http://schemas.openxmlformats.org/drawingml/2006/main">
          <a:off x="4392625" y="386382"/>
          <a:ext cx="251671" cy="114993"/>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NSW</a:t>
          </a:r>
        </a:p>
      </cdr:txBody>
    </cdr:sp>
  </cdr:relSizeAnchor>
  <cdr:relSizeAnchor xmlns:cdr="http://schemas.openxmlformats.org/drawingml/2006/chartDrawing">
    <cdr:from>
      <cdr:x>0.77713</cdr:x>
      <cdr:y>0.40577</cdr:y>
    </cdr:from>
    <cdr:to>
      <cdr:x>0.81046</cdr:x>
      <cdr:y>0.43702</cdr:y>
    </cdr:to>
    <cdr:sp macro="" textlink="">
      <cdr:nvSpPr>
        <cdr:cNvPr id="4" name="Text Box 1"/>
        <cdr:cNvSpPr txBox="1">
          <a:spLocks xmlns:a="http://schemas.openxmlformats.org/drawingml/2006/main" noChangeArrowheads="1"/>
        </cdr:cNvSpPr>
      </cdr:nvSpPr>
      <cdr:spPr bwMode="auto">
        <a:xfrm xmlns:a="http://schemas.openxmlformats.org/drawingml/2006/main">
          <a:off x="4317466" y="1232142"/>
          <a:ext cx="185170" cy="94892"/>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Qld</a:t>
          </a:r>
        </a:p>
      </cdr:txBody>
    </cdr:sp>
  </cdr:relSizeAnchor>
  <cdr:relSizeAnchor xmlns:cdr="http://schemas.openxmlformats.org/drawingml/2006/chartDrawing">
    <cdr:from>
      <cdr:x>0</cdr:x>
      <cdr:y>0</cdr:y>
    </cdr:from>
    <cdr:to>
      <cdr:x>0.00438</cdr:x>
      <cdr:y>0.008</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0.75127</cdr:x>
      <cdr:y>0.51071</cdr:y>
    </cdr:from>
    <cdr:to>
      <cdr:x>0.78546</cdr:x>
      <cdr:y>0.54352</cdr:y>
    </cdr:to>
    <cdr:sp macro="" textlink="">
      <cdr:nvSpPr>
        <cdr:cNvPr id="7" name="Text Box 1"/>
        <cdr:cNvSpPr txBox="1">
          <a:spLocks xmlns:a="http://schemas.openxmlformats.org/drawingml/2006/main" noChangeArrowheads="1"/>
        </cdr:cNvSpPr>
      </cdr:nvSpPr>
      <cdr:spPr bwMode="auto">
        <a:xfrm xmlns:a="http://schemas.openxmlformats.org/drawingml/2006/main">
          <a:off x="4173817" y="1550786"/>
          <a:ext cx="189947" cy="99628"/>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WA</a:t>
          </a:r>
        </a:p>
      </cdr:txBody>
    </cdr:sp>
  </cdr:relSizeAnchor>
  <cdr:relSizeAnchor xmlns:cdr="http://schemas.openxmlformats.org/drawingml/2006/chartDrawing">
    <cdr:from>
      <cdr:x>0.82187</cdr:x>
      <cdr:y>0.59695</cdr:y>
    </cdr:from>
    <cdr:to>
      <cdr:x>0.84922</cdr:x>
      <cdr:y>0.62663</cdr:y>
    </cdr:to>
    <cdr:sp macro="" textlink="">
      <cdr:nvSpPr>
        <cdr:cNvPr id="8" name="Text Box 1"/>
        <cdr:cNvSpPr txBox="1">
          <a:spLocks xmlns:a="http://schemas.openxmlformats.org/drawingml/2006/main" noChangeArrowheads="1"/>
        </cdr:cNvSpPr>
      </cdr:nvSpPr>
      <cdr:spPr bwMode="auto">
        <a:xfrm xmlns:a="http://schemas.openxmlformats.org/drawingml/2006/main">
          <a:off x="4566044" y="1812656"/>
          <a:ext cx="151947" cy="90124"/>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SA</a:t>
          </a:r>
        </a:p>
      </cdr:txBody>
    </cdr:sp>
  </cdr:relSizeAnchor>
  <cdr:relSizeAnchor xmlns:cdr="http://schemas.openxmlformats.org/drawingml/2006/chartDrawing">
    <cdr:from>
      <cdr:x>0.81482</cdr:x>
      <cdr:y>0.71629</cdr:y>
    </cdr:from>
    <cdr:to>
      <cdr:x>0.84559</cdr:x>
      <cdr:y>0.7491</cdr:y>
    </cdr:to>
    <cdr:sp macro="" textlink="">
      <cdr:nvSpPr>
        <cdr:cNvPr id="9" name="Text Box 1"/>
        <cdr:cNvSpPr txBox="1">
          <a:spLocks xmlns:a="http://schemas.openxmlformats.org/drawingml/2006/main" noChangeArrowheads="1"/>
        </cdr:cNvSpPr>
      </cdr:nvSpPr>
      <cdr:spPr bwMode="auto">
        <a:xfrm xmlns:a="http://schemas.openxmlformats.org/drawingml/2006/main">
          <a:off x="4526838" y="2175035"/>
          <a:ext cx="170948" cy="99629"/>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AU" sz="800" b="0" i="0" u="none" strike="noStrike" baseline="0">
              <a:solidFill>
                <a:srgbClr val="000000"/>
              </a:solidFill>
              <a:latin typeface="Arial"/>
              <a:cs typeface="Arial"/>
            </a:rPr>
            <a:t>Tas</a:t>
          </a:r>
        </a:p>
      </cdr:txBody>
    </cdr:sp>
  </cdr:relSizeAnchor>
</c:userShapes>
</file>

<file path=word/drawings/drawing7.xml><?xml version="1.0" encoding="utf-8"?>
<c:userShapes xmlns:c="http://schemas.openxmlformats.org/drawingml/2006/chart">
  <cdr:relSizeAnchor xmlns:cdr="http://schemas.openxmlformats.org/drawingml/2006/chartDrawing">
    <cdr:from>
      <cdr:x>0.82715</cdr:x>
      <cdr:y>0.15273</cdr:y>
    </cdr:from>
    <cdr:to>
      <cdr:x>0.92843</cdr:x>
      <cdr:y>0.23065</cdr:y>
    </cdr:to>
    <cdr:sp macro="" textlink="">
      <cdr:nvSpPr>
        <cdr:cNvPr id="2" name="TextBox 1"/>
        <cdr:cNvSpPr txBox="1"/>
      </cdr:nvSpPr>
      <cdr:spPr>
        <a:xfrm xmlns:a="http://schemas.openxmlformats.org/drawingml/2006/main">
          <a:off x="3731387" y="387310"/>
          <a:ext cx="456868" cy="1975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itchFamily="34" charset="0"/>
              <a:cs typeface="Arial" pitchFamily="34" charset="0"/>
            </a:rPr>
            <a:t>Males</a:t>
          </a:r>
        </a:p>
      </cdr:txBody>
    </cdr:sp>
  </cdr:relSizeAnchor>
  <cdr:relSizeAnchor xmlns:cdr="http://schemas.openxmlformats.org/drawingml/2006/chartDrawing">
    <cdr:from>
      <cdr:x>0.80939</cdr:x>
      <cdr:y>0.66395</cdr:y>
    </cdr:from>
    <cdr:to>
      <cdr:x>0.94274</cdr:x>
      <cdr:y>0.73676</cdr:y>
    </cdr:to>
    <cdr:sp macro="" textlink="">
      <cdr:nvSpPr>
        <cdr:cNvPr id="3" name="TextBox 2"/>
        <cdr:cNvSpPr txBox="1"/>
      </cdr:nvSpPr>
      <cdr:spPr>
        <a:xfrm xmlns:a="http://schemas.openxmlformats.org/drawingml/2006/main">
          <a:off x="3651268" y="1683717"/>
          <a:ext cx="601563" cy="1846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itchFamily="34" charset="0"/>
              <a:cs typeface="Arial" pitchFamily="34" charset="0"/>
            </a:rPr>
            <a:t>Females</a:t>
          </a:r>
        </a:p>
      </cdr:txBody>
    </cdr:sp>
  </cdr:relSizeAnchor>
</c:userShapes>
</file>

<file path=word/drawings/drawing8.xml><?xml version="1.0" encoding="utf-8"?>
<c:userShapes xmlns:c="http://schemas.openxmlformats.org/drawingml/2006/chart">
  <cdr:relSizeAnchor xmlns:cdr="http://schemas.openxmlformats.org/drawingml/2006/chartDrawing">
    <cdr:from>
      <cdr:x>0.88409</cdr:x>
      <cdr:y>0.26261</cdr:y>
    </cdr:from>
    <cdr:to>
      <cdr:x>0.94983</cdr:x>
      <cdr:y>0.29968</cdr:y>
    </cdr:to>
    <cdr:sp macro="" textlink="">
      <cdr:nvSpPr>
        <cdr:cNvPr id="35841" name="Text Box 1"/>
        <cdr:cNvSpPr txBox="1">
          <a:spLocks xmlns:a="http://schemas.openxmlformats.org/drawingml/2006/main" noChangeArrowheads="1"/>
        </cdr:cNvSpPr>
      </cdr:nvSpPr>
      <cdr:spPr bwMode="auto">
        <a:xfrm xmlns:a="http://schemas.openxmlformats.org/drawingml/2006/main">
          <a:off x="5226358" y="798151"/>
          <a:ext cx="388626" cy="112669"/>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vertOverflow="clip" wrap="square" lIns="0" tIns="0" rIns="0" bIns="0" anchor="ctr" upright="1"/>
        <a:lstStyle xmlns:a="http://schemas.openxmlformats.org/drawingml/2006/main"/>
        <a:p xmlns:a="http://schemas.openxmlformats.org/drawingml/2006/main">
          <a:pPr algn="ctr" rtl="0">
            <a:defRPr sz="1000"/>
          </a:pPr>
          <a:r>
            <a:rPr lang="en-AU" sz="800" b="0" i="0" u="none" strike="noStrike" baseline="0">
              <a:solidFill>
                <a:srgbClr val="000000"/>
              </a:solidFill>
              <a:latin typeface="Arial"/>
              <a:cs typeface="Arial"/>
            </a:rPr>
            <a:t>Males</a:t>
          </a:r>
        </a:p>
      </cdr:txBody>
    </cdr:sp>
  </cdr:relSizeAnchor>
  <cdr:relSizeAnchor xmlns:cdr="http://schemas.openxmlformats.org/drawingml/2006/chartDrawing">
    <cdr:from>
      <cdr:x>0.87107</cdr:x>
      <cdr:y>0.52076</cdr:y>
    </cdr:from>
    <cdr:to>
      <cdr:x>0.95374</cdr:x>
      <cdr:y>0.56098</cdr:y>
    </cdr:to>
    <cdr:sp macro="" textlink="">
      <cdr:nvSpPr>
        <cdr:cNvPr id="35842" name="Text Box 2"/>
        <cdr:cNvSpPr txBox="1">
          <a:spLocks xmlns:a="http://schemas.openxmlformats.org/drawingml/2006/main" noChangeArrowheads="1"/>
        </cdr:cNvSpPr>
      </cdr:nvSpPr>
      <cdr:spPr bwMode="auto">
        <a:xfrm xmlns:a="http://schemas.openxmlformats.org/drawingml/2006/main">
          <a:off x="5149369" y="1582777"/>
          <a:ext cx="488709" cy="122242"/>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vertOverflow="clip" wrap="square" lIns="0" tIns="0" rIns="0" bIns="0" anchor="ctr" upright="1"/>
        <a:lstStyle xmlns:a="http://schemas.openxmlformats.org/drawingml/2006/main"/>
        <a:p xmlns:a="http://schemas.openxmlformats.org/drawingml/2006/main">
          <a:pPr algn="ctr" rtl="0">
            <a:defRPr sz="1000"/>
          </a:pPr>
          <a:r>
            <a:rPr lang="en-AU" sz="800" b="0" i="0" u="none" strike="noStrike" baseline="0">
              <a:solidFill>
                <a:srgbClr val="000000"/>
              </a:solidFill>
              <a:latin typeface="Arial"/>
              <a:cs typeface="Arial"/>
            </a:rPr>
            <a:t>Females</a:t>
          </a:r>
        </a:p>
      </cdr:txBody>
    </cdr:sp>
  </cdr:relSizeAnchor>
  <cdr:relSizeAnchor xmlns:cdr="http://schemas.openxmlformats.org/drawingml/2006/chartDrawing">
    <cdr:from>
      <cdr:x>0.86864</cdr:x>
      <cdr:y>0.08728</cdr:y>
    </cdr:from>
    <cdr:to>
      <cdr:x>0.94722</cdr:x>
      <cdr:y>0.12404</cdr:y>
    </cdr:to>
    <cdr:sp macro="" textlink="">
      <cdr:nvSpPr>
        <cdr:cNvPr id="4" name="Text Box 1"/>
        <cdr:cNvSpPr txBox="1">
          <a:spLocks xmlns:a="http://schemas.openxmlformats.org/drawingml/2006/main" noChangeArrowheads="1"/>
        </cdr:cNvSpPr>
      </cdr:nvSpPr>
      <cdr:spPr bwMode="auto">
        <a:xfrm xmlns:a="http://schemas.openxmlformats.org/drawingml/2006/main">
          <a:off x="5135012" y="265288"/>
          <a:ext cx="464531" cy="111726"/>
        </a:xfrm>
        <a:prstGeom xmlns:a="http://schemas.openxmlformats.org/drawingml/2006/main" prst="rect">
          <a:avLst/>
        </a:prstGeom>
        <a:solidFill xmlns:a="http://schemas.openxmlformats.org/drawingml/2006/main">
          <a:srgbClr val="FFFFFF"/>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en-AU" sz="800" b="0" i="0" u="none" strike="noStrike" baseline="0">
              <a:solidFill>
                <a:srgbClr val="000000"/>
              </a:solidFill>
              <a:latin typeface="Arial"/>
              <a:cs typeface="Arial"/>
            </a:rPr>
            <a:t>Persons</a:t>
          </a:r>
        </a:p>
      </cdr:txBody>
    </cdr:sp>
  </cdr:relSizeAnchor>
</c:userShapes>
</file>

<file path=word/drawings/drawing9.xml><?xml version="1.0" encoding="utf-8"?>
<c:userShapes xmlns:c="http://schemas.openxmlformats.org/drawingml/2006/chart">
  <cdr:relSizeAnchor xmlns:cdr="http://schemas.openxmlformats.org/drawingml/2006/chartDrawing">
    <cdr:from>
      <cdr:x>0.81745</cdr:x>
      <cdr:y>0.45957</cdr:y>
    </cdr:from>
    <cdr:to>
      <cdr:x>0.90194</cdr:x>
      <cdr:y>0.52093</cdr:y>
    </cdr:to>
    <cdr:sp macro="" textlink="">
      <cdr:nvSpPr>
        <cdr:cNvPr id="2" name="Text Box 1"/>
        <cdr:cNvSpPr txBox="1">
          <a:spLocks xmlns:a="http://schemas.openxmlformats.org/drawingml/2006/main" noChangeArrowheads="1"/>
        </cdr:cNvSpPr>
      </cdr:nvSpPr>
      <cdr:spPr bwMode="auto">
        <a:xfrm xmlns:a="http://schemas.openxmlformats.org/drawingml/2006/main">
          <a:off x="4188225" y="1208930"/>
          <a:ext cx="432886" cy="161411"/>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en-AU" sz="800" b="0" i="0" u="none" strike="noStrike" baseline="0">
              <a:solidFill>
                <a:srgbClr val="000000"/>
              </a:solidFill>
              <a:latin typeface="Arial"/>
              <a:cs typeface="Arial"/>
            </a:rPr>
            <a:t>Persons</a:t>
          </a:r>
        </a:p>
      </cdr:txBody>
    </cdr:sp>
  </cdr:relSizeAnchor>
  <cdr:relSizeAnchor xmlns:cdr="http://schemas.openxmlformats.org/drawingml/2006/chartDrawing">
    <cdr:from>
      <cdr:x>0.83382</cdr:x>
      <cdr:y>0.19152</cdr:y>
    </cdr:from>
    <cdr:to>
      <cdr:x>0.899</cdr:x>
      <cdr:y>0.23094</cdr:y>
    </cdr:to>
    <cdr:sp macro="" textlink="">
      <cdr:nvSpPr>
        <cdr:cNvPr id="4" name="Text Box 1"/>
        <cdr:cNvSpPr txBox="1">
          <a:spLocks xmlns:a="http://schemas.openxmlformats.org/drawingml/2006/main" noChangeArrowheads="1"/>
        </cdr:cNvSpPr>
      </cdr:nvSpPr>
      <cdr:spPr bwMode="auto">
        <a:xfrm xmlns:a="http://schemas.openxmlformats.org/drawingml/2006/main">
          <a:off x="4272072" y="503789"/>
          <a:ext cx="333951" cy="103696"/>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en-AU" sz="800" b="0" i="0" u="none" strike="noStrike" baseline="0">
              <a:solidFill>
                <a:srgbClr val="000000"/>
              </a:solidFill>
              <a:latin typeface="Arial"/>
              <a:cs typeface="Arial"/>
            </a:rPr>
            <a:t>Males</a:t>
          </a:r>
        </a:p>
      </cdr:txBody>
    </cdr:sp>
  </cdr:relSizeAnchor>
  <cdr:relSizeAnchor xmlns:cdr="http://schemas.openxmlformats.org/drawingml/2006/chartDrawing">
    <cdr:from>
      <cdr:x>0.80811</cdr:x>
      <cdr:y>0.68934</cdr:y>
    </cdr:from>
    <cdr:to>
      <cdr:x>0.89999</cdr:x>
      <cdr:y>0.75028</cdr:y>
    </cdr:to>
    <cdr:sp macro="" textlink="">
      <cdr:nvSpPr>
        <cdr:cNvPr id="5" name="Text Box 1"/>
        <cdr:cNvSpPr txBox="1">
          <a:spLocks xmlns:a="http://schemas.openxmlformats.org/drawingml/2006/main" noChangeArrowheads="1"/>
        </cdr:cNvSpPr>
      </cdr:nvSpPr>
      <cdr:spPr bwMode="auto">
        <a:xfrm xmlns:a="http://schemas.openxmlformats.org/drawingml/2006/main">
          <a:off x="4140384" y="1813338"/>
          <a:ext cx="470749" cy="160306"/>
        </a:xfrm>
        <a:prstGeom xmlns:a="http://schemas.openxmlformats.org/drawingml/2006/main" prst="rect">
          <a:avLst/>
        </a:prstGeom>
        <a:solidFill xmlns:a="http://schemas.openxmlformats.org/drawingml/2006/main">
          <a:srgbClr val="FFFFFF">
            <a:alpha val="0"/>
          </a:srgbClr>
        </a:solidFill>
        <a:ln xmlns:a="http://schemas.openxmlformats.org/drawingml/2006/main" w="9525" algn="ctr">
          <a:noFill/>
          <a:miter lim="800000"/>
          <a:headEnd/>
          <a:tailEnd/>
        </a:ln>
        <a:effectLst xmlns:a="http://schemas.openxmlformats.org/drawingml/2006/main"/>
      </cdr:spPr>
      <cdr:txBody>
        <a:bodyPr xmlns:a="http://schemas.openxmlformats.org/drawingml/2006/main" wrap="square" lIns="0" tIns="0" rIns="0" bIns="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AU" sz="800" b="0" i="0" u="none" strike="noStrike" baseline="0">
              <a:solidFill>
                <a:srgbClr val="000000"/>
              </a:solidFill>
              <a:latin typeface="Arial"/>
              <a:cs typeface="Arial"/>
            </a:rPr>
            <a:t>Females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809</ParentFolderID>
  </documentManagement>
</p:properties>
</file>

<file path=customXml/itemProps1.xml><?xml version="1.0" encoding="utf-8"?>
<ds:datastoreItem xmlns:ds="http://schemas.openxmlformats.org/officeDocument/2006/customXml" ds:itemID="{67594700-35EF-4E04-866E-C7E6EBC1EAB2}"/>
</file>

<file path=customXml/itemProps2.xml><?xml version="1.0" encoding="utf-8"?>
<ds:datastoreItem xmlns:ds="http://schemas.openxmlformats.org/officeDocument/2006/customXml" ds:itemID="{1ACE5BE8-9D3A-421B-8BC4-C62A30ADC45C}"/>
</file>

<file path=customXml/itemProps3.xml><?xml version="1.0" encoding="utf-8"?>
<ds:datastoreItem xmlns:ds="http://schemas.openxmlformats.org/officeDocument/2006/customXml" ds:itemID="{295D20F2-94AC-44F9-8653-29DF2DBC7224}"/>
</file>

<file path=docProps/app.xml><?xml version="1.0" encoding="utf-8"?>
<Properties xmlns="http://schemas.openxmlformats.org/officeDocument/2006/extended-properties" xmlns:vt="http://schemas.openxmlformats.org/officeDocument/2006/docPropsVTypes">
  <Template>D9C3F704.dotm</Template>
  <TotalTime>977</TotalTime>
  <Pages>18</Pages>
  <Words>5091</Words>
  <Characters>25670</Characters>
  <Application>Microsoft Office Word</Application>
  <DocSecurity>0</DocSecurity>
  <Lines>213</Lines>
  <Paragraphs>61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Contents</vt:lpstr>
      <vt:lpstr>Report summary</vt:lpstr>
      <vt:lpstr>Introduction</vt:lpstr>
      <vt:lpstr>Asbestos production, use and control in Australia</vt:lpstr>
      <vt:lpstr>Mesothelioma Projections</vt:lpstr>
      <vt:lpstr>The new Australian Mesothelioma Registry </vt:lpstr>
      <vt:lpstr>Incidence of mesothelioma</vt:lpstr>
      <vt:lpstr>Deaths due to mesothelioma1</vt:lpstr>
      <vt:lpstr>Trends over time, 1997 to 2011</vt:lpstr>
    </vt:vector>
  </TitlesOfParts>
  <Company>Australian Government</Company>
  <LinksUpToDate>false</LinksUpToDate>
  <CharactersWithSpaces>30700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Mesothelioma in Australia Incidence 1982 to 2009 Mortality 1997 to 2011</dc:title>
  <dc:creator>Keith Mallett</dc:creator>
  <cp:lastModifiedBy>Keith Mallett</cp:lastModifiedBy>
  <cp:revision>46</cp:revision>
  <dcterms:created xsi:type="dcterms:W3CDTF">2013-09-17T06:16:00Z</dcterms:created>
  <dcterms:modified xsi:type="dcterms:W3CDTF">2013-10-25T03:23:00Z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