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charts/chart10.xml" ContentType="application/vnd.openxmlformats-officedocument.drawingml.chart+xml"/>
  <Override PartName="/word/charts/chart11.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charts/chart9.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D81" w:rsidRPr="0062399C" w:rsidRDefault="00715413" w:rsidP="00FF2395">
      <w:pPr>
        <w:pStyle w:val="Title"/>
        <w:spacing w:before="240"/>
      </w:pPr>
      <w:r>
        <w:t>Work</w:t>
      </w:r>
      <w:r w:rsidRPr="0062399C">
        <w:t>-related injuries a</w:t>
      </w:r>
      <w:r>
        <w:t>nd fatalities in construction, A</w:t>
      </w:r>
      <w:r w:rsidRPr="0062399C">
        <w:t>ustralia, 2003 to 2013</w:t>
      </w:r>
    </w:p>
    <w:p w:rsidR="00F66D81" w:rsidRDefault="0062399C" w:rsidP="00715413">
      <w:pPr>
        <w:pStyle w:val="Title"/>
      </w:pPr>
      <w:r>
        <w:t>June</w:t>
      </w:r>
      <w:r w:rsidR="00F66D81" w:rsidRPr="0062399C">
        <w:t xml:space="preserve"> 2015</w:t>
      </w:r>
    </w:p>
    <w:p w:rsidR="00FF2395" w:rsidRPr="00FF2395" w:rsidRDefault="00FF2395" w:rsidP="00FF2395">
      <w:pPr>
        <w:ind w:left="510"/>
      </w:pPr>
      <w:r>
        <w:rPr>
          <w:noProof/>
        </w:rPr>
        <w:drawing>
          <wp:inline distT="0" distB="0" distL="0" distR="0" wp14:anchorId="0A8F31D9" wp14:editId="32781006">
            <wp:extent cx="6029325" cy="4714466"/>
            <wp:effectExtent l="0" t="0" r="0" b="0"/>
            <wp:docPr id="12" name="Picture 12" descr="Publication cover - an image of four workers at the construction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451" cy="4714564"/>
                    </a:xfrm>
                    <a:prstGeom prst="rect">
                      <a:avLst/>
                    </a:prstGeom>
                    <a:noFill/>
                    <a:ln>
                      <a:noFill/>
                    </a:ln>
                  </pic:spPr>
                </pic:pic>
              </a:graphicData>
            </a:graphic>
          </wp:inline>
        </w:drawing>
      </w:r>
    </w:p>
    <w:p w:rsidR="002E31A5" w:rsidRPr="002E31A5" w:rsidRDefault="002E31A5" w:rsidP="00D50800">
      <w:pPr>
        <w:widowControl w:val="0"/>
        <w:autoSpaceDE w:val="0"/>
        <w:autoSpaceDN w:val="0"/>
        <w:adjustRightInd w:val="0"/>
        <w:spacing w:before="480" w:after="240"/>
        <w:ind w:left="106" w:right="-20"/>
        <w:rPr>
          <w:rFonts w:ascii="Arial" w:eastAsiaTheme="minorEastAsia" w:hAnsi="Arial" w:cs="Arial"/>
          <w:color w:val="000000" w:themeColor="text1"/>
          <w:sz w:val="29"/>
          <w:szCs w:val="29"/>
        </w:rPr>
      </w:pPr>
      <w:r w:rsidRPr="002E31A5">
        <w:rPr>
          <w:rFonts w:ascii="Arial" w:eastAsiaTheme="minorEastAsia" w:hAnsi="Arial" w:cs="Arial"/>
          <w:b/>
          <w:bCs/>
          <w:color w:val="000000" w:themeColor="text1"/>
          <w:sz w:val="29"/>
          <w:szCs w:val="29"/>
        </w:rPr>
        <w:t>In</w:t>
      </w:r>
      <w:r w:rsidRPr="002E31A5">
        <w:rPr>
          <w:rFonts w:ascii="Arial" w:eastAsiaTheme="minorEastAsia" w:hAnsi="Arial" w:cs="Arial"/>
          <w:b/>
          <w:bCs/>
          <w:color w:val="000000" w:themeColor="text1"/>
          <w:spacing w:val="1"/>
          <w:sz w:val="29"/>
          <w:szCs w:val="29"/>
        </w:rPr>
        <w:t xml:space="preserve"> </w:t>
      </w:r>
      <w:r w:rsidRPr="002E31A5">
        <w:rPr>
          <w:rFonts w:ascii="Arial" w:eastAsiaTheme="minorEastAsia" w:hAnsi="Arial" w:cs="Arial"/>
          <w:b/>
          <w:bCs/>
          <w:color w:val="000000" w:themeColor="text1"/>
          <w:sz w:val="29"/>
          <w:szCs w:val="29"/>
        </w:rPr>
        <w:t>this</w:t>
      </w:r>
      <w:r w:rsidRPr="002E31A5">
        <w:rPr>
          <w:rFonts w:ascii="Arial" w:eastAsiaTheme="minorEastAsia" w:hAnsi="Arial" w:cs="Arial"/>
          <w:b/>
          <w:bCs/>
          <w:color w:val="000000" w:themeColor="text1"/>
          <w:spacing w:val="28"/>
          <w:sz w:val="29"/>
          <w:szCs w:val="29"/>
        </w:rPr>
        <w:t xml:space="preserve"> </w:t>
      </w:r>
      <w:r w:rsidRPr="002E31A5">
        <w:rPr>
          <w:rFonts w:ascii="Arial" w:eastAsiaTheme="minorEastAsia" w:hAnsi="Arial" w:cs="Arial"/>
          <w:b/>
          <w:bCs/>
          <w:color w:val="000000" w:themeColor="text1"/>
          <w:w w:val="104"/>
          <w:sz w:val="29"/>
          <w:szCs w:val="29"/>
        </w:rPr>
        <w:t>report:</w:t>
      </w:r>
    </w:p>
    <w:p w:rsidR="00FF2395" w:rsidRDefault="009826FE" w:rsidP="00FF2395">
      <w:pPr>
        <w:pStyle w:val="ListParagraph"/>
        <w:widowControl w:val="0"/>
        <w:numPr>
          <w:ilvl w:val="0"/>
          <w:numId w:val="16"/>
        </w:numPr>
        <w:tabs>
          <w:tab w:val="left" w:pos="460"/>
          <w:tab w:val="left" w:pos="10065"/>
        </w:tabs>
        <w:autoSpaceDE w:val="0"/>
        <w:autoSpaceDN w:val="0"/>
        <w:adjustRightInd w:val="0"/>
        <w:spacing w:before="120" w:line="258" w:lineRule="auto"/>
        <w:ind w:right="260"/>
        <w:rPr>
          <w:rFonts w:ascii="Arial" w:eastAsiaTheme="minorEastAsia" w:hAnsi="Arial" w:cs="Arial"/>
          <w:color w:val="000000" w:themeColor="text1"/>
          <w:sz w:val="24"/>
        </w:rPr>
      </w:pPr>
      <w:r w:rsidRPr="00FF2395">
        <w:rPr>
          <w:rFonts w:ascii="Arial" w:eastAsiaTheme="minorEastAsia" w:hAnsi="Arial" w:cs="Arial"/>
          <w:color w:val="000000" w:themeColor="text1"/>
          <w:sz w:val="24"/>
        </w:rPr>
        <w:t>An analysis of injuries and fatali</w:t>
      </w:r>
      <w:r w:rsidR="00FF2395" w:rsidRPr="00FF2395">
        <w:rPr>
          <w:rFonts w:ascii="Arial" w:eastAsiaTheme="minorEastAsia" w:hAnsi="Arial" w:cs="Arial"/>
          <w:color w:val="000000" w:themeColor="text1"/>
          <w:sz w:val="24"/>
        </w:rPr>
        <w:t xml:space="preserve">ties incurred by workers in the </w:t>
      </w:r>
      <w:r w:rsidRPr="00FF2395">
        <w:rPr>
          <w:rFonts w:ascii="Arial" w:eastAsiaTheme="minorEastAsia" w:hAnsi="Arial" w:cs="Arial"/>
          <w:color w:val="000000" w:themeColor="text1"/>
          <w:sz w:val="24"/>
        </w:rPr>
        <w:t>construction industry using a range of data sources to provide comprehensive information about working in the Australian construction industry</w:t>
      </w:r>
    </w:p>
    <w:p w:rsidR="009B594D" w:rsidRPr="00FF2395" w:rsidRDefault="009B594D" w:rsidP="00FF2395">
      <w:pPr>
        <w:pStyle w:val="ListParagraph"/>
        <w:widowControl w:val="0"/>
        <w:numPr>
          <w:ilvl w:val="0"/>
          <w:numId w:val="16"/>
        </w:numPr>
        <w:tabs>
          <w:tab w:val="left" w:pos="460"/>
          <w:tab w:val="left" w:pos="10065"/>
        </w:tabs>
        <w:autoSpaceDE w:val="0"/>
        <w:autoSpaceDN w:val="0"/>
        <w:adjustRightInd w:val="0"/>
        <w:spacing w:before="120" w:line="258" w:lineRule="auto"/>
        <w:ind w:right="260"/>
        <w:rPr>
          <w:rFonts w:ascii="Arial" w:eastAsiaTheme="minorEastAsia" w:hAnsi="Arial" w:cs="Arial"/>
          <w:color w:val="000000" w:themeColor="text1"/>
          <w:sz w:val="24"/>
        </w:rPr>
      </w:pPr>
      <w:r w:rsidRPr="00FF2395">
        <w:rPr>
          <w:rFonts w:ascii="Arial" w:eastAsiaTheme="minorEastAsia" w:hAnsi="Arial" w:cs="Arial"/>
          <w:color w:val="000000" w:themeColor="text1"/>
          <w:sz w:val="24"/>
        </w:rPr>
        <w:t>Worker profile in construction</w:t>
      </w:r>
    </w:p>
    <w:p w:rsidR="009826FE" w:rsidRPr="00FF2395" w:rsidRDefault="009B594D" w:rsidP="00FF2395">
      <w:pPr>
        <w:pStyle w:val="ListParagraph"/>
        <w:widowControl w:val="0"/>
        <w:numPr>
          <w:ilvl w:val="0"/>
          <w:numId w:val="16"/>
        </w:numPr>
        <w:tabs>
          <w:tab w:val="left" w:pos="460"/>
        </w:tabs>
        <w:autoSpaceDE w:val="0"/>
        <w:autoSpaceDN w:val="0"/>
        <w:adjustRightInd w:val="0"/>
        <w:spacing w:before="120" w:line="258" w:lineRule="auto"/>
        <w:ind w:right="5417"/>
        <w:rPr>
          <w:rFonts w:ascii="Arial" w:eastAsiaTheme="minorEastAsia" w:hAnsi="Arial" w:cs="Arial"/>
          <w:color w:val="000000" w:themeColor="text1"/>
          <w:sz w:val="24"/>
        </w:rPr>
      </w:pPr>
      <w:r w:rsidRPr="00FF2395">
        <w:rPr>
          <w:rFonts w:ascii="Arial" w:eastAsiaTheme="minorEastAsia" w:hAnsi="Arial" w:cs="Arial"/>
          <w:color w:val="000000" w:themeColor="text1"/>
          <w:sz w:val="24"/>
        </w:rPr>
        <w:t xml:space="preserve">Worker fatalities in construction </w:t>
      </w:r>
    </w:p>
    <w:p w:rsidR="009826FE" w:rsidRPr="00FF2395" w:rsidRDefault="009B594D" w:rsidP="00FF2395">
      <w:pPr>
        <w:pStyle w:val="ListParagraph"/>
        <w:widowControl w:val="0"/>
        <w:numPr>
          <w:ilvl w:val="0"/>
          <w:numId w:val="16"/>
        </w:numPr>
        <w:tabs>
          <w:tab w:val="left" w:pos="460"/>
        </w:tabs>
        <w:autoSpaceDE w:val="0"/>
        <w:autoSpaceDN w:val="0"/>
        <w:adjustRightInd w:val="0"/>
        <w:spacing w:before="120" w:line="258" w:lineRule="auto"/>
        <w:ind w:right="5417"/>
        <w:rPr>
          <w:rFonts w:ascii="Arial" w:eastAsiaTheme="minorEastAsia" w:hAnsi="Arial" w:cs="Arial"/>
          <w:color w:val="000000" w:themeColor="text1"/>
          <w:sz w:val="24"/>
        </w:rPr>
      </w:pPr>
      <w:r w:rsidRPr="00FF2395">
        <w:rPr>
          <w:rFonts w:ascii="Arial" w:eastAsiaTheme="minorEastAsia" w:hAnsi="Arial" w:cs="Arial"/>
          <w:color w:val="000000" w:themeColor="text1"/>
          <w:sz w:val="24"/>
        </w:rPr>
        <w:t>Work-related injuries</w:t>
      </w:r>
    </w:p>
    <w:p w:rsidR="009B594D" w:rsidRPr="00FF2395" w:rsidRDefault="009B594D" w:rsidP="00FF2395">
      <w:pPr>
        <w:pStyle w:val="ListParagraph"/>
        <w:widowControl w:val="0"/>
        <w:numPr>
          <w:ilvl w:val="0"/>
          <w:numId w:val="16"/>
        </w:numPr>
        <w:tabs>
          <w:tab w:val="left" w:pos="460"/>
        </w:tabs>
        <w:autoSpaceDE w:val="0"/>
        <w:autoSpaceDN w:val="0"/>
        <w:adjustRightInd w:val="0"/>
        <w:spacing w:before="120" w:line="258" w:lineRule="auto"/>
        <w:ind w:right="5417"/>
        <w:rPr>
          <w:rFonts w:ascii="Arial" w:eastAsiaTheme="minorEastAsia" w:hAnsi="Arial" w:cs="Arial"/>
          <w:color w:val="000000" w:themeColor="text1"/>
          <w:sz w:val="24"/>
        </w:rPr>
      </w:pPr>
      <w:r w:rsidRPr="00FF2395">
        <w:rPr>
          <w:rFonts w:ascii="Arial" w:eastAsiaTheme="minorEastAsia" w:hAnsi="Arial" w:cs="Arial"/>
          <w:color w:val="000000" w:themeColor="text1"/>
          <w:sz w:val="24"/>
        </w:rPr>
        <w:t>Workers’ compensation claims, and</w:t>
      </w:r>
    </w:p>
    <w:p w:rsidR="009B594D" w:rsidRPr="00FF2395" w:rsidRDefault="00FF2395" w:rsidP="00FF2395">
      <w:pPr>
        <w:pStyle w:val="ListParagraph"/>
        <w:widowControl w:val="0"/>
        <w:numPr>
          <w:ilvl w:val="0"/>
          <w:numId w:val="16"/>
        </w:numPr>
        <w:tabs>
          <w:tab w:val="left" w:pos="460"/>
          <w:tab w:val="left" w:pos="10065"/>
        </w:tabs>
        <w:autoSpaceDE w:val="0"/>
        <w:autoSpaceDN w:val="0"/>
        <w:adjustRightInd w:val="0"/>
        <w:spacing w:before="120" w:line="258" w:lineRule="auto"/>
        <w:ind w:right="4512"/>
        <w:rPr>
          <w:rFonts w:ascii="Arial" w:eastAsiaTheme="minorEastAsia" w:hAnsi="Arial" w:cs="Arial"/>
          <w:color w:val="000000" w:themeColor="text1"/>
          <w:sz w:val="24"/>
        </w:rPr>
      </w:pPr>
      <w:r w:rsidRPr="00FF2395">
        <w:rPr>
          <w:rFonts w:ascii="Arial" w:eastAsiaTheme="minorEastAsia" w:hAnsi="Arial" w:cs="Arial"/>
          <w:color w:val="000000" w:themeColor="text1"/>
          <w:sz w:val="24"/>
        </w:rPr>
        <w:t xml:space="preserve">Hospitalisation of construction </w:t>
      </w:r>
      <w:r w:rsidR="009B594D" w:rsidRPr="00FF2395">
        <w:rPr>
          <w:rFonts w:ascii="Arial" w:eastAsiaTheme="minorEastAsia" w:hAnsi="Arial" w:cs="Arial"/>
          <w:color w:val="000000" w:themeColor="text1"/>
          <w:sz w:val="24"/>
        </w:rPr>
        <w:t>workers.</w:t>
      </w:r>
    </w:p>
    <w:p w:rsidR="00715413" w:rsidRPr="00FF2395" w:rsidRDefault="00715413">
      <w:pPr>
        <w:rPr>
          <w:sz w:val="24"/>
        </w:rPr>
      </w:pPr>
      <w:r w:rsidRPr="00FF2395">
        <w:rPr>
          <w:sz w:val="24"/>
        </w:rPr>
        <w:br w:type="page"/>
      </w:r>
    </w:p>
    <w:p w:rsidR="007C1D92" w:rsidRPr="00430606" w:rsidRDefault="007C1D92" w:rsidP="007C1D92">
      <w:pPr>
        <w:widowControl w:val="0"/>
        <w:autoSpaceDE w:val="0"/>
        <w:autoSpaceDN w:val="0"/>
        <w:adjustRightInd w:val="0"/>
        <w:spacing w:before="2040" w:after="240" w:line="293" w:lineRule="exact"/>
        <w:ind w:right="-20"/>
        <w:rPr>
          <w:rFonts w:ascii="Arial" w:hAnsi="Arial" w:cs="Arial"/>
          <w:color w:val="000000" w:themeColor="text1"/>
          <w:sz w:val="24"/>
        </w:rPr>
      </w:pPr>
      <w:r w:rsidRPr="00430606">
        <w:rPr>
          <w:rFonts w:ascii="Arial" w:hAnsi="Arial" w:cs="Arial"/>
          <w:b/>
          <w:bCs/>
          <w:color w:val="000000" w:themeColor="text1"/>
          <w:position w:val="-1"/>
          <w:sz w:val="24"/>
        </w:rPr>
        <w:t>Creative Commons</w:t>
      </w:r>
    </w:p>
    <w:p w:rsidR="007C1D92" w:rsidRDefault="007C1D92" w:rsidP="007C1D92">
      <w:pPr>
        <w:pStyle w:val="TextBody"/>
        <w:spacing w:after="57"/>
      </w:pPr>
      <w:r>
        <w:t xml:space="preserve"> </w:t>
      </w:r>
      <w:r>
        <w:rPr>
          <w:noProof/>
          <w:color w:val="000000" w:themeColor="text1"/>
          <w:sz w:val="19"/>
          <w:szCs w:val="19"/>
          <w:lang w:val="en-AU"/>
        </w:rPr>
        <w:drawing>
          <wp:inline distT="0" distB="0" distL="0" distR="0" wp14:anchorId="430B86E1" wp14:editId="2C423144">
            <wp:extent cx="1524000" cy="533400"/>
            <wp:effectExtent l="0" t="0" r="0" b="0"/>
            <wp:docPr id="9" name="Picture 9" title="Creative Commons logo"/>
            <wp:cNvGraphicFramePr/>
            <a:graphic xmlns:a="http://schemas.openxmlformats.org/drawingml/2006/main">
              <a:graphicData uri="http://schemas.openxmlformats.org/drawingml/2006/picture">
                <pic:pic xmlns:pic="http://schemas.openxmlformats.org/drawingml/2006/picture">
                  <pic:nvPicPr>
                    <pic:cNvPr id="1" name="Picture 4" title="Creative Commons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4000" cy="530225"/>
                    </a:xfrm>
                    <a:prstGeom prst="rect">
                      <a:avLst/>
                    </a:prstGeom>
                  </pic:spPr>
                </pic:pic>
              </a:graphicData>
            </a:graphic>
          </wp:inline>
        </w:drawing>
      </w:r>
    </w:p>
    <w:p w:rsidR="007C1D92" w:rsidRDefault="007C1D92" w:rsidP="007A509C"/>
    <w:p w:rsidR="00F66D81" w:rsidRPr="000D78B6" w:rsidRDefault="00F66D81" w:rsidP="007A509C">
      <w:pPr>
        <w:rPr>
          <w:rFonts w:ascii="Arial" w:hAnsi="Arial" w:cs="Arial"/>
        </w:rPr>
      </w:pPr>
      <w:r w:rsidRPr="000D78B6">
        <w:rPr>
          <w:rFonts w:ascii="Arial" w:hAnsi="Arial" w:cs="Arial"/>
        </w:rPr>
        <w:t>ISBN</w:t>
      </w:r>
      <w:r w:rsidRPr="000D78B6">
        <w:rPr>
          <w:rFonts w:ascii="Arial" w:hAnsi="Arial" w:cs="Arial"/>
        </w:rPr>
        <w:tab/>
        <w:t>[PDF]</w:t>
      </w:r>
      <w:r w:rsidR="000D78B6">
        <w:rPr>
          <w:rFonts w:ascii="Arial" w:hAnsi="Arial" w:cs="Arial"/>
        </w:rPr>
        <w:tab/>
      </w:r>
      <w:r w:rsidR="000D78B6">
        <w:rPr>
          <w:rFonts w:ascii="Arial" w:hAnsi="Arial" w:cs="Arial"/>
        </w:rPr>
        <w:tab/>
      </w:r>
      <w:r w:rsidRPr="000D78B6">
        <w:rPr>
          <w:rFonts w:ascii="Arial" w:hAnsi="Arial" w:cs="Arial"/>
        </w:rPr>
        <w:t>978-1-76028-236-3</w:t>
      </w:r>
    </w:p>
    <w:p w:rsidR="00F66D81" w:rsidRPr="000D78B6" w:rsidRDefault="00F66D81" w:rsidP="00430606">
      <w:pPr>
        <w:ind w:firstLine="720"/>
        <w:rPr>
          <w:rFonts w:ascii="Arial" w:hAnsi="Arial" w:cs="Arial"/>
        </w:rPr>
      </w:pPr>
      <w:r w:rsidRPr="000D78B6">
        <w:rPr>
          <w:rFonts w:ascii="Arial" w:hAnsi="Arial" w:cs="Arial"/>
        </w:rPr>
        <w:t>[</w:t>
      </w:r>
      <w:proofErr w:type="spellStart"/>
      <w:r w:rsidRPr="000D78B6">
        <w:rPr>
          <w:rFonts w:ascii="Arial" w:hAnsi="Arial" w:cs="Arial"/>
        </w:rPr>
        <w:t>DOCX</w:t>
      </w:r>
      <w:proofErr w:type="spellEnd"/>
      <w:r w:rsidRPr="000D78B6">
        <w:rPr>
          <w:rFonts w:ascii="Arial" w:hAnsi="Arial" w:cs="Arial"/>
        </w:rPr>
        <w:t xml:space="preserve">] </w:t>
      </w:r>
      <w:r w:rsidR="000D78B6">
        <w:rPr>
          <w:rFonts w:ascii="Arial" w:hAnsi="Arial" w:cs="Arial"/>
        </w:rPr>
        <w:tab/>
      </w:r>
      <w:r w:rsidRPr="000D78B6">
        <w:rPr>
          <w:rFonts w:ascii="Arial" w:hAnsi="Arial" w:cs="Arial"/>
        </w:rPr>
        <w:t>978-1-76028-237-0</w:t>
      </w:r>
    </w:p>
    <w:p w:rsidR="00F66D81" w:rsidRPr="000D78B6" w:rsidRDefault="00F66D81" w:rsidP="007A509C">
      <w:pPr>
        <w:rPr>
          <w:sz w:val="20"/>
          <w:szCs w:val="20"/>
        </w:rPr>
      </w:pPr>
    </w:p>
    <w:p w:rsidR="00F66D81" w:rsidRPr="000D78B6" w:rsidRDefault="00F66D81" w:rsidP="007A509C">
      <w:pPr>
        <w:rPr>
          <w:rFonts w:ascii="Arial" w:hAnsi="Arial" w:cs="Arial"/>
          <w:color w:val="00456B"/>
          <w:sz w:val="20"/>
          <w:szCs w:val="20"/>
        </w:rPr>
      </w:pPr>
      <w:r w:rsidRPr="000D78B6">
        <w:rPr>
          <w:rFonts w:ascii="Arial" w:hAnsi="Arial" w:cs="Arial"/>
          <w:sz w:val="20"/>
          <w:szCs w:val="20"/>
        </w:rPr>
        <w:t xml:space="preserve">With the exception of the Safe Work Australia logo and front cover images, this report is licensed by Safe Work Australia under a Creative Commons 3.0 Australia Licence. To view a copy of this licence, visit </w:t>
      </w:r>
      <w:r w:rsidRPr="000D78B6">
        <w:rPr>
          <w:rFonts w:ascii="Arial" w:hAnsi="Arial" w:cs="Arial"/>
          <w:color w:val="00456B"/>
          <w:sz w:val="20"/>
          <w:szCs w:val="20"/>
        </w:rPr>
        <w:t>http://creativecommons.org/licenses/by/3.0/au/deed.en</w:t>
      </w:r>
    </w:p>
    <w:p w:rsidR="00F66D81" w:rsidRPr="000D78B6" w:rsidRDefault="00F66D81" w:rsidP="007A509C">
      <w:pPr>
        <w:rPr>
          <w:rFonts w:ascii="Arial" w:hAnsi="Arial" w:cs="Arial"/>
          <w:sz w:val="20"/>
          <w:szCs w:val="20"/>
        </w:rPr>
      </w:pPr>
      <w:r w:rsidRPr="000D78B6">
        <w:rPr>
          <w:rFonts w:ascii="Arial" w:hAnsi="Arial" w:cs="Arial"/>
          <w:sz w:val="20"/>
          <w:szCs w:val="20"/>
        </w:rPr>
        <w:t>In essence, you are free to copy, communicate and adapt the work, as long as you attribute the work to Safe Work Australia and abide by the other licensing terms. The report should be attributed as Work-related Injuries and Fatalities in Construction, Australia, 2003 to 2013.</w:t>
      </w:r>
    </w:p>
    <w:p w:rsidR="00F66D81" w:rsidRPr="000D78B6" w:rsidRDefault="00F66D81" w:rsidP="006A6DE1">
      <w:pPr>
        <w:spacing w:before="120"/>
        <w:rPr>
          <w:rFonts w:ascii="Arial" w:hAnsi="Arial" w:cs="Arial"/>
          <w:sz w:val="20"/>
          <w:szCs w:val="20"/>
        </w:rPr>
      </w:pPr>
      <w:r w:rsidRPr="000D78B6">
        <w:rPr>
          <w:rFonts w:ascii="Arial" w:hAnsi="Arial" w:cs="Arial"/>
          <w:sz w:val="20"/>
          <w:szCs w:val="20"/>
        </w:rPr>
        <w:t>Enquiries regarding the licence and any use of the report are welcome at:</w:t>
      </w:r>
    </w:p>
    <w:p w:rsidR="00F66D81" w:rsidRPr="000D78B6" w:rsidRDefault="00F66D81" w:rsidP="00430606">
      <w:pPr>
        <w:spacing w:before="120"/>
        <w:rPr>
          <w:rFonts w:ascii="Arial" w:hAnsi="Arial" w:cs="Arial"/>
          <w:sz w:val="20"/>
          <w:szCs w:val="20"/>
        </w:rPr>
      </w:pPr>
      <w:r w:rsidRPr="000D78B6">
        <w:rPr>
          <w:rFonts w:ascii="Arial" w:hAnsi="Arial" w:cs="Arial"/>
          <w:sz w:val="20"/>
          <w:szCs w:val="20"/>
        </w:rPr>
        <w:t xml:space="preserve">Safe Work Australia </w:t>
      </w:r>
    </w:p>
    <w:p w:rsidR="00F66D81" w:rsidRPr="000D78B6" w:rsidRDefault="00F66D81" w:rsidP="007A509C">
      <w:pPr>
        <w:rPr>
          <w:rFonts w:ascii="Arial" w:hAnsi="Arial" w:cs="Arial"/>
          <w:sz w:val="20"/>
          <w:szCs w:val="20"/>
        </w:rPr>
      </w:pPr>
      <w:r w:rsidRPr="000D78B6">
        <w:rPr>
          <w:rFonts w:ascii="Arial" w:hAnsi="Arial" w:cs="Arial"/>
          <w:sz w:val="20"/>
          <w:szCs w:val="20"/>
        </w:rPr>
        <w:t>GPO Box 641 Canberra ACT 2601</w:t>
      </w:r>
    </w:p>
    <w:p w:rsidR="00F66D81" w:rsidRPr="000D78B6" w:rsidRDefault="00F66D81" w:rsidP="007A509C">
      <w:pPr>
        <w:rPr>
          <w:rFonts w:ascii="Arial" w:hAnsi="Arial" w:cs="Arial"/>
          <w:sz w:val="20"/>
          <w:szCs w:val="20"/>
        </w:rPr>
      </w:pPr>
      <w:r w:rsidRPr="000D78B6">
        <w:rPr>
          <w:rFonts w:ascii="Arial" w:hAnsi="Arial" w:cs="Arial"/>
          <w:sz w:val="20"/>
          <w:szCs w:val="20"/>
        </w:rPr>
        <w:t xml:space="preserve">Email: </w:t>
      </w:r>
      <w:r w:rsidRPr="000D78B6">
        <w:rPr>
          <w:rFonts w:ascii="Arial" w:hAnsi="Arial" w:cs="Arial"/>
          <w:color w:val="00456B"/>
          <w:sz w:val="20"/>
          <w:szCs w:val="20"/>
          <w:u w:val="thick"/>
        </w:rPr>
        <w:t>copyrightrequests@swa.gov.au</w:t>
      </w:r>
    </w:p>
    <w:p w:rsidR="00F66D81" w:rsidRPr="000D78B6" w:rsidRDefault="00F66D81" w:rsidP="006F76C9">
      <w:pPr>
        <w:spacing w:before="360"/>
        <w:rPr>
          <w:rFonts w:ascii="Arial" w:hAnsi="Arial" w:cs="Arial"/>
          <w:b/>
          <w:sz w:val="20"/>
          <w:szCs w:val="20"/>
        </w:rPr>
      </w:pPr>
      <w:r w:rsidRPr="000D78B6">
        <w:rPr>
          <w:rFonts w:ascii="Arial" w:hAnsi="Arial" w:cs="Arial"/>
          <w:b/>
          <w:sz w:val="20"/>
          <w:szCs w:val="20"/>
        </w:rPr>
        <w:t>Disclaimer</w:t>
      </w:r>
    </w:p>
    <w:p w:rsidR="00F66D81" w:rsidRDefault="00F66D81" w:rsidP="00430606">
      <w:pPr>
        <w:pStyle w:val="BodyText1"/>
        <w:spacing w:before="240"/>
      </w:pPr>
      <w:r>
        <w:t>The information provided in this document can only assist you in the most general way. This document does not replace any statutory requirements under any relevant state and territory legislation. Safe Work Australia is not liable for any loss resulting from any action taken or reliance made by you on the information or material contained on this document. Before relying on the material, users should carefully make their own assessment as to its accuracy, currency, completeness and relevance for their purposes, and should obtain any appropriate professional advice relevant to their particular circumstances. The views in this report should not be taken to represent the views of Safe Work Australia unless otherwise expressly stated.</w:t>
      </w:r>
    </w:p>
    <w:p w:rsidR="00775FF2" w:rsidRDefault="00775FF2">
      <w:r>
        <w:br w:type="page"/>
      </w:r>
    </w:p>
    <w:bookmarkStart w:id="0" w:name="_Toc427590831" w:displacedByCustomXml="next"/>
    <w:sdt>
      <w:sdtPr>
        <w:rPr>
          <w:rFonts w:ascii="Calibri" w:eastAsia="Times New Roman" w:hAnsi="Calibri" w:cs="Times New Roman"/>
          <w:b w:val="0"/>
          <w:bCs w:val="0"/>
          <w:sz w:val="22"/>
          <w:szCs w:val="24"/>
        </w:rPr>
        <w:id w:val="423146955"/>
        <w:docPartObj>
          <w:docPartGallery w:val="Table of Contents"/>
          <w:docPartUnique/>
        </w:docPartObj>
      </w:sdtPr>
      <w:sdtEndPr>
        <w:rPr>
          <w:noProof/>
        </w:rPr>
      </w:sdtEndPr>
      <w:sdtContent>
        <w:p w:rsidR="00A442ED" w:rsidRDefault="00004859" w:rsidP="00A442ED">
          <w:pPr>
            <w:pStyle w:val="Heading1"/>
          </w:pPr>
          <w:r>
            <w:t>Contents</w:t>
          </w:r>
          <w:bookmarkEnd w:id="0"/>
        </w:p>
        <w:p w:rsidR="00430606" w:rsidRDefault="00A442ED">
          <w:pPr>
            <w:pStyle w:val="TOC1"/>
            <w:tabs>
              <w:tab w:val="right" w:leader="dot" w:pos="1045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27590831" w:history="1">
            <w:r w:rsidR="00430606" w:rsidRPr="001159E1">
              <w:rPr>
                <w:rStyle w:val="Hyperlink"/>
                <w:noProof/>
              </w:rPr>
              <w:t>Contents</w:t>
            </w:r>
            <w:r w:rsidR="00430606">
              <w:rPr>
                <w:noProof/>
                <w:webHidden/>
              </w:rPr>
              <w:tab/>
            </w:r>
            <w:r w:rsidR="00430606">
              <w:rPr>
                <w:noProof/>
                <w:webHidden/>
              </w:rPr>
              <w:fldChar w:fldCharType="begin"/>
            </w:r>
            <w:r w:rsidR="00430606">
              <w:rPr>
                <w:noProof/>
                <w:webHidden/>
              </w:rPr>
              <w:instrText xml:space="preserve"> PAGEREF _Toc427590831 \h </w:instrText>
            </w:r>
            <w:r w:rsidR="00430606">
              <w:rPr>
                <w:noProof/>
                <w:webHidden/>
              </w:rPr>
            </w:r>
            <w:r w:rsidR="00430606">
              <w:rPr>
                <w:noProof/>
                <w:webHidden/>
              </w:rPr>
              <w:fldChar w:fldCharType="separate"/>
            </w:r>
            <w:r w:rsidR="00430606">
              <w:rPr>
                <w:noProof/>
                <w:webHidden/>
              </w:rPr>
              <w:t>3</w:t>
            </w:r>
            <w:r w:rsidR="00430606">
              <w:rPr>
                <w:noProof/>
                <w:webHidden/>
              </w:rPr>
              <w:fldChar w:fldCharType="end"/>
            </w:r>
          </w:hyperlink>
        </w:p>
        <w:p w:rsidR="00430606" w:rsidRDefault="00430606">
          <w:pPr>
            <w:pStyle w:val="TOC1"/>
            <w:tabs>
              <w:tab w:val="right" w:leader="dot" w:pos="10456"/>
            </w:tabs>
            <w:rPr>
              <w:rFonts w:asciiTheme="minorHAnsi" w:eastAsiaTheme="minorEastAsia" w:hAnsiTheme="minorHAnsi" w:cstheme="minorBidi"/>
              <w:noProof/>
              <w:szCs w:val="22"/>
            </w:rPr>
          </w:pPr>
          <w:hyperlink w:anchor="_Toc427590832" w:history="1">
            <w:r w:rsidRPr="001159E1">
              <w:rPr>
                <w:rStyle w:val="Hyperlink"/>
                <w:noProof/>
              </w:rPr>
              <w:t>Summary of findings</w:t>
            </w:r>
            <w:r>
              <w:rPr>
                <w:noProof/>
                <w:webHidden/>
              </w:rPr>
              <w:tab/>
            </w:r>
            <w:r>
              <w:rPr>
                <w:noProof/>
                <w:webHidden/>
              </w:rPr>
              <w:fldChar w:fldCharType="begin"/>
            </w:r>
            <w:r>
              <w:rPr>
                <w:noProof/>
                <w:webHidden/>
              </w:rPr>
              <w:instrText xml:space="preserve"> PAGEREF _Toc427590832 \h </w:instrText>
            </w:r>
            <w:r>
              <w:rPr>
                <w:noProof/>
                <w:webHidden/>
              </w:rPr>
            </w:r>
            <w:r>
              <w:rPr>
                <w:noProof/>
                <w:webHidden/>
              </w:rPr>
              <w:fldChar w:fldCharType="separate"/>
            </w:r>
            <w:r>
              <w:rPr>
                <w:noProof/>
                <w:webHidden/>
              </w:rPr>
              <w:t>6</w:t>
            </w:r>
            <w:r>
              <w:rPr>
                <w:noProof/>
                <w:webHidden/>
              </w:rPr>
              <w:fldChar w:fldCharType="end"/>
            </w:r>
          </w:hyperlink>
        </w:p>
        <w:p w:rsidR="00430606" w:rsidRDefault="00430606">
          <w:pPr>
            <w:pStyle w:val="TOC1"/>
            <w:tabs>
              <w:tab w:val="right" w:leader="dot" w:pos="10456"/>
            </w:tabs>
            <w:rPr>
              <w:rFonts w:asciiTheme="minorHAnsi" w:eastAsiaTheme="minorEastAsia" w:hAnsiTheme="minorHAnsi" w:cstheme="minorBidi"/>
              <w:noProof/>
              <w:szCs w:val="22"/>
            </w:rPr>
          </w:pPr>
          <w:hyperlink w:anchor="_Toc427590833" w:history="1">
            <w:r w:rsidRPr="001159E1">
              <w:rPr>
                <w:rStyle w:val="Hyperlink"/>
                <w:noProof/>
                <w:lang w:val="en-US"/>
              </w:rPr>
              <w:t>Introduction</w:t>
            </w:r>
            <w:r>
              <w:rPr>
                <w:noProof/>
                <w:webHidden/>
              </w:rPr>
              <w:tab/>
            </w:r>
            <w:r>
              <w:rPr>
                <w:noProof/>
                <w:webHidden/>
              </w:rPr>
              <w:fldChar w:fldCharType="begin"/>
            </w:r>
            <w:r>
              <w:rPr>
                <w:noProof/>
                <w:webHidden/>
              </w:rPr>
              <w:instrText xml:space="preserve"> PAGEREF _Toc427590833 \h </w:instrText>
            </w:r>
            <w:r>
              <w:rPr>
                <w:noProof/>
                <w:webHidden/>
              </w:rPr>
            </w:r>
            <w:r>
              <w:rPr>
                <w:noProof/>
                <w:webHidden/>
              </w:rPr>
              <w:fldChar w:fldCharType="separate"/>
            </w:r>
            <w:r>
              <w:rPr>
                <w:noProof/>
                <w:webHidden/>
              </w:rPr>
              <w:t>7</w:t>
            </w:r>
            <w:r>
              <w:rPr>
                <w:noProof/>
                <w:webHidden/>
              </w:rPr>
              <w:fldChar w:fldCharType="end"/>
            </w:r>
          </w:hyperlink>
        </w:p>
        <w:p w:rsidR="00430606" w:rsidRDefault="00430606">
          <w:pPr>
            <w:pStyle w:val="TOC1"/>
            <w:tabs>
              <w:tab w:val="right" w:leader="dot" w:pos="10456"/>
            </w:tabs>
            <w:rPr>
              <w:rFonts w:asciiTheme="minorHAnsi" w:eastAsiaTheme="minorEastAsia" w:hAnsiTheme="minorHAnsi" w:cstheme="minorBidi"/>
              <w:noProof/>
              <w:szCs w:val="22"/>
            </w:rPr>
          </w:pPr>
          <w:hyperlink w:anchor="_Toc427590834" w:history="1">
            <w:r w:rsidRPr="001159E1">
              <w:rPr>
                <w:rStyle w:val="Hyperlink"/>
                <w:noProof/>
                <w:lang w:val="en-US"/>
              </w:rPr>
              <w:t>Worker profile in construction</w:t>
            </w:r>
            <w:r>
              <w:rPr>
                <w:noProof/>
                <w:webHidden/>
              </w:rPr>
              <w:tab/>
            </w:r>
            <w:r>
              <w:rPr>
                <w:noProof/>
                <w:webHidden/>
              </w:rPr>
              <w:fldChar w:fldCharType="begin"/>
            </w:r>
            <w:r>
              <w:rPr>
                <w:noProof/>
                <w:webHidden/>
              </w:rPr>
              <w:instrText xml:space="preserve"> PAGEREF _Toc427590834 \h </w:instrText>
            </w:r>
            <w:r>
              <w:rPr>
                <w:noProof/>
                <w:webHidden/>
              </w:rPr>
            </w:r>
            <w:r>
              <w:rPr>
                <w:noProof/>
                <w:webHidden/>
              </w:rPr>
              <w:fldChar w:fldCharType="separate"/>
            </w:r>
            <w:r>
              <w:rPr>
                <w:noProof/>
                <w:webHidden/>
              </w:rPr>
              <w:t>8</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35" w:history="1">
            <w:r w:rsidRPr="001159E1">
              <w:rPr>
                <w:rStyle w:val="Hyperlink"/>
                <w:noProof/>
              </w:rPr>
              <w:t>Worker profile by sex</w:t>
            </w:r>
            <w:r>
              <w:rPr>
                <w:noProof/>
                <w:webHidden/>
              </w:rPr>
              <w:tab/>
            </w:r>
            <w:r>
              <w:rPr>
                <w:noProof/>
                <w:webHidden/>
              </w:rPr>
              <w:fldChar w:fldCharType="begin"/>
            </w:r>
            <w:r>
              <w:rPr>
                <w:noProof/>
                <w:webHidden/>
              </w:rPr>
              <w:instrText xml:space="preserve"> PAGEREF _Toc427590835 \h </w:instrText>
            </w:r>
            <w:r>
              <w:rPr>
                <w:noProof/>
                <w:webHidden/>
              </w:rPr>
            </w:r>
            <w:r>
              <w:rPr>
                <w:noProof/>
                <w:webHidden/>
              </w:rPr>
              <w:fldChar w:fldCharType="separate"/>
            </w:r>
            <w:r>
              <w:rPr>
                <w:noProof/>
                <w:webHidden/>
              </w:rPr>
              <w:t>8</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36" w:history="1">
            <w:r w:rsidRPr="001159E1">
              <w:rPr>
                <w:rStyle w:val="Hyperlink"/>
                <w:noProof/>
              </w:rPr>
              <w:t>Worker profile by employment status</w:t>
            </w:r>
            <w:r>
              <w:rPr>
                <w:noProof/>
                <w:webHidden/>
              </w:rPr>
              <w:tab/>
            </w:r>
            <w:r>
              <w:rPr>
                <w:noProof/>
                <w:webHidden/>
              </w:rPr>
              <w:fldChar w:fldCharType="begin"/>
            </w:r>
            <w:r>
              <w:rPr>
                <w:noProof/>
                <w:webHidden/>
              </w:rPr>
              <w:instrText xml:space="preserve"> PAGEREF _Toc427590836 \h </w:instrText>
            </w:r>
            <w:r>
              <w:rPr>
                <w:noProof/>
                <w:webHidden/>
              </w:rPr>
            </w:r>
            <w:r>
              <w:rPr>
                <w:noProof/>
                <w:webHidden/>
              </w:rPr>
              <w:fldChar w:fldCharType="separate"/>
            </w:r>
            <w:r>
              <w:rPr>
                <w:noProof/>
                <w:webHidden/>
              </w:rPr>
              <w:t>8</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37" w:history="1">
            <w:r w:rsidRPr="001159E1">
              <w:rPr>
                <w:rStyle w:val="Hyperlink"/>
                <w:noProof/>
              </w:rPr>
              <w:t>Worker profile by industry sector</w:t>
            </w:r>
            <w:r>
              <w:rPr>
                <w:noProof/>
                <w:webHidden/>
              </w:rPr>
              <w:tab/>
            </w:r>
            <w:r>
              <w:rPr>
                <w:noProof/>
                <w:webHidden/>
              </w:rPr>
              <w:fldChar w:fldCharType="begin"/>
            </w:r>
            <w:r>
              <w:rPr>
                <w:noProof/>
                <w:webHidden/>
              </w:rPr>
              <w:instrText xml:space="preserve"> PAGEREF _Toc427590837 \h </w:instrText>
            </w:r>
            <w:r>
              <w:rPr>
                <w:noProof/>
                <w:webHidden/>
              </w:rPr>
            </w:r>
            <w:r>
              <w:rPr>
                <w:noProof/>
                <w:webHidden/>
              </w:rPr>
              <w:fldChar w:fldCharType="separate"/>
            </w:r>
            <w:r>
              <w:rPr>
                <w:noProof/>
                <w:webHidden/>
              </w:rPr>
              <w:t>9</w:t>
            </w:r>
            <w:r>
              <w:rPr>
                <w:noProof/>
                <w:webHidden/>
              </w:rPr>
              <w:fldChar w:fldCharType="end"/>
            </w:r>
          </w:hyperlink>
        </w:p>
        <w:p w:rsidR="00430606" w:rsidRDefault="00430606">
          <w:pPr>
            <w:pStyle w:val="TOC3"/>
            <w:tabs>
              <w:tab w:val="right" w:leader="dot" w:pos="10456"/>
            </w:tabs>
            <w:rPr>
              <w:rFonts w:asciiTheme="minorHAnsi" w:eastAsiaTheme="minorEastAsia" w:hAnsiTheme="minorHAnsi" w:cstheme="minorBidi"/>
              <w:noProof/>
              <w:szCs w:val="22"/>
            </w:rPr>
          </w:pPr>
          <w:hyperlink w:anchor="_Toc427590838" w:history="1">
            <w:r w:rsidRPr="001159E1">
              <w:rPr>
                <w:rStyle w:val="Hyperlink"/>
                <w:noProof/>
                <w:lang w:val="en-US"/>
              </w:rPr>
              <w:t>Industry sector by employment status</w:t>
            </w:r>
            <w:r>
              <w:rPr>
                <w:noProof/>
                <w:webHidden/>
              </w:rPr>
              <w:tab/>
            </w:r>
            <w:r>
              <w:rPr>
                <w:noProof/>
                <w:webHidden/>
              </w:rPr>
              <w:fldChar w:fldCharType="begin"/>
            </w:r>
            <w:r>
              <w:rPr>
                <w:noProof/>
                <w:webHidden/>
              </w:rPr>
              <w:instrText xml:space="preserve"> PAGEREF _Toc427590838 \h </w:instrText>
            </w:r>
            <w:r>
              <w:rPr>
                <w:noProof/>
                <w:webHidden/>
              </w:rPr>
            </w:r>
            <w:r>
              <w:rPr>
                <w:noProof/>
                <w:webHidden/>
              </w:rPr>
              <w:fldChar w:fldCharType="separate"/>
            </w:r>
            <w:r>
              <w:rPr>
                <w:noProof/>
                <w:webHidden/>
              </w:rPr>
              <w:t>9</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39" w:history="1">
            <w:r w:rsidRPr="001159E1">
              <w:rPr>
                <w:rStyle w:val="Hyperlink"/>
                <w:noProof/>
              </w:rPr>
              <w:t>Worker profile by age</w:t>
            </w:r>
            <w:r>
              <w:rPr>
                <w:noProof/>
                <w:webHidden/>
              </w:rPr>
              <w:tab/>
            </w:r>
            <w:r>
              <w:rPr>
                <w:noProof/>
                <w:webHidden/>
              </w:rPr>
              <w:fldChar w:fldCharType="begin"/>
            </w:r>
            <w:r>
              <w:rPr>
                <w:noProof/>
                <w:webHidden/>
              </w:rPr>
              <w:instrText xml:space="preserve"> PAGEREF _Toc427590839 \h </w:instrText>
            </w:r>
            <w:r>
              <w:rPr>
                <w:noProof/>
                <w:webHidden/>
              </w:rPr>
            </w:r>
            <w:r>
              <w:rPr>
                <w:noProof/>
                <w:webHidden/>
              </w:rPr>
              <w:fldChar w:fldCharType="separate"/>
            </w:r>
            <w:r>
              <w:rPr>
                <w:noProof/>
                <w:webHidden/>
              </w:rPr>
              <w:t>10</w:t>
            </w:r>
            <w:r>
              <w:rPr>
                <w:noProof/>
                <w:webHidden/>
              </w:rPr>
              <w:fldChar w:fldCharType="end"/>
            </w:r>
          </w:hyperlink>
        </w:p>
        <w:p w:rsidR="00430606" w:rsidRDefault="00430606">
          <w:pPr>
            <w:pStyle w:val="TOC3"/>
            <w:tabs>
              <w:tab w:val="right" w:leader="dot" w:pos="10456"/>
            </w:tabs>
            <w:rPr>
              <w:rFonts w:asciiTheme="minorHAnsi" w:eastAsiaTheme="minorEastAsia" w:hAnsiTheme="minorHAnsi" w:cstheme="minorBidi"/>
              <w:noProof/>
              <w:szCs w:val="22"/>
            </w:rPr>
          </w:pPr>
          <w:hyperlink w:anchor="_Toc427590840" w:history="1">
            <w:r w:rsidRPr="001159E1">
              <w:rPr>
                <w:rStyle w:val="Hyperlink"/>
                <w:noProof/>
              </w:rPr>
              <w:t>Age by employment status</w:t>
            </w:r>
            <w:r>
              <w:rPr>
                <w:noProof/>
                <w:webHidden/>
              </w:rPr>
              <w:tab/>
            </w:r>
            <w:r>
              <w:rPr>
                <w:noProof/>
                <w:webHidden/>
              </w:rPr>
              <w:fldChar w:fldCharType="begin"/>
            </w:r>
            <w:r>
              <w:rPr>
                <w:noProof/>
                <w:webHidden/>
              </w:rPr>
              <w:instrText xml:space="preserve"> PAGEREF _Toc427590840 \h </w:instrText>
            </w:r>
            <w:r>
              <w:rPr>
                <w:noProof/>
                <w:webHidden/>
              </w:rPr>
            </w:r>
            <w:r>
              <w:rPr>
                <w:noProof/>
                <w:webHidden/>
              </w:rPr>
              <w:fldChar w:fldCharType="separate"/>
            </w:r>
            <w:r>
              <w:rPr>
                <w:noProof/>
                <w:webHidden/>
              </w:rPr>
              <w:t>10</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41" w:history="1">
            <w:r w:rsidRPr="001159E1">
              <w:rPr>
                <w:rStyle w:val="Hyperlink"/>
                <w:noProof/>
              </w:rPr>
              <w:t>Worker profile by state or territory</w:t>
            </w:r>
            <w:r>
              <w:rPr>
                <w:noProof/>
                <w:webHidden/>
              </w:rPr>
              <w:tab/>
            </w:r>
            <w:r>
              <w:rPr>
                <w:noProof/>
                <w:webHidden/>
              </w:rPr>
              <w:fldChar w:fldCharType="begin"/>
            </w:r>
            <w:r>
              <w:rPr>
                <w:noProof/>
                <w:webHidden/>
              </w:rPr>
              <w:instrText xml:space="preserve"> PAGEREF _Toc427590841 \h </w:instrText>
            </w:r>
            <w:r>
              <w:rPr>
                <w:noProof/>
                <w:webHidden/>
              </w:rPr>
            </w:r>
            <w:r>
              <w:rPr>
                <w:noProof/>
                <w:webHidden/>
              </w:rPr>
              <w:fldChar w:fldCharType="separate"/>
            </w:r>
            <w:r>
              <w:rPr>
                <w:noProof/>
                <w:webHidden/>
              </w:rPr>
              <w:t>11</w:t>
            </w:r>
            <w:r>
              <w:rPr>
                <w:noProof/>
                <w:webHidden/>
              </w:rPr>
              <w:fldChar w:fldCharType="end"/>
            </w:r>
          </w:hyperlink>
        </w:p>
        <w:p w:rsidR="00430606" w:rsidRDefault="00430606">
          <w:pPr>
            <w:pStyle w:val="TOC1"/>
            <w:tabs>
              <w:tab w:val="right" w:leader="dot" w:pos="10456"/>
            </w:tabs>
            <w:rPr>
              <w:rFonts w:asciiTheme="minorHAnsi" w:eastAsiaTheme="minorEastAsia" w:hAnsiTheme="minorHAnsi" w:cstheme="minorBidi"/>
              <w:noProof/>
              <w:szCs w:val="22"/>
            </w:rPr>
          </w:pPr>
          <w:hyperlink w:anchor="_Toc427590842" w:history="1">
            <w:r w:rsidRPr="001159E1">
              <w:rPr>
                <w:rStyle w:val="Hyperlink"/>
                <w:noProof/>
              </w:rPr>
              <w:t>Worker fatalities in construction</w:t>
            </w:r>
            <w:r>
              <w:rPr>
                <w:noProof/>
                <w:webHidden/>
              </w:rPr>
              <w:tab/>
            </w:r>
            <w:r>
              <w:rPr>
                <w:noProof/>
                <w:webHidden/>
              </w:rPr>
              <w:fldChar w:fldCharType="begin"/>
            </w:r>
            <w:r>
              <w:rPr>
                <w:noProof/>
                <w:webHidden/>
              </w:rPr>
              <w:instrText xml:space="preserve"> PAGEREF _Toc427590842 \h </w:instrText>
            </w:r>
            <w:r>
              <w:rPr>
                <w:noProof/>
                <w:webHidden/>
              </w:rPr>
            </w:r>
            <w:r>
              <w:rPr>
                <w:noProof/>
                <w:webHidden/>
              </w:rPr>
              <w:fldChar w:fldCharType="separate"/>
            </w:r>
            <w:r>
              <w:rPr>
                <w:noProof/>
                <w:webHidden/>
              </w:rPr>
              <w:t>12</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43" w:history="1">
            <w:r w:rsidRPr="001159E1">
              <w:rPr>
                <w:rStyle w:val="Hyperlink"/>
                <w:noProof/>
              </w:rPr>
              <w:t>Fatalities by industry sector</w:t>
            </w:r>
            <w:r>
              <w:rPr>
                <w:noProof/>
                <w:webHidden/>
              </w:rPr>
              <w:tab/>
            </w:r>
            <w:r>
              <w:rPr>
                <w:noProof/>
                <w:webHidden/>
              </w:rPr>
              <w:fldChar w:fldCharType="begin"/>
            </w:r>
            <w:r>
              <w:rPr>
                <w:noProof/>
                <w:webHidden/>
              </w:rPr>
              <w:instrText xml:space="preserve"> PAGEREF _Toc427590843 \h </w:instrText>
            </w:r>
            <w:r>
              <w:rPr>
                <w:noProof/>
                <w:webHidden/>
              </w:rPr>
            </w:r>
            <w:r>
              <w:rPr>
                <w:noProof/>
                <w:webHidden/>
              </w:rPr>
              <w:fldChar w:fldCharType="separate"/>
            </w:r>
            <w:r>
              <w:rPr>
                <w:noProof/>
                <w:webHidden/>
              </w:rPr>
              <w:t>12</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44" w:history="1">
            <w:r w:rsidRPr="001159E1">
              <w:rPr>
                <w:rStyle w:val="Hyperlink"/>
                <w:noProof/>
              </w:rPr>
              <w:t>Fatalities by employment status</w:t>
            </w:r>
            <w:r>
              <w:rPr>
                <w:noProof/>
                <w:webHidden/>
              </w:rPr>
              <w:tab/>
            </w:r>
            <w:r>
              <w:rPr>
                <w:noProof/>
                <w:webHidden/>
              </w:rPr>
              <w:fldChar w:fldCharType="begin"/>
            </w:r>
            <w:r>
              <w:rPr>
                <w:noProof/>
                <w:webHidden/>
              </w:rPr>
              <w:instrText xml:space="preserve"> PAGEREF _Toc427590844 \h </w:instrText>
            </w:r>
            <w:r>
              <w:rPr>
                <w:noProof/>
                <w:webHidden/>
              </w:rPr>
            </w:r>
            <w:r>
              <w:rPr>
                <w:noProof/>
                <w:webHidden/>
              </w:rPr>
              <w:fldChar w:fldCharType="separate"/>
            </w:r>
            <w:r>
              <w:rPr>
                <w:noProof/>
                <w:webHidden/>
              </w:rPr>
              <w:t>13</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45" w:history="1">
            <w:r w:rsidRPr="001159E1">
              <w:rPr>
                <w:rStyle w:val="Hyperlink"/>
                <w:noProof/>
              </w:rPr>
              <w:t>Fatalities by age group</w:t>
            </w:r>
            <w:r>
              <w:rPr>
                <w:noProof/>
                <w:webHidden/>
              </w:rPr>
              <w:tab/>
            </w:r>
            <w:r>
              <w:rPr>
                <w:noProof/>
                <w:webHidden/>
              </w:rPr>
              <w:fldChar w:fldCharType="begin"/>
            </w:r>
            <w:r>
              <w:rPr>
                <w:noProof/>
                <w:webHidden/>
              </w:rPr>
              <w:instrText xml:space="preserve"> PAGEREF _Toc427590845 \h </w:instrText>
            </w:r>
            <w:r>
              <w:rPr>
                <w:noProof/>
                <w:webHidden/>
              </w:rPr>
            </w:r>
            <w:r>
              <w:rPr>
                <w:noProof/>
                <w:webHidden/>
              </w:rPr>
              <w:fldChar w:fldCharType="separate"/>
            </w:r>
            <w:r>
              <w:rPr>
                <w:noProof/>
                <w:webHidden/>
              </w:rPr>
              <w:t>14</w:t>
            </w:r>
            <w:r>
              <w:rPr>
                <w:noProof/>
                <w:webHidden/>
              </w:rPr>
              <w:fldChar w:fldCharType="end"/>
            </w:r>
          </w:hyperlink>
        </w:p>
        <w:p w:rsidR="00430606" w:rsidRDefault="00430606">
          <w:pPr>
            <w:pStyle w:val="TOC3"/>
            <w:tabs>
              <w:tab w:val="right" w:leader="dot" w:pos="10456"/>
            </w:tabs>
            <w:rPr>
              <w:rFonts w:asciiTheme="minorHAnsi" w:eastAsiaTheme="minorEastAsia" w:hAnsiTheme="minorHAnsi" w:cstheme="minorBidi"/>
              <w:noProof/>
              <w:szCs w:val="22"/>
            </w:rPr>
          </w:pPr>
          <w:hyperlink w:anchor="_Toc427590846" w:history="1">
            <w:r w:rsidRPr="001159E1">
              <w:rPr>
                <w:rStyle w:val="Hyperlink"/>
                <w:noProof/>
              </w:rPr>
              <w:t>Age by employment status</w:t>
            </w:r>
            <w:r>
              <w:rPr>
                <w:noProof/>
                <w:webHidden/>
              </w:rPr>
              <w:tab/>
            </w:r>
            <w:r>
              <w:rPr>
                <w:noProof/>
                <w:webHidden/>
              </w:rPr>
              <w:fldChar w:fldCharType="begin"/>
            </w:r>
            <w:r>
              <w:rPr>
                <w:noProof/>
                <w:webHidden/>
              </w:rPr>
              <w:instrText xml:space="preserve"> PAGEREF _Toc427590846 \h </w:instrText>
            </w:r>
            <w:r>
              <w:rPr>
                <w:noProof/>
                <w:webHidden/>
              </w:rPr>
            </w:r>
            <w:r>
              <w:rPr>
                <w:noProof/>
                <w:webHidden/>
              </w:rPr>
              <w:fldChar w:fldCharType="separate"/>
            </w:r>
            <w:r>
              <w:rPr>
                <w:noProof/>
                <w:webHidden/>
              </w:rPr>
              <w:t>14</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47" w:history="1">
            <w:r w:rsidRPr="001159E1">
              <w:rPr>
                <w:rStyle w:val="Hyperlink"/>
                <w:noProof/>
              </w:rPr>
              <w:t>Fatalities by state/territory of death</w:t>
            </w:r>
            <w:r>
              <w:rPr>
                <w:noProof/>
                <w:webHidden/>
              </w:rPr>
              <w:tab/>
            </w:r>
            <w:r>
              <w:rPr>
                <w:noProof/>
                <w:webHidden/>
              </w:rPr>
              <w:fldChar w:fldCharType="begin"/>
            </w:r>
            <w:r>
              <w:rPr>
                <w:noProof/>
                <w:webHidden/>
              </w:rPr>
              <w:instrText xml:space="preserve"> PAGEREF _Toc427590847 \h </w:instrText>
            </w:r>
            <w:r>
              <w:rPr>
                <w:noProof/>
                <w:webHidden/>
              </w:rPr>
            </w:r>
            <w:r>
              <w:rPr>
                <w:noProof/>
                <w:webHidden/>
              </w:rPr>
              <w:fldChar w:fldCharType="separate"/>
            </w:r>
            <w:r>
              <w:rPr>
                <w:noProof/>
                <w:webHidden/>
              </w:rPr>
              <w:t>15</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48" w:history="1">
            <w:r w:rsidRPr="001159E1">
              <w:rPr>
                <w:rStyle w:val="Hyperlink"/>
                <w:noProof/>
              </w:rPr>
              <w:t>Fatalities by mechanism of incident</w:t>
            </w:r>
            <w:r>
              <w:rPr>
                <w:noProof/>
                <w:webHidden/>
              </w:rPr>
              <w:tab/>
            </w:r>
            <w:r>
              <w:rPr>
                <w:noProof/>
                <w:webHidden/>
              </w:rPr>
              <w:fldChar w:fldCharType="begin"/>
            </w:r>
            <w:r>
              <w:rPr>
                <w:noProof/>
                <w:webHidden/>
              </w:rPr>
              <w:instrText xml:space="preserve"> PAGEREF _Toc427590848 \h </w:instrText>
            </w:r>
            <w:r>
              <w:rPr>
                <w:noProof/>
                <w:webHidden/>
              </w:rPr>
            </w:r>
            <w:r>
              <w:rPr>
                <w:noProof/>
                <w:webHidden/>
              </w:rPr>
              <w:fldChar w:fldCharType="separate"/>
            </w:r>
            <w:r>
              <w:rPr>
                <w:noProof/>
                <w:webHidden/>
              </w:rPr>
              <w:t>16</w:t>
            </w:r>
            <w:r>
              <w:rPr>
                <w:noProof/>
                <w:webHidden/>
              </w:rPr>
              <w:fldChar w:fldCharType="end"/>
            </w:r>
          </w:hyperlink>
        </w:p>
        <w:p w:rsidR="00430606" w:rsidRDefault="00430606">
          <w:pPr>
            <w:pStyle w:val="TOC3"/>
            <w:tabs>
              <w:tab w:val="right" w:leader="dot" w:pos="10456"/>
            </w:tabs>
            <w:rPr>
              <w:rFonts w:asciiTheme="minorHAnsi" w:eastAsiaTheme="minorEastAsia" w:hAnsiTheme="minorHAnsi" w:cstheme="minorBidi"/>
              <w:noProof/>
              <w:szCs w:val="22"/>
            </w:rPr>
          </w:pPr>
          <w:hyperlink w:anchor="_Toc427590849" w:history="1">
            <w:r w:rsidRPr="001159E1">
              <w:rPr>
                <w:rStyle w:val="Hyperlink"/>
                <w:noProof/>
              </w:rPr>
              <w:t>State/territory by mechanism of incident</w:t>
            </w:r>
            <w:r>
              <w:rPr>
                <w:noProof/>
                <w:webHidden/>
              </w:rPr>
              <w:tab/>
            </w:r>
            <w:r>
              <w:rPr>
                <w:noProof/>
                <w:webHidden/>
              </w:rPr>
              <w:fldChar w:fldCharType="begin"/>
            </w:r>
            <w:r>
              <w:rPr>
                <w:noProof/>
                <w:webHidden/>
              </w:rPr>
              <w:instrText xml:space="preserve"> PAGEREF _Toc427590849 \h </w:instrText>
            </w:r>
            <w:r>
              <w:rPr>
                <w:noProof/>
                <w:webHidden/>
              </w:rPr>
            </w:r>
            <w:r>
              <w:rPr>
                <w:noProof/>
                <w:webHidden/>
              </w:rPr>
              <w:fldChar w:fldCharType="separate"/>
            </w:r>
            <w:r>
              <w:rPr>
                <w:noProof/>
                <w:webHidden/>
              </w:rPr>
              <w:t>16</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50" w:history="1">
            <w:r w:rsidRPr="001159E1">
              <w:rPr>
                <w:rStyle w:val="Hyperlink"/>
                <w:noProof/>
              </w:rPr>
              <w:t>Fatalities by breakdown agency</w:t>
            </w:r>
            <w:r>
              <w:rPr>
                <w:noProof/>
                <w:webHidden/>
              </w:rPr>
              <w:tab/>
            </w:r>
            <w:r>
              <w:rPr>
                <w:noProof/>
                <w:webHidden/>
              </w:rPr>
              <w:fldChar w:fldCharType="begin"/>
            </w:r>
            <w:r>
              <w:rPr>
                <w:noProof/>
                <w:webHidden/>
              </w:rPr>
              <w:instrText xml:space="preserve"> PAGEREF _Toc427590850 \h </w:instrText>
            </w:r>
            <w:r>
              <w:rPr>
                <w:noProof/>
                <w:webHidden/>
              </w:rPr>
            </w:r>
            <w:r>
              <w:rPr>
                <w:noProof/>
                <w:webHidden/>
              </w:rPr>
              <w:fldChar w:fldCharType="separate"/>
            </w:r>
            <w:r>
              <w:rPr>
                <w:noProof/>
                <w:webHidden/>
              </w:rPr>
              <w:t>18</w:t>
            </w:r>
            <w:r>
              <w:rPr>
                <w:noProof/>
                <w:webHidden/>
              </w:rPr>
              <w:fldChar w:fldCharType="end"/>
            </w:r>
          </w:hyperlink>
        </w:p>
        <w:p w:rsidR="00430606" w:rsidRDefault="00430606">
          <w:pPr>
            <w:pStyle w:val="TOC3"/>
            <w:tabs>
              <w:tab w:val="right" w:leader="dot" w:pos="10456"/>
            </w:tabs>
            <w:rPr>
              <w:rFonts w:asciiTheme="minorHAnsi" w:eastAsiaTheme="minorEastAsia" w:hAnsiTheme="minorHAnsi" w:cstheme="minorBidi"/>
              <w:noProof/>
              <w:szCs w:val="22"/>
            </w:rPr>
          </w:pPr>
          <w:hyperlink w:anchor="_Toc427590851" w:history="1">
            <w:r w:rsidRPr="001159E1">
              <w:rPr>
                <w:rStyle w:val="Hyperlink"/>
                <w:noProof/>
              </w:rPr>
              <w:t>State/territory by breakdown agency</w:t>
            </w:r>
            <w:r>
              <w:rPr>
                <w:noProof/>
                <w:webHidden/>
              </w:rPr>
              <w:tab/>
            </w:r>
            <w:r>
              <w:rPr>
                <w:noProof/>
                <w:webHidden/>
              </w:rPr>
              <w:fldChar w:fldCharType="begin"/>
            </w:r>
            <w:r>
              <w:rPr>
                <w:noProof/>
                <w:webHidden/>
              </w:rPr>
              <w:instrText xml:space="preserve"> PAGEREF _Toc427590851 \h </w:instrText>
            </w:r>
            <w:r>
              <w:rPr>
                <w:noProof/>
                <w:webHidden/>
              </w:rPr>
            </w:r>
            <w:r>
              <w:rPr>
                <w:noProof/>
                <w:webHidden/>
              </w:rPr>
              <w:fldChar w:fldCharType="separate"/>
            </w:r>
            <w:r>
              <w:rPr>
                <w:noProof/>
                <w:webHidden/>
              </w:rPr>
              <w:t>18</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52" w:history="1">
            <w:r w:rsidRPr="001159E1">
              <w:rPr>
                <w:rStyle w:val="Hyperlink"/>
                <w:noProof/>
              </w:rPr>
              <w:t>Fatalities by occupation</w:t>
            </w:r>
            <w:r>
              <w:rPr>
                <w:noProof/>
                <w:webHidden/>
              </w:rPr>
              <w:tab/>
            </w:r>
            <w:r>
              <w:rPr>
                <w:noProof/>
                <w:webHidden/>
              </w:rPr>
              <w:fldChar w:fldCharType="begin"/>
            </w:r>
            <w:r>
              <w:rPr>
                <w:noProof/>
                <w:webHidden/>
              </w:rPr>
              <w:instrText xml:space="preserve"> PAGEREF _Toc427590852 \h </w:instrText>
            </w:r>
            <w:r>
              <w:rPr>
                <w:noProof/>
                <w:webHidden/>
              </w:rPr>
            </w:r>
            <w:r>
              <w:rPr>
                <w:noProof/>
                <w:webHidden/>
              </w:rPr>
              <w:fldChar w:fldCharType="separate"/>
            </w:r>
            <w:r>
              <w:rPr>
                <w:noProof/>
                <w:webHidden/>
              </w:rPr>
              <w:t>19</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53" w:history="1">
            <w:r w:rsidRPr="001159E1">
              <w:rPr>
                <w:rStyle w:val="Hyperlink"/>
                <w:noProof/>
              </w:rPr>
              <w:t>Fatalities at construction worksites</w:t>
            </w:r>
            <w:r>
              <w:rPr>
                <w:noProof/>
                <w:webHidden/>
              </w:rPr>
              <w:tab/>
            </w:r>
            <w:r>
              <w:rPr>
                <w:noProof/>
                <w:webHidden/>
              </w:rPr>
              <w:fldChar w:fldCharType="begin"/>
            </w:r>
            <w:r>
              <w:rPr>
                <w:noProof/>
                <w:webHidden/>
              </w:rPr>
              <w:instrText xml:space="preserve"> PAGEREF _Toc427590853 \h </w:instrText>
            </w:r>
            <w:r>
              <w:rPr>
                <w:noProof/>
                <w:webHidden/>
              </w:rPr>
            </w:r>
            <w:r>
              <w:rPr>
                <w:noProof/>
                <w:webHidden/>
              </w:rPr>
              <w:fldChar w:fldCharType="separate"/>
            </w:r>
            <w:r>
              <w:rPr>
                <w:noProof/>
                <w:webHidden/>
              </w:rPr>
              <w:t>22</w:t>
            </w:r>
            <w:r>
              <w:rPr>
                <w:noProof/>
                <w:webHidden/>
              </w:rPr>
              <w:fldChar w:fldCharType="end"/>
            </w:r>
          </w:hyperlink>
        </w:p>
        <w:p w:rsidR="00430606" w:rsidRDefault="00430606">
          <w:pPr>
            <w:pStyle w:val="TOC3"/>
            <w:tabs>
              <w:tab w:val="right" w:leader="dot" w:pos="10456"/>
            </w:tabs>
            <w:rPr>
              <w:rFonts w:asciiTheme="minorHAnsi" w:eastAsiaTheme="minorEastAsia" w:hAnsiTheme="minorHAnsi" w:cstheme="minorBidi"/>
              <w:noProof/>
              <w:szCs w:val="22"/>
            </w:rPr>
          </w:pPr>
          <w:hyperlink w:anchor="_Toc427590854" w:history="1">
            <w:r w:rsidRPr="001159E1">
              <w:rPr>
                <w:rStyle w:val="Hyperlink"/>
                <w:noProof/>
              </w:rPr>
              <w:t>Non-construction workers working at construction sites</w:t>
            </w:r>
            <w:r>
              <w:rPr>
                <w:noProof/>
                <w:webHidden/>
              </w:rPr>
              <w:tab/>
            </w:r>
            <w:r>
              <w:rPr>
                <w:noProof/>
                <w:webHidden/>
              </w:rPr>
              <w:fldChar w:fldCharType="begin"/>
            </w:r>
            <w:r>
              <w:rPr>
                <w:noProof/>
                <w:webHidden/>
              </w:rPr>
              <w:instrText xml:space="preserve"> PAGEREF _Toc427590854 \h </w:instrText>
            </w:r>
            <w:r>
              <w:rPr>
                <w:noProof/>
                <w:webHidden/>
              </w:rPr>
            </w:r>
            <w:r>
              <w:rPr>
                <w:noProof/>
                <w:webHidden/>
              </w:rPr>
              <w:fldChar w:fldCharType="separate"/>
            </w:r>
            <w:r>
              <w:rPr>
                <w:noProof/>
                <w:webHidden/>
              </w:rPr>
              <w:t>22</w:t>
            </w:r>
            <w:r>
              <w:rPr>
                <w:noProof/>
                <w:webHidden/>
              </w:rPr>
              <w:fldChar w:fldCharType="end"/>
            </w:r>
          </w:hyperlink>
        </w:p>
        <w:p w:rsidR="00430606" w:rsidRDefault="00430606">
          <w:pPr>
            <w:pStyle w:val="TOC3"/>
            <w:tabs>
              <w:tab w:val="right" w:leader="dot" w:pos="10456"/>
            </w:tabs>
            <w:rPr>
              <w:rFonts w:asciiTheme="minorHAnsi" w:eastAsiaTheme="minorEastAsia" w:hAnsiTheme="minorHAnsi" w:cstheme="minorBidi"/>
              <w:noProof/>
              <w:szCs w:val="22"/>
            </w:rPr>
          </w:pPr>
          <w:hyperlink w:anchor="_Toc427590855" w:history="1">
            <w:r w:rsidRPr="001159E1">
              <w:rPr>
                <w:rStyle w:val="Hyperlink"/>
                <w:noProof/>
              </w:rPr>
              <w:t>Construction workers working at other sites</w:t>
            </w:r>
            <w:r>
              <w:rPr>
                <w:noProof/>
                <w:webHidden/>
              </w:rPr>
              <w:tab/>
            </w:r>
            <w:r>
              <w:rPr>
                <w:noProof/>
                <w:webHidden/>
              </w:rPr>
              <w:fldChar w:fldCharType="begin"/>
            </w:r>
            <w:r>
              <w:rPr>
                <w:noProof/>
                <w:webHidden/>
              </w:rPr>
              <w:instrText xml:space="preserve"> PAGEREF _Toc427590855 \h </w:instrText>
            </w:r>
            <w:r>
              <w:rPr>
                <w:noProof/>
                <w:webHidden/>
              </w:rPr>
            </w:r>
            <w:r>
              <w:rPr>
                <w:noProof/>
                <w:webHidden/>
              </w:rPr>
              <w:fldChar w:fldCharType="separate"/>
            </w:r>
            <w:r>
              <w:rPr>
                <w:noProof/>
                <w:webHidden/>
              </w:rPr>
              <w:t>22</w:t>
            </w:r>
            <w:r>
              <w:rPr>
                <w:noProof/>
                <w:webHidden/>
              </w:rPr>
              <w:fldChar w:fldCharType="end"/>
            </w:r>
          </w:hyperlink>
        </w:p>
        <w:p w:rsidR="00430606" w:rsidRDefault="00430606">
          <w:pPr>
            <w:pStyle w:val="TOC1"/>
            <w:tabs>
              <w:tab w:val="right" w:leader="dot" w:pos="10456"/>
            </w:tabs>
            <w:rPr>
              <w:rFonts w:asciiTheme="minorHAnsi" w:eastAsiaTheme="minorEastAsia" w:hAnsiTheme="minorHAnsi" w:cstheme="minorBidi"/>
              <w:noProof/>
              <w:szCs w:val="22"/>
            </w:rPr>
          </w:pPr>
          <w:hyperlink w:anchor="_Toc427590856" w:history="1">
            <w:r w:rsidRPr="001159E1">
              <w:rPr>
                <w:rStyle w:val="Hyperlink"/>
                <w:noProof/>
                <w:lang w:val="en-US"/>
              </w:rPr>
              <w:t>Work-related injuries</w:t>
            </w:r>
            <w:r>
              <w:rPr>
                <w:noProof/>
                <w:webHidden/>
              </w:rPr>
              <w:tab/>
            </w:r>
            <w:r>
              <w:rPr>
                <w:noProof/>
                <w:webHidden/>
              </w:rPr>
              <w:fldChar w:fldCharType="begin"/>
            </w:r>
            <w:r>
              <w:rPr>
                <w:noProof/>
                <w:webHidden/>
              </w:rPr>
              <w:instrText xml:space="preserve"> PAGEREF _Toc427590856 \h </w:instrText>
            </w:r>
            <w:r>
              <w:rPr>
                <w:noProof/>
                <w:webHidden/>
              </w:rPr>
            </w:r>
            <w:r>
              <w:rPr>
                <w:noProof/>
                <w:webHidden/>
              </w:rPr>
              <w:fldChar w:fldCharType="separate"/>
            </w:r>
            <w:r>
              <w:rPr>
                <w:noProof/>
                <w:webHidden/>
              </w:rPr>
              <w:t>23</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57" w:history="1">
            <w:r w:rsidRPr="001159E1">
              <w:rPr>
                <w:rStyle w:val="Hyperlink"/>
                <w:noProof/>
              </w:rPr>
              <w:t>Time off work</w:t>
            </w:r>
            <w:r>
              <w:rPr>
                <w:noProof/>
                <w:webHidden/>
              </w:rPr>
              <w:tab/>
            </w:r>
            <w:r>
              <w:rPr>
                <w:noProof/>
                <w:webHidden/>
              </w:rPr>
              <w:fldChar w:fldCharType="begin"/>
            </w:r>
            <w:r>
              <w:rPr>
                <w:noProof/>
                <w:webHidden/>
              </w:rPr>
              <w:instrText xml:space="preserve"> PAGEREF _Toc427590857 \h </w:instrText>
            </w:r>
            <w:r>
              <w:rPr>
                <w:noProof/>
                <w:webHidden/>
              </w:rPr>
            </w:r>
            <w:r>
              <w:rPr>
                <w:noProof/>
                <w:webHidden/>
              </w:rPr>
              <w:fldChar w:fldCharType="separate"/>
            </w:r>
            <w:r>
              <w:rPr>
                <w:noProof/>
                <w:webHidden/>
              </w:rPr>
              <w:t>23</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58" w:history="1">
            <w:r w:rsidRPr="001159E1">
              <w:rPr>
                <w:rStyle w:val="Hyperlink"/>
                <w:noProof/>
              </w:rPr>
              <w:t>Injuries by age</w:t>
            </w:r>
            <w:r>
              <w:rPr>
                <w:noProof/>
                <w:webHidden/>
              </w:rPr>
              <w:tab/>
            </w:r>
            <w:r>
              <w:rPr>
                <w:noProof/>
                <w:webHidden/>
              </w:rPr>
              <w:fldChar w:fldCharType="begin"/>
            </w:r>
            <w:r>
              <w:rPr>
                <w:noProof/>
                <w:webHidden/>
              </w:rPr>
              <w:instrText xml:space="preserve"> PAGEREF _Toc427590858 \h </w:instrText>
            </w:r>
            <w:r>
              <w:rPr>
                <w:noProof/>
                <w:webHidden/>
              </w:rPr>
            </w:r>
            <w:r>
              <w:rPr>
                <w:noProof/>
                <w:webHidden/>
              </w:rPr>
              <w:fldChar w:fldCharType="separate"/>
            </w:r>
            <w:r>
              <w:rPr>
                <w:noProof/>
                <w:webHidden/>
              </w:rPr>
              <w:t>23</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59" w:history="1">
            <w:r w:rsidRPr="001159E1">
              <w:rPr>
                <w:rStyle w:val="Hyperlink"/>
                <w:noProof/>
              </w:rPr>
              <w:t>Type of injury</w:t>
            </w:r>
            <w:r>
              <w:rPr>
                <w:noProof/>
                <w:webHidden/>
              </w:rPr>
              <w:tab/>
            </w:r>
            <w:r>
              <w:rPr>
                <w:noProof/>
                <w:webHidden/>
              </w:rPr>
              <w:fldChar w:fldCharType="begin"/>
            </w:r>
            <w:r>
              <w:rPr>
                <w:noProof/>
                <w:webHidden/>
              </w:rPr>
              <w:instrText xml:space="preserve"> PAGEREF _Toc427590859 \h </w:instrText>
            </w:r>
            <w:r>
              <w:rPr>
                <w:noProof/>
                <w:webHidden/>
              </w:rPr>
            </w:r>
            <w:r>
              <w:rPr>
                <w:noProof/>
                <w:webHidden/>
              </w:rPr>
              <w:fldChar w:fldCharType="separate"/>
            </w:r>
            <w:r>
              <w:rPr>
                <w:noProof/>
                <w:webHidden/>
              </w:rPr>
              <w:t>24</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60" w:history="1">
            <w:r w:rsidRPr="001159E1">
              <w:rPr>
                <w:rStyle w:val="Hyperlink"/>
                <w:noProof/>
              </w:rPr>
              <w:t>Injuries by employment status</w:t>
            </w:r>
            <w:r>
              <w:rPr>
                <w:noProof/>
                <w:webHidden/>
              </w:rPr>
              <w:tab/>
            </w:r>
            <w:r>
              <w:rPr>
                <w:noProof/>
                <w:webHidden/>
              </w:rPr>
              <w:fldChar w:fldCharType="begin"/>
            </w:r>
            <w:r>
              <w:rPr>
                <w:noProof/>
                <w:webHidden/>
              </w:rPr>
              <w:instrText xml:space="preserve"> PAGEREF _Toc427590860 \h </w:instrText>
            </w:r>
            <w:r>
              <w:rPr>
                <w:noProof/>
                <w:webHidden/>
              </w:rPr>
            </w:r>
            <w:r>
              <w:rPr>
                <w:noProof/>
                <w:webHidden/>
              </w:rPr>
              <w:fldChar w:fldCharType="separate"/>
            </w:r>
            <w:r>
              <w:rPr>
                <w:noProof/>
                <w:webHidden/>
              </w:rPr>
              <w:t>24</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61" w:history="1">
            <w:r w:rsidRPr="001159E1">
              <w:rPr>
                <w:rStyle w:val="Hyperlink"/>
                <w:noProof/>
              </w:rPr>
              <w:t>How the injury occurred</w:t>
            </w:r>
            <w:r>
              <w:rPr>
                <w:noProof/>
                <w:webHidden/>
              </w:rPr>
              <w:tab/>
            </w:r>
            <w:r>
              <w:rPr>
                <w:noProof/>
                <w:webHidden/>
              </w:rPr>
              <w:fldChar w:fldCharType="begin"/>
            </w:r>
            <w:r>
              <w:rPr>
                <w:noProof/>
                <w:webHidden/>
              </w:rPr>
              <w:instrText xml:space="preserve"> PAGEREF _Toc427590861 \h </w:instrText>
            </w:r>
            <w:r>
              <w:rPr>
                <w:noProof/>
                <w:webHidden/>
              </w:rPr>
            </w:r>
            <w:r>
              <w:rPr>
                <w:noProof/>
                <w:webHidden/>
              </w:rPr>
              <w:fldChar w:fldCharType="separate"/>
            </w:r>
            <w:r>
              <w:rPr>
                <w:noProof/>
                <w:webHidden/>
              </w:rPr>
              <w:t>24</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62" w:history="1">
            <w:r w:rsidRPr="001159E1">
              <w:rPr>
                <w:rStyle w:val="Hyperlink"/>
                <w:noProof/>
              </w:rPr>
              <w:t>Injuries by workers’ compensation status</w:t>
            </w:r>
            <w:r>
              <w:rPr>
                <w:noProof/>
                <w:webHidden/>
              </w:rPr>
              <w:tab/>
            </w:r>
            <w:r>
              <w:rPr>
                <w:noProof/>
                <w:webHidden/>
              </w:rPr>
              <w:fldChar w:fldCharType="begin"/>
            </w:r>
            <w:r>
              <w:rPr>
                <w:noProof/>
                <w:webHidden/>
              </w:rPr>
              <w:instrText xml:space="preserve"> PAGEREF _Toc427590862 \h </w:instrText>
            </w:r>
            <w:r>
              <w:rPr>
                <w:noProof/>
                <w:webHidden/>
              </w:rPr>
            </w:r>
            <w:r>
              <w:rPr>
                <w:noProof/>
                <w:webHidden/>
              </w:rPr>
              <w:fldChar w:fldCharType="separate"/>
            </w:r>
            <w:r>
              <w:rPr>
                <w:noProof/>
                <w:webHidden/>
              </w:rPr>
              <w:t>25</w:t>
            </w:r>
            <w:r>
              <w:rPr>
                <w:noProof/>
                <w:webHidden/>
              </w:rPr>
              <w:fldChar w:fldCharType="end"/>
            </w:r>
          </w:hyperlink>
        </w:p>
        <w:p w:rsidR="00430606" w:rsidRDefault="00430606">
          <w:pPr>
            <w:pStyle w:val="TOC1"/>
            <w:tabs>
              <w:tab w:val="right" w:leader="dot" w:pos="10456"/>
            </w:tabs>
            <w:rPr>
              <w:rFonts w:asciiTheme="minorHAnsi" w:eastAsiaTheme="minorEastAsia" w:hAnsiTheme="minorHAnsi" w:cstheme="minorBidi"/>
              <w:noProof/>
              <w:szCs w:val="22"/>
            </w:rPr>
          </w:pPr>
          <w:hyperlink w:anchor="_Toc427590863" w:history="1">
            <w:r w:rsidRPr="001159E1">
              <w:rPr>
                <w:rStyle w:val="Hyperlink"/>
                <w:noProof/>
              </w:rPr>
              <w:t>Worker’s compensation claims</w:t>
            </w:r>
            <w:r>
              <w:rPr>
                <w:noProof/>
                <w:webHidden/>
              </w:rPr>
              <w:tab/>
            </w:r>
            <w:r>
              <w:rPr>
                <w:noProof/>
                <w:webHidden/>
              </w:rPr>
              <w:fldChar w:fldCharType="begin"/>
            </w:r>
            <w:r>
              <w:rPr>
                <w:noProof/>
                <w:webHidden/>
              </w:rPr>
              <w:instrText xml:space="preserve"> PAGEREF _Toc427590863 \h </w:instrText>
            </w:r>
            <w:r>
              <w:rPr>
                <w:noProof/>
                <w:webHidden/>
              </w:rPr>
            </w:r>
            <w:r>
              <w:rPr>
                <w:noProof/>
                <w:webHidden/>
              </w:rPr>
              <w:fldChar w:fldCharType="separate"/>
            </w:r>
            <w:r>
              <w:rPr>
                <w:noProof/>
                <w:webHidden/>
              </w:rPr>
              <w:t>26</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64" w:history="1">
            <w:r w:rsidRPr="001159E1">
              <w:rPr>
                <w:rStyle w:val="Hyperlink"/>
                <w:noProof/>
              </w:rPr>
              <w:t>Number and incidence rates</w:t>
            </w:r>
            <w:r>
              <w:rPr>
                <w:noProof/>
                <w:webHidden/>
              </w:rPr>
              <w:tab/>
            </w:r>
            <w:r>
              <w:rPr>
                <w:noProof/>
                <w:webHidden/>
              </w:rPr>
              <w:fldChar w:fldCharType="begin"/>
            </w:r>
            <w:r>
              <w:rPr>
                <w:noProof/>
                <w:webHidden/>
              </w:rPr>
              <w:instrText xml:space="preserve"> PAGEREF _Toc427590864 \h </w:instrText>
            </w:r>
            <w:r>
              <w:rPr>
                <w:noProof/>
                <w:webHidden/>
              </w:rPr>
            </w:r>
            <w:r>
              <w:rPr>
                <w:noProof/>
                <w:webHidden/>
              </w:rPr>
              <w:fldChar w:fldCharType="separate"/>
            </w:r>
            <w:r>
              <w:rPr>
                <w:noProof/>
                <w:webHidden/>
              </w:rPr>
              <w:t>26</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65" w:history="1">
            <w:r w:rsidRPr="001159E1">
              <w:rPr>
                <w:rStyle w:val="Hyperlink"/>
                <w:noProof/>
              </w:rPr>
              <w:t>Typical costs and time off work</w:t>
            </w:r>
            <w:r>
              <w:rPr>
                <w:noProof/>
                <w:webHidden/>
              </w:rPr>
              <w:tab/>
            </w:r>
            <w:r>
              <w:rPr>
                <w:noProof/>
                <w:webHidden/>
              </w:rPr>
              <w:fldChar w:fldCharType="begin"/>
            </w:r>
            <w:r>
              <w:rPr>
                <w:noProof/>
                <w:webHidden/>
              </w:rPr>
              <w:instrText xml:space="preserve"> PAGEREF _Toc427590865 \h </w:instrText>
            </w:r>
            <w:r>
              <w:rPr>
                <w:noProof/>
                <w:webHidden/>
              </w:rPr>
            </w:r>
            <w:r>
              <w:rPr>
                <w:noProof/>
                <w:webHidden/>
              </w:rPr>
              <w:fldChar w:fldCharType="separate"/>
            </w:r>
            <w:r>
              <w:rPr>
                <w:noProof/>
                <w:webHidden/>
              </w:rPr>
              <w:t>26</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66" w:history="1">
            <w:r w:rsidRPr="001159E1">
              <w:rPr>
                <w:rStyle w:val="Hyperlink"/>
                <w:noProof/>
              </w:rPr>
              <w:t>Claims by sex</w:t>
            </w:r>
            <w:r>
              <w:rPr>
                <w:noProof/>
                <w:webHidden/>
              </w:rPr>
              <w:tab/>
            </w:r>
            <w:r>
              <w:rPr>
                <w:noProof/>
                <w:webHidden/>
              </w:rPr>
              <w:fldChar w:fldCharType="begin"/>
            </w:r>
            <w:r>
              <w:rPr>
                <w:noProof/>
                <w:webHidden/>
              </w:rPr>
              <w:instrText xml:space="preserve"> PAGEREF _Toc427590866 \h </w:instrText>
            </w:r>
            <w:r>
              <w:rPr>
                <w:noProof/>
                <w:webHidden/>
              </w:rPr>
            </w:r>
            <w:r>
              <w:rPr>
                <w:noProof/>
                <w:webHidden/>
              </w:rPr>
              <w:fldChar w:fldCharType="separate"/>
            </w:r>
            <w:r>
              <w:rPr>
                <w:noProof/>
                <w:webHidden/>
              </w:rPr>
              <w:t>27</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67" w:history="1">
            <w:r w:rsidRPr="001159E1">
              <w:rPr>
                <w:rStyle w:val="Hyperlink"/>
                <w:noProof/>
              </w:rPr>
              <w:t>Claims by industry sector</w:t>
            </w:r>
            <w:r>
              <w:rPr>
                <w:noProof/>
                <w:webHidden/>
              </w:rPr>
              <w:tab/>
            </w:r>
            <w:r>
              <w:rPr>
                <w:noProof/>
                <w:webHidden/>
              </w:rPr>
              <w:fldChar w:fldCharType="begin"/>
            </w:r>
            <w:r>
              <w:rPr>
                <w:noProof/>
                <w:webHidden/>
              </w:rPr>
              <w:instrText xml:space="preserve"> PAGEREF _Toc427590867 \h </w:instrText>
            </w:r>
            <w:r>
              <w:rPr>
                <w:noProof/>
                <w:webHidden/>
              </w:rPr>
            </w:r>
            <w:r>
              <w:rPr>
                <w:noProof/>
                <w:webHidden/>
              </w:rPr>
              <w:fldChar w:fldCharType="separate"/>
            </w:r>
            <w:r>
              <w:rPr>
                <w:noProof/>
                <w:webHidden/>
              </w:rPr>
              <w:t>28</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68" w:history="1">
            <w:r w:rsidRPr="001159E1">
              <w:rPr>
                <w:rStyle w:val="Hyperlink"/>
                <w:noProof/>
              </w:rPr>
              <w:t>Claims by age</w:t>
            </w:r>
            <w:r>
              <w:rPr>
                <w:noProof/>
                <w:webHidden/>
              </w:rPr>
              <w:tab/>
            </w:r>
            <w:r>
              <w:rPr>
                <w:noProof/>
                <w:webHidden/>
              </w:rPr>
              <w:fldChar w:fldCharType="begin"/>
            </w:r>
            <w:r>
              <w:rPr>
                <w:noProof/>
                <w:webHidden/>
              </w:rPr>
              <w:instrText xml:space="preserve"> PAGEREF _Toc427590868 \h </w:instrText>
            </w:r>
            <w:r>
              <w:rPr>
                <w:noProof/>
                <w:webHidden/>
              </w:rPr>
            </w:r>
            <w:r>
              <w:rPr>
                <w:noProof/>
                <w:webHidden/>
              </w:rPr>
              <w:fldChar w:fldCharType="separate"/>
            </w:r>
            <w:r>
              <w:rPr>
                <w:noProof/>
                <w:webHidden/>
              </w:rPr>
              <w:t>28</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69" w:history="1">
            <w:r w:rsidRPr="001159E1">
              <w:rPr>
                <w:rStyle w:val="Hyperlink"/>
                <w:noProof/>
              </w:rPr>
              <w:t>Claims by jurisdiction</w:t>
            </w:r>
            <w:r>
              <w:rPr>
                <w:noProof/>
                <w:webHidden/>
              </w:rPr>
              <w:tab/>
            </w:r>
            <w:r>
              <w:rPr>
                <w:noProof/>
                <w:webHidden/>
              </w:rPr>
              <w:fldChar w:fldCharType="begin"/>
            </w:r>
            <w:r>
              <w:rPr>
                <w:noProof/>
                <w:webHidden/>
              </w:rPr>
              <w:instrText xml:space="preserve"> PAGEREF _Toc427590869 \h </w:instrText>
            </w:r>
            <w:r>
              <w:rPr>
                <w:noProof/>
                <w:webHidden/>
              </w:rPr>
            </w:r>
            <w:r>
              <w:rPr>
                <w:noProof/>
                <w:webHidden/>
              </w:rPr>
              <w:fldChar w:fldCharType="separate"/>
            </w:r>
            <w:r>
              <w:rPr>
                <w:noProof/>
                <w:webHidden/>
              </w:rPr>
              <w:t>29</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70" w:history="1">
            <w:r w:rsidRPr="001159E1">
              <w:rPr>
                <w:rStyle w:val="Hyperlink"/>
                <w:noProof/>
              </w:rPr>
              <w:t>Claims by occupation</w:t>
            </w:r>
            <w:r>
              <w:rPr>
                <w:noProof/>
                <w:webHidden/>
              </w:rPr>
              <w:tab/>
            </w:r>
            <w:r>
              <w:rPr>
                <w:noProof/>
                <w:webHidden/>
              </w:rPr>
              <w:fldChar w:fldCharType="begin"/>
            </w:r>
            <w:r>
              <w:rPr>
                <w:noProof/>
                <w:webHidden/>
              </w:rPr>
              <w:instrText xml:space="preserve"> PAGEREF _Toc427590870 \h </w:instrText>
            </w:r>
            <w:r>
              <w:rPr>
                <w:noProof/>
                <w:webHidden/>
              </w:rPr>
            </w:r>
            <w:r>
              <w:rPr>
                <w:noProof/>
                <w:webHidden/>
              </w:rPr>
              <w:fldChar w:fldCharType="separate"/>
            </w:r>
            <w:r>
              <w:rPr>
                <w:noProof/>
                <w:webHidden/>
              </w:rPr>
              <w:t>29</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71" w:history="1">
            <w:r w:rsidRPr="001159E1">
              <w:rPr>
                <w:rStyle w:val="Hyperlink"/>
                <w:noProof/>
              </w:rPr>
              <w:t>Claims by nature of injury/disease</w:t>
            </w:r>
            <w:r>
              <w:rPr>
                <w:noProof/>
                <w:webHidden/>
              </w:rPr>
              <w:tab/>
            </w:r>
            <w:r>
              <w:rPr>
                <w:noProof/>
                <w:webHidden/>
              </w:rPr>
              <w:fldChar w:fldCharType="begin"/>
            </w:r>
            <w:r>
              <w:rPr>
                <w:noProof/>
                <w:webHidden/>
              </w:rPr>
              <w:instrText xml:space="preserve"> PAGEREF _Toc427590871 \h </w:instrText>
            </w:r>
            <w:r>
              <w:rPr>
                <w:noProof/>
                <w:webHidden/>
              </w:rPr>
            </w:r>
            <w:r>
              <w:rPr>
                <w:noProof/>
                <w:webHidden/>
              </w:rPr>
              <w:fldChar w:fldCharType="separate"/>
            </w:r>
            <w:r>
              <w:rPr>
                <w:noProof/>
                <w:webHidden/>
              </w:rPr>
              <w:t>30</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72" w:history="1">
            <w:r w:rsidRPr="001159E1">
              <w:rPr>
                <w:rStyle w:val="Hyperlink"/>
                <w:noProof/>
              </w:rPr>
              <w:t>Claims by location of injury</w:t>
            </w:r>
            <w:r>
              <w:rPr>
                <w:noProof/>
                <w:webHidden/>
              </w:rPr>
              <w:tab/>
            </w:r>
            <w:r>
              <w:rPr>
                <w:noProof/>
                <w:webHidden/>
              </w:rPr>
              <w:fldChar w:fldCharType="begin"/>
            </w:r>
            <w:r>
              <w:rPr>
                <w:noProof/>
                <w:webHidden/>
              </w:rPr>
              <w:instrText xml:space="preserve"> PAGEREF _Toc427590872 \h </w:instrText>
            </w:r>
            <w:r>
              <w:rPr>
                <w:noProof/>
                <w:webHidden/>
              </w:rPr>
            </w:r>
            <w:r>
              <w:rPr>
                <w:noProof/>
                <w:webHidden/>
              </w:rPr>
              <w:fldChar w:fldCharType="separate"/>
            </w:r>
            <w:r>
              <w:rPr>
                <w:noProof/>
                <w:webHidden/>
              </w:rPr>
              <w:t>31</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73" w:history="1">
            <w:r w:rsidRPr="001159E1">
              <w:rPr>
                <w:rStyle w:val="Hyperlink"/>
                <w:noProof/>
              </w:rPr>
              <w:t>Claims by breakdown agency</w:t>
            </w:r>
            <w:r>
              <w:rPr>
                <w:noProof/>
                <w:webHidden/>
              </w:rPr>
              <w:tab/>
            </w:r>
            <w:r>
              <w:rPr>
                <w:noProof/>
                <w:webHidden/>
              </w:rPr>
              <w:fldChar w:fldCharType="begin"/>
            </w:r>
            <w:r>
              <w:rPr>
                <w:noProof/>
                <w:webHidden/>
              </w:rPr>
              <w:instrText xml:space="preserve"> PAGEREF _Toc427590873 \h </w:instrText>
            </w:r>
            <w:r>
              <w:rPr>
                <w:noProof/>
                <w:webHidden/>
              </w:rPr>
            </w:r>
            <w:r>
              <w:rPr>
                <w:noProof/>
                <w:webHidden/>
              </w:rPr>
              <w:fldChar w:fldCharType="separate"/>
            </w:r>
            <w:r>
              <w:rPr>
                <w:noProof/>
                <w:webHidden/>
              </w:rPr>
              <w:t>31</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74" w:history="1">
            <w:r w:rsidRPr="001159E1">
              <w:rPr>
                <w:rStyle w:val="Hyperlink"/>
                <w:noProof/>
              </w:rPr>
              <w:t>Claims by mechanism of incident</w:t>
            </w:r>
            <w:r>
              <w:rPr>
                <w:noProof/>
                <w:webHidden/>
              </w:rPr>
              <w:tab/>
            </w:r>
            <w:r>
              <w:rPr>
                <w:noProof/>
                <w:webHidden/>
              </w:rPr>
              <w:fldChar w:fldCharType="begin"/>
            </w:r>
            <w:r>
              <w:rPr>
                <w:noProof/>
                <w:webHidden/>
              </w:rPr>
              <w:instrText xml:space="preserve"> PAGEREF _Toc427590874 \h </w:instrText>
            </w:r>
            <w:r>
              <w:rPr>
                <w:noProof/>
                <w:webHidden/>
              </w:rPr>
            </w:r>
            <w:r>
              <w:rPr>
                <w:noProof/>
                <w:webHidden/>
              </w:rPr>
              <w:fldChar w:fldCharType="separate"/>
            </w:r>
            <w:r>
              <w:rPr>
                <w:noProof/>
                <w:webHidden/>
              </w:rPr>
              <w:t>32</w:t>
            </w:r>
            <w:r>
              <w:rPr>
                <w:noProof/>
                <w:webHidden/>
              </w:rPr>
              <w:fldChar w:fldCharType="end"/>
            </w:r>
          </w:hyperlink>
        </w:p>
        <w:p w:rsidR="00430606" w:rsidRDefault="00430606">
          <w:pPr>
            <w:pStyle w:val="TOC3"/>
            <w:tabs>
              <w:tab w:val="right" w:leader="dot" w:pos="10456"/>
            </w:tabs>
            <w:rPr>
              <w:rFonts w:asciiTheme="minorHAnsi" w:eastAsiaTheme="minorEastAsia" w:hAnsiTheme="minorHAnsi" w:cstheme="minorBidi"/>
              <w:noProof/>
              <w:szCs w:val="22"/>
            </w:rPr>
          </w:pPr>
          <w:hyperlink w:anchor="_Toc427590875" w:history="1">
            <w:r w:rsidRPr="001159E1">
              <w:rPr>
                <w:rStyle w:val="Hyperlink"/>
                <w:noProof/>
                <w:lang w:val="en-US"/>
              </w:rPr>
              <w:t>Mechanism by time lost and cost</w:t>
            </w:r>
            <w:r>
              <w:rPr>
                <w:noProof/>
                <w:webHidden/>
              </w:rPr>
              <w:tab/>
            </w:r>
            <w:r>
              <w:rPr>
                <w:noProof/>
                <w:webHidden/>
              </w:rPr>
              <w:fldChar w:fldCharType="begin"/>
            </w:r>
            <w:r>
              <w:rPr>
                <w:noProof/>
                <w:webHidden/>
              </w:rPr>
              <w:instrText xml:space="preserve"> PAGEREF _Toc427590875 \h </w:instrText>
            </w:r>
            <w:r>
              <w:rPr>
                <w:noProof/>
                <w:webHidden/>
              </w:rPr>
            </w:r>
            <w:r>
              <w:rPr>
                <w:noProof/>
                <w:webHidden/>
              </w:rPr>
              <w:fldChar w:fldCharType="separate"/>
            </w:r>
            <w:r>
              <w:rPr>
                <w:noProof/>
                <w:webHidden/>
              </w:rPr>
              <w:t>32</w:t>
            </w:r>
            <w:r>
              <w:rPr>
                <w:noProof/>
                <w:webHidden/>
              </w:rPr>
              <w:fldChar w:fldCharType="end"/>
            </w:r>
          </w:hyperlink>
        </w:p>
        <w:p w:rsidR="00430606" w:rsidRDefault="00430606">
          <w:pPr>
            <w:pStyle w:val="TOC3"/>
            <w:tabs>
              <w:tab w:val="right" w:leader="dot" w:pos="10456"/>
            </w:tabs>
            <w:rPr>
              <w:rFonts w:asciiTheme="minorHAnsi" w:eastAsiaTheme="minorEastAsia" w:hAnsiTheme="minorHAnsi" w:cstheme="minorBidi"/>
              <w:noProof/>
              <w:szCs w:val="22"/>
            </w:rPr>
          </w:pPr>
          <w:hyperlink w:anchor="_Toc427590876" w:history="1">
            <w:r w:rsidRPr="001159E1">
              <w:rPr>
                <w:rStyle w:val="Hyperlink"/>
                <w:noProof/>
              </w:rPr>
              <w:t>Mechanism by sex</w:t>
            </w:r>
            <w:r>
              <w:rPr>
                <w:noProof/>
                <w:webHidden/>
              </w:rPr>
              <w:tab/>
            </w:r>
            <w:r>
              <w:rPr>
                <w:noProof/>
                <w:webHidden/>
              </w:rPr>
              <w:fldChar w:fldCharType="begin"/>
            </w:r>
            <w:r>
              <w:rPr>
                <w:noProof/>
                <w:webHidden/>
              </w:rPr>
              <w:instrText xml:space="preserve"> PAGEREF _Toc427590876 \h </w:instrText>
            </w:r>
            <w:r>
              <w:rPr>
                <w:noProof/>
                <w:webHidden/>
              </w:rPr>
            </w:r>
            <w:r>
              <w:rPr>
                <w:noProof/>
                <w:webHidden/>
              </w:rPr>
              <w:fldChar w:fldCharType="separate"/>
            </w:r>
            <w:r>
              <w:rPr>
                <w:noProof/>
                <w:webHidden/>
              </w:rPr>
              <w:t>33</w:t>
            </w:r>
            <w:r>
              <w:rPr>
                <w:noProof/>
                <w:webHidden/>
              </w:rPr>
              <w:fldChar w:fldCharType="end"/>
            </w:r>
          </w:hyperlink>
        </w:p>
        <w:p w:rsidR="00430606" w:rsidRDefault="00430606">
          <w:pPr>
            <w:pStyle w:val="TOC3"/>
            <w:tabs>
              <w:tab w:val="right" w:leader="dot" w:pos="10456"/>
            </w:tabs>
            <w:rPr>
              <w:rFonts w:asciiTheme="minorHAnsi" w:eastAsiaTheme="minorEastAsia" w:hAnsiTheme="minorHAnsi" w:cstheme="minorBidi"/>
              <w:noProof/>
              <w:szCs w:val="22"/>
            </w:rPr>
          </w:pPr>
          <w:hyperlink w:anchor="_Toc427590877" w:history="1">
            <w:r w:rsidRPr="001159E1">
              <w:rPr>
                <w:rStyle w:val="Hyperlink"/>
                <w:noProof/>
                <w:lang w:val="en-US"/>
              </w:rPr>
              <w:t>Mechanism by age</w:t>
            </w:r>
            <w:r>
              <w:rPr>
                <w:noProof/>
                <w:webHidden/>
              </w:rPr>
              <w:tab/>
            </w:r>
            <w:r>
              <w:rPr>
                <w:noProof/>
                <w:webHidden/>
              </w:rPr>
              <w:fldChar w:fldCharType="begin"/>
            </w:r>
            <w:r>
              <w:rPr>
                <w:noProof/>
                <w:webHidden/>
              </w:rPr>
              <w:instrText xml:space="preserve"> PAGEREF _Toc427590877 \h </w:instrText>
            </w:r>
            <w:r>
              <w:rPr>
                <w:noProof/>
                <w:webHidden/>
              </w:rPr>
            </w:r>
            <w:r>
              <w:rPr>
                <w:noProof/>
                <w:webHidden/>
              </w:rPr>
              <w:fldChar w:fldCharType="separate"/>
            </w:r>
            <w:r>
              <w:rPr>
                <w:noProof/>
                <w:webHidden/>
              </w:rPr>
              <w:t>33</w:t>
            </w:r>
            <w:r>
              <w:rPr>
                <w:noProof/>
                <w:webHidden/>
              </w:rPr>
              <w:fldChar w:fldCharType="end"/>
            </w:r>
          </w:hyperlink>
        </w:p>
        <w:p w:rsidR="00430606" w:rsidRDefault="00430606">
          <w:pPr>
            <w:pStyle w:val="TOC3"/>
            <w:tabs>
              <w:tab w:val="right" w:leader="dot" w:pos="10456"/>
            </w:tabs>
            <w:rPr>
              <w:rFonts w:asciiTheme="minorHAnsi" w:eastAsiaTheme="minorEastAsia" w:hAnsiTheme="minorHAnsi" w:cstheme="minorBidi"/>
              <w:noProof/>
              <w:szCs w:val="22"/>
            </w:rPr>
          </w:pPr>
          <w:hyperlink w:anchor="_Toc427590878" w:history="1">
            <w:r w:rsidRPr="001159E1">
              <w:rPr>
                <w:rStyle w:val="Hyperlink"/>
                <w:noProof/>
                <w:lang w:val="en-US"/>
              </w:rPr>
              <w:t>Mechanism by jurisdiction</w:t>
            </w:r>
            <w:r>
              <w:rPr>
                <w:noProof/>
                <w:webHidden/>
              </w:rPr>
              <w:tab/>
            </w:r>
            <w:r>
              <w:rPr>
                <w:noProof/>
                <w:webHidden/>
              </w:rPr>
              <w:fldChar w:fldCharType="begin"/>
            </w:r>
            <w:r>
              <w:rPr>
                <w:noProof/>
                <w:webHidden/>
              </w:rPr>
              <w:instrText xml:space="preserve"> PAGEREF _Toc427590878 \h </w:instrText>
            </w:r>
            <w:r>
              <w:rPr>
                <w:noProof/>
                <w:webHidden/>
              </w:rPr>
            </w:r>
            <w:r>
              <w:rPr>
                <w:noProof/>
                <w:webHidden/>
              </w:rPr>
              <w:fldChar w:fldCharType="separate"/>
            </w:r>
            <w:r>
              <w:rPr>
                <w:noProof/>
                <w:webHidden/>
              </w:rPr>
              <w:t>34</w:t>
            </w:r>
            <w:r>
              <w:rPr>
                <w:noProof/>
                <w:webHidden/>
              </w:rPr>
              <w:fldChar w:fldCharType="end"/>
            </w:r>
          </w:hyperlink>
        </w:p>
        <w:p w:rsidR="00430606" w:rsidRDefault="00430606">
          <w:pPr>
            <w:pStyle w:val="TOC1"/>
            <w:tabs>
              <w:tab w:val="right" w:leader="dot" w:pos="10456"/>
            </w:tabs>
            <w:rPr>
              <w:rFonts w:asciiTheme="minorHAnsi" w:eastAsiaTheme="minorEastAsia" w:hAnsiTheme="minorHAnsi" w:cstheme="minorBidi"/>
              <w:noProof/>
              <w:szCs w:val="22"/>
            </w:rPr>
          </w:pPr>
          <w:hyperlink w:anchor="_Toc427590879" w:history="1">
            <w:r w:rsidRPr="001159E1">
              <w:rPr>
                <w:rStyle w:val="Hyperlink"/>
                <w:noProof/>
              </w:rPr>
              <w:t>Hospitalisation of construction workers</w:t>
            </w:r>
            <w:r>
              <w:rPr>
                <w:noProof/>
                <w:webHidden/>
              </w:rPr>
              <w:tab/>
            </w:r>
            <w:r>
              <w:rPr>
                <w:noProof/>
                <w:webHidden/>
              </w:rPr>
              <w:fldChar w:fldCharType="begin"/>
            </w:r>
            <w:r>
              <w:rPr>
                <w:noProof/>
                <w:webHidden/>
              </w:rPr>
              <w:instrText xml:space="preserve"> PAGEREF _Toc427590879 \h </w:instrText>
            </w:r>
            <w:r>
              <w:rPr>
                <w:noProof/>
                <w:webHidden/>
              </w:rPr>
            </w:r>
            <w:r>
              <w:rPr>
                <w:noProof/>
                <w:webHidden/>
              </w:rPr>
              <w:fldChar w:fldCharType="separate"/>
            </w:r>
            <w:r>
              <w:rPr>
                <w:noProof/>
                <w:webHidden/>
              </w:rPr>
              <w:t>35</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80" w:history="1">
            <w:r w:rsidRPr="001159E1">
              <w:rPr>
                <w:rStyle w:val="Hyperlink"/>
                <w:noProof/>
              </w:rPr>
              <w:t>Causes of injury</w:t>
            </w:r>
            <w:r>
              <w:rPr>
                <w:noProof/>
                <w:webHidden/>
              </w:rPr>
              <w:tab/>
            </w:r>
            <w:r>
              <w:rPr>
                <w:noProof/>
                <w:webHidden/>
              </w:rPr>
              <w:fldChar w:fldCharType="begin"/>
            </w:r>
            <w:r>
              <w:rPr>
                <w:noProof/>
                <w:webHidden/>
              </w:rPr>
              <w:instrText xml:space="preserve"> PAGEREF _Toc427590880 \h </w:instrText>
            </w:r>
            <w:r>
              <w:rPr>
                <w:noProof/>
                <w:webHidden/>
              </w:rPr>
            </w:r>
            <w:r>
              <w:rPr>
                <w:noProof/>
                <w:webHidden/>
              </w:rPr>
              <w:fldChar w:fldCharType="separate"/>
            </w:r>
            <w:r>
              <w:rPr>
                <w:noProof/>
                <w:webHidden/>
              </w:rPr>
              <w:t>35</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81" w:history="1">
            <w:r w:rsidRPr="001159E1">
              <w:rPr>
                <w:rStyle w:val="Hyperlink"/>
                <w:noProof/>
              </w:rPr>
              <w:t>Type of injury and bodily location</w:t>
            </w:r>
            <w:r>
              <w:rPr>
                <w:noProof/>
                <w:webHidden/>
              </w:rPr>
              <w:tab/>
            </w:r>
            <w:r>
              <w:rPr>
                <w:noProof/>
                <w:webHidden/>
              </w:rPr>
              <w:fldChar w:fldCharType="begin"/>
            </w:r>
            <w:r>
              <w:rPr>
                <w:noProof/>
                <w:webHidden/>
              </w:rPr>
              <w:instrText xml:space="preserve"> PAGEREF _Toc427590881 \h </w:instrText>
            </w:r>
            <w:r>
              <w:rPr>
                <w:noProof/>
                <w:webHidden/>
              </w:rPr>
            </w:r>
            <w:r>
              <w:rPr>
                <w:noProof/>
                <w:webHidden/>
              </w:rPr>
              <w:fldChar w:fldCharType="separate"/>
            </w:r>
            <w:r>
              <w:rPr>
                <w:noProof/>
                <w:webHidden/>
              </w:rPr>
              <w:t>36</w:t>
            </w:r>
            <w:r>
              <w:rPr>
                <w:noProof/>
                <w:webHidden/>
              </w:rPr>
              <w:fldChar w:fldCharType="end"/>
            </w:r>
          </w:hyperlink>
        </w:p>
        <w:p w:rsidR="00430606" w:rsidRDefault="00430606">
          <w:pPr>
            <w:pStyle w:val="TOC1"/>
            <w:tabs>
              <w:tab w:val="right" w:leader="dot" w:pos="10456"/>
            </w:tabs>
            <w:rPr>
              <w:rFonts w:asciiTheme="minorHAnsi" w:eastAsiaTheme="minorEastAsia" w:hAnsiTheme="minorHAnsi" w:cstheme="minorBidi"/>
              <w:noProof/>
              <w:szCs w:val="22"/>
            </w:rPr>
          </w:pPr>
          <w:hyperlink w:anchor="_Toc427590882" w:history="1">
            <w:r w:rsidRPr="001159E1">
              <w:rPr>
                <w:rStyle w:val="Hyperlink"/>
                <w:noProof/>
              </w:rPr>
              <w:t>Glossary</w:t>
            </w:r>
            <w:r>
              <w:rPr>
                <w:noProof/>
                <w:webHidden/>
              </w:rPr>
              <w:tab/>
            </w:r>
            <w:r>
              <w:rPr>
                <w:noProof/>
                <w:webHidden/>
              </w:rPr>
              <w:fldChar w:fldCharType="begin"/>
            </w:r>
            <w:r>
              <w:rPr>
                <w:noProof/>
                <w:webHidden/>
              </w:rPr>
              <w:instrText xml:space="preserve"> PAGEREF _Toc427590882 \h </w:instrText>
            </w:r>
            <w:r>
              <w:rPr>
                <w:noProof/>
                <w:webHidden/>
              </w:rPr>
            </w:r>
            <w:r>
              <w:rPr>
                <w:noProof/>
                <w:webHidden/>
              </w:rPr>
              <w:fldChar w:fldCharType="separate"/>
            </w:r>
            <w:r>
              <w:rPr>
                <w:noProof/>
                <w:webHidden/>
              </w:rPr>
              <w:t>37</w:t>
            </w:r>
            <w:r>
              <w:rPr>
                <w:noProof/>
                <w:webHidden/>
              </w:rPr>
              <w:fldChar w:fldCharType="end"/>
            </w:r>
          </w:hyperlink>
        </w:p>
        <w:p w:rsidR="00430606" w:rsidRDefault="00430606">
          <w:pPr>
            <w:pStyle w:val="TOC1"/>
            <w:tabs>
              <w:tab w:val="right" w:leader="dot" w:pos="10456"/>
            </w:tabs>
            <w:rPr>
              <w:rFonts w:asciiTheme="minorHAnsi" w:eastAsiaTheme="minorEastAsia" w:hAnsiTheme="minorHAnsi" w:cstheme="minorBidi"/>
              <w:noProof/>
              <w:szCs w:val="22"/>
            </w:rPr>
          </w:pPr>
          <w:hyperlink w:anchor="_Toc427590883" w:history="1">
            <w:r w:rsidRPr="001159E1">
              <w:rPr>
                <w:rStyle w:val="Hyperlink"/>
                <w:noProof/>
              </w:rPr>
              <w:t>Explanatory Notes - Fatalities</w:t>
            </w:r>
            <w:r>
              <w:rPr>
                <w:noProof/>
                <w:webHidden/>
              </w:rPr>
              <w:tab/>
            </w:r>
            <w:r>
              <w:rPr>
                <w:noProof/>
                <w:webHidden/>
              </w:rPr>
              <w:fldChar w:fldCharType="begin"/>
            </w:r>
            <w:r>
              <w:rPr>
                <w:noProof/>
                <w:webHidden/>
              </w:rPr>
              <w:instrText xml:space="preserve"> PAGEREF _Toc427590883 \h </w:instrText>
            </w:r>
            <w:r>
              <w:rPr>
                <w:noProof/>
                <w:webHidden/>
              </w:rPr>
            </w:r>
            <w:r>
              <w:rPr>
                <w:noProof/>
                <w:webHidden/>
              </w:rPr>
              <w:fldChar w:fldCharType="separate"/>
            </w:r>
            <w:r>
              <w:rPr>
                <w:noProof/>
                <w:webHidden/>
              </w:rPr>
              <w:t>40</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84" w:history="1">
            <w:r w:rsidRPr="001159E1">
              <w:rPr>
                <w:rStyle w:val="Hyperlink"/>
                <w:noProof/>
              </w:rPr>
              <w:t>Inclusions</w:t>
            </w:r>
            <w:r>
              <w:rPr>
                <w:noProof/>
                <w:webHidden/>
              </w:rPr>
              <w:tab/>
            </w:r>
            <w:r>
              <w:rPr>
                <w:noProof/>
                <w:webHidden/>
              </w:rPr>
              <w:fldChar w:fldCharType="begin"/>
            </w:r>
            <w:r>
              <w:rPr>
                <w:noProof/>
                <w:webHidden/>
              </w:rPr>
              <w:instrText xml:space="preserve"> PAGEREF _Toc427590884 \h </w:instrText>
            </w:r>
            <w:r>
              <w:rPr>
                <w:noProof/>
                <w:webHidden/>
              </w:rPr>
            </w:r>
            <w:r>
              <w:rPr>
                <w:noProof/>
                <w:webHidden/>
              </w:rPr>
              <w:fldChar w:fldCharType="separate"/>
            </w:r>
            <w:r>
              <w:rPr>
                <w:noProof/>
                <w:webHidden/>
              </w:rPr>
              <w:t>40</w:t>
            </w:r>
            <w:r>
              <w:rPr>
                <w:noProof/>
                <w:webHidden/>
              </w:rPr>
              <w:fldChar w:fldCharType="end"/>
            </w:r>
          </w:hyperlink>
        </w:p>
        <w:p w:rsidR="00430606" w:rsidRDefault="00430606">
          <w:pPr>
            <w:pStyle w:val="TOC3"/>
            <w:tabs>
              <w:tab w:val="right" w:leader="dot" w:pos="10456"/>
            </w:tabs>
            <w:rPr>
              <w:rFonts w:asciiTheme="minorHAnsi" w:eastAsiaTheme="minorEastAsia" w:hAnsiTheme="minorHAnsi" w:cstheme="minorBidi"/>
              <w:noProof/>
              <w:szCs w:val="22"/>
            </w:rPr>
          </w:pPr>
          <w:hyperlink w:anchor="_Toc427590885" w:history="1">
            <w:r w:rsidRPr="001159E1">
              <w:rPr>
                <w:rStyle w:val="Hyperlink"/>
                <w:noProof/>
              </w:rPr>
              <w:t>Worker fatalities</w:t>
            </w:r>
            <w:r>
              <w:rPr>
                <w:noProof/>
                <w:webHidden/>
              </w:rPr>
              <w:tab/>
            </w:r>
            <w:r>
              <w:rPr>
                <w:noProof/>
                <w:webHidden/>
              </w:rPr>
              <w:fldChar w:fldCharType="begin"/>
            </w:r>
            <w:r>
              <w:rPr>
                <w:noProof/>
                <w:webHidden/>
              </w:rPr>
              <w:instrText xml:space="preserve"> PAGEREF _Toc427590885 \h </w:instrText>
            </w:r>
            <w:r>
              <w:rPr>
                <w:noProof/>
                <w:webHidden/>
              </w:rPr>
            </w:r>
            <w:r>
              <w:rPr>
                <w:noProof/>
                <w:webHidden/>
              </w:rPr>
              <w:fldChar w:fldCharType="separate"/>
            </w:r>
            <w:r>
              <w:rPr>
                <w:noProof/>
                <w:webHidden/>
              </w:rPr>
              <w:t>40</w:t>
            </w:r>
            <w:r>
              <w:rPr>
                <w:noProof/>
                <w:webHidden/>
              </w:rPr>
              <w:fldChar w:fldCharType="end"/>
            </w:r>
          </w:hyperlink>
        </w:p>
        <w:p w:rsidR="00430606" w:rsidRDefault="00430606">
          <w:pPr>
            <w:pStyle w:val="TOC3"/>
            <w:tabs>
              <w:tab w:val="right" w:leader="dot" w:pos="10456"/>
            </w:tabs>
            <w:rPr>
              <w:rFonts w:asciiTheme="minorHAnsi" w:eastAsiaTheme="minorEastAsia" w:hAnsiTheme="minorHAnsi" w:cstheme="minorBidi"/>
              <w:noProof/>
              <w:szCs w:val="22"/>
            </w:rPr>
          </w:pPr>
          <w:hyperlink w:anchor="_Toc427590886" w:history="1">
            <w:r w:rsidRPr="001159E1">
              <w:rPr>
                <w:rStyle w:val="Hyperlink"/>
                <w:noProof/>
              </w:rPr>
              <w:t>Bystander fatalities</w:t>
            </w:r>
            <w:r>
              <w:rPr>
                <w:noProof/>
                <w:webHidden/>
              </w:rPr>
              <w:tab/>
            </w:r>
            <w:r>
              <w:rPr>
                <w:noProof/>
                <w:webHidden/>
              </w:rPr>
              <w:fldChar w:fldCharType="begin"/>
            </w:r>
            <w:r>
              <w:rPr>
                <w:noProof/>
                <w:webHidden/>
              </w:rPr>
              <w:instrText xml:space="preserve"> PAGEREF _Toc427590886 \h </w:instrText>
            </w:r>
            <w:r>
              <w:rPr>
                <w:noProof/>
                <w:webHidden/>
              </w:rPr>
            </w:r>
            <w:r>
              <w:rPr>
                <w:noProof/>
                <w:webHidden/>
              </w:rPr>
              <w:fldChar w:fldCharType="separate"/>
            </w:r>
            <w:r>
              <w:rPr>
                <w:noProof/>
                <w:webHidden/>
              </w:rPr>
              <w:t>40</w:t>
            </w:r>
            <w:r>
              <w:rPr>
                <w:noProof/>
                <w:webHidden/>
              </w:rPr>
              <w:fldChar w:fldCharType="end"/>
            </w:r>
          </w:hyperlink>
        </w:p>
        <w:p w:rsidR="00430606" w:rsidRDefault="00430606">
          <w:pPr>
            <w:pStyle w:val="TOC3"/>
            <w:tabs>
              <w:tab w:val="right" w:leader="dot" w:pos="10456"/>
            </w:tabs>
            <w:rPr>
              <w:rFonts w:asciiTheme="minorHAnsi" w:eastAsiaTheme="minorEastAsia" w:hAnsiTheme="minorHAnsi" w:cstheme="minorBidi"/>
              <w:noProof/>
              <w:szCs w:val="22"/>
            </w:rPr>
          </w:pPr>
          <w:hyperlink w:anchor="_Toc427590887" w:history="1">
            <w:r w:rsidRPr="001159E1">
              <w:rPr>
                <w:rStyle w:val="Hyperlink"/>
                <w:noProof/>
              </w:rPr>
              <w:t>Deaths resulting from criminal activity</w:t>
            </w:r>
            <w:r>
              <w:rPr>
                <w:noProof/>
                <w:webHidden/>
              </w:rPr>
              <w:tab/>
            </w:r>
            <w:r>
              <w:rPr>
                <w:noProof/>
                <w:webHidden/>
              </w:rPr>
              <w:fldChar w:fldCharType="begin"/>
            </w:r>
            <w:r>
              <w:rPr>
                <w:noProof/>
                <w:webHidden/>
              </w:rPr>
              <w:instrText xml:space="preserve"> PAGEREF _Toc427590887 \h </w:instrText>
            </w:r>
            <w:r>
              <w:rPr>
                <w:noProof/>
                <w:webHidden/>
              </w:rPr>
            </w:r>
            <w:r>
              <w:rPr>
                <w:noProof/>
                <w:webHidden/>
              </w:rPr>
              <w:fldChar w:fldCharType="separate"/>
            </w:r>
            <w:r>
              <w:rPr>
                <w:noProof/>
                <w:webHidden/>
              </w:rPr>
              <w:t>40</w:t>
            </w:r>
            <w:r>
              <w:rPr>
                <w:noProof/>
                <w:webHidden/>
              </w:rPr>
              <w:fldChar w:fldCharType="end"/>
            </w:r>
          </w:hyperlink>
        </w:p>
        <w:p w:rsidR="00430606" w:rsidRDefault="00430606">
          <w:pPr>
            <w:pStyle w:val="TOC3"/>
            <w:tabs>
              <w:tab w:val="right" w:leader="dot" w:pos="10456"/>
            </w:tabs>
            <w:rPr>
              <w:rFonts w:asciiTheme="minorHAnsi" w:eastAsiaTheme="minorEastAsia" w:hAnsiTheme="minorHAnsi" w:cstheme="minorBidi"/>
              <w:noProof/>
              <w:szCs w:val="22"/>
            </w:rPr>
          </w:pPr>
          <w:hyperlink w:anchor="_Toc427590888" w:history="1">
            <w:r w:rsidRPr="001159E1">
              <w:rPr>
                <w:rStyle w:val="Hyperlink"/>
                <w:noProof/>
              </w:rPr>
              <w:t>Classification of fatalities</w:t>
            </w:r>
            <w:r>
              <w:rPr>
                <w:noProof/>
                <w:webHidden/>
              </w:rPr>
              <w:tab/>
            </w:r>
            <w:r>
              <w:rPr>
                <w:noProof/>
                <w:webHidden/>
              </w:rPr>
              <w:fldChar w:fldCharType="begin"/>
            </w:r>
            <w:r>
              <w:rPr>
                <w:noProof/>
                <w:webHidden/>
              </w:rPr>
              <w:instrText xml:space="preserve"> PAGEREF _Toc427590888 \h </w:instrText>
            </w:r>
            <w:r>
              <w:rPr>
                <w:noProof/>
                <w:webHidden/>
              </w:rPr>
            </w:r>
            <w:r>
              <w:rPr>
                <w:noProof/>
                <w:webHidden/>
              </w:rPr>
              <w:fldChar w:fldCharType="separate"/>
            </w:r>
            <w:r>
              <w:rPr>
                <w:noProof/>
                <w:webHidden/>
              </w:rPr>
              <w:t>40</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89" w:history="1">
            <w:r w:rsidRPr="001159E1">
              <w:rPr>
                <w:rStyle w:val="Hyperlink"/>
                <w:noProof/>
              </w:rPr>
              <w:t>Exclusions</w:t>
            </w:r>
            <w:r>
              <w:rPr>
                <w:noProof/>
                <w:webHidden/>
              </w:rPr>
              <w:tab/>
            </w:r>
            <w:r>
              <w:rPr>
                <w:noProof/>
                <w:webHidden/>
              </w:rPr>
              <w:fldChar w:fldCharType="begin"/>
            </w:r>
            <w:r>
              <w:rPr>
                <w:noProof/>
                <w:webHidden/>
              </w:rPr>
              <w:instrText xml:space="preserve"> PAGEREF _Toc427590889 \h </w:instrText>
            </w:r>
            <w:r>
              <w:rPr>
                <w:noProof/>
                <w:webHidden/>
              </w:rPr>
            </w:r>
            <w:r>
              <w:rPr>
                <w:noProof/>
                <w:webHidden/>
              </w:rPr>
              <w:fldChar w:fldCharType="separate"/>
            </w:r>
            <w:r>
              <w:rPr>
                <w:noProof/>
                <w:webHidden/>
              </w:rPr>
              <w:t>41</w:t>
            </w:r>
            <w:r>
              <w:rPr>
                <w:noProof/>
                <w:webHidden/>
              </w:rPr>
              <w:fldChar w:fldCharType="end"/>
            </w:r>
          </w:hyperlink>
        </w:p>
        <w:p w:rsidR="00430606" w:rsidRDefault="00430606">
          <w:pPr>
            <w:pStyle w:val="TOC3"/>
            <w:tabs>
              <w:tab w:val="right" w:leader="dot" w:pos="10456"/>
            </w:tabs>
            <w:rPr>
              <w:rFonts w:asciiTheme="minorHAnsi" w:eastAsiaTheme="minorEastAsia" w:hAnsiTheme="minorHAnsi" w:cstheme="minorBidi"/>
              <w:noProof/>
              <w:szCs w:val="22"/>
            </w:rPr>
          </w:pPr>
          <w:hyperlink w:anchor="_Toc427590890" w:history="1">
            <w:r w:rsidRPr="001159E1">
              <w:rPr>
                <w:rStyle w:val="Hyperlink"/>
                <w:noProof/>
              </w:rPr>
              <w:t>Deaths due to natural causes</w:t>
            </w:r>
            <w:r>
              <w:rPr>
                <w:noProof/>
                <w:webHidden/>
              </w:rPr>
              <w:tab/>
            </w:r>
            <w:r>
              <w:rPr>
                <w:noProof/>
                <w:webHidden/>
              </w:rPr>
              <w:fldChar w:fldCharType="begin"/>
            </w:r>
            <w:r>
              <w:rPr>
                <w:noProof/>
                <w:webHidden/>
              </w:rPr>
              <w:instrText xml:space="preserve"> PAGEREF _Toc427590890 \h </w:instrText>
            </w:r>
            <w:r>
              <w:rPr>
                <w:noProof/>
                <w:webHidden/>
              </w:rPr>
            </w:r>
            <w:r>
              <w:rPr>
                <w:noProof/>
                <w:webHidden/>
              </w:rPr>
              <w:fldChar w:fldCharType="separate"/>
            </w:r>
            <w:r>
              <w:rPr>
                <w:noProof/>
                <w:webHidden/>
              </w:rPr>
              <w:t>41</w:t>
            </w:r>
            <w:r>
              <w:rPr>
                <w:noProof/>
                <w:webHidden/>
              </w:rPr>
              <w:fldChar w:fldCharType="end"/>
            </w:r>
          </w:hyperlink>
        </w:p>
        <w:p w:rsidR="00430606" w:rsidRDefault="00430606">
          <w:pPr>
            <w:pStyle w:val="TOC3"/>
            <w:tabs>
              <w:tab w:val="right" w:leader="dot" w:pos="10456"/>
            </w:tabs>
            <w:rPr>
              <w:rFonts w:asciiTheme="minorHAnsi" w:eastAsiaTheme="minorEastAsia" w:hAnsiTheme="minorHAnsi" w:cstheme="minorBidi"/>
              <w:noProof/>
              <w:szCs w:val="22"/>
            </w:rPr>
          </w:pPr>
          <w:hyperlink w:anchor="_Toc427590891" w:history="1">
            <w:r w:rsidRPr="001159E1">
              <w:rPr>
                <w:rStyle w:val="Hyperlink"/>
                <w:noProof/>
              </w:rPr>
              <w:t>Deaths due to complications of surgical and medical care</w:t>
            </w:r>
            <w:r>
              <w:rPr>
                <w:noProof/>
                <w:webHidden/>
              </w:rPr>
              <w:tab/>
            </w:r>
            <w:r>
              <w:rPr>
                <w:noProof/>
                <w:webHidden/>
              </w:rPr>
              <w:fldChar w:fldCharType="begin"/>
            </w:r>
            <w:r>
              <w:rPr>
                <w:noProof/>
                <w:webHidden/>
              </w:rPr>
              <w:instrText xml:space="preserve"> PAGEREF _Toc427590891 \h </w:instrText>
            </w:r>
            <w:r>
              <w:rPr>
                <w:noProof/>
                <w:webHidden/>
              </w:rPr>
            </w:r>
            <w:r>
              <w:rPr>
                <w:noProof/>
                <w:webHidden/>
              </w:rPr>
              <w:fldChar w:fldCharType="separate"/>
            </w:r>
            <w:r>
              <w:rPr>
                <w:noProof/>
                <w:webHidden/>
              </w:rPr>
              <w:t>41</w:t>
            </w:r>
            <w:r>
              <w:rPr>
                <w:noProof/>
                <w:webHidden/>
              </w:rPr>
              <w:fldChar w:fldCharType="end"/>
            </w:r>
          </w:hyperlink>
        </w:p>
        <w:p w:rsidR="00430606" w:rsidRDefault="00430606">
          <w:pPr>
            <w:pStyle w:val="TOC3"/>
            <w:tabs>
              <w:tab w:val="right" w:leader="dot" w:pos="10456"/>
            </w:tabs>
            <w:rPr>
              <w:rFonts w:asciiTheme="minorHAnsi" w:eastAsiaTheme="minorEastAsia" w:hAnsiTheme="minorHAnsi" w:cstheme="minorBidi"/>
              <w:noProof/>
              <w:szCs w:val="22"/>
            </w:rPr>
          </w:pPr>
          <w:hyperlink w:anchor="_Toc427590892" w:history="1">
            <w:r w:rsidRPr="001159E1">
              <w:rPr>
                <w:rStyle w:val="Hyperlink"/>
                <w:noProof/>
              </w:rPr>
              <w:t>Deaths of persons undertaking criminal activity</w:t>
            </w:r>
            <w:r>
              <w:rPr>
                <w:noProof/>
                <w:webHidden/>
              </w:rPr>
              <w:tab/>
            </w:r>
            <w:r>
              <w:rPr>
                <w:noProof/>
                <w:webHidden/>
              </w:rPr>
              <w:fldChar w:fldCharType="begin"/>
            </w:r>
            <w:r>
              <w:rPr>
                <w:noProof/>
                <w:webHidden/>
              </w:rPr>
              <w:instrText xml:space="preserve"> PAGEREF _Toc427590892 \h </w:instrText>
            </w:r>
            <w:r>
              <w:rPr>
                <w:noProof/>
                <w:webHidden/>
              </w:rPr>
            </w:r>
            <w:r>
              <w:rPr>
                <w:noProof/>
                <w:webHidden/>
              </w:rPr>
              <w:fldChar w:fldCharType="separate"/>
            </w:r>
            <w:r>
              <w:rPr>
                <w:noProof/>
                <w:webHidden/>
              </w:rPr>
              <w:t>41</w:t>
            </w:r>
            <w:r>
              <w:rPr>
                <w:noProof/>
                <w:webHidden/>
              </w:rPr>
              <w:fldChar w:fldCharType="end"/>
            </w:r>
          </w:hyperlink>
        </w:p>
        <w:p w:rsidR="00430606" w:rsidRDefault="00430606">
          <w:pPr>
            <w:pStyle w:val="TOC3"/>
            <w:tabs>
              <w:tab w:val="right" w:leader="dot" w:pos="10456"/>
            </w:tabs>
            <w:rPr>
              <w:rFonts w:asciiTheme="minorHAnsi" w:eastAsiaTheme="minorEastAsia" w:hAnsiTheme="minorHAnsi" w:cstheme="minorBidi"/>
              <w:noProof/>
              <w:szCs w:val="22"/>
            </w:rPr>
          </w:pPr>
          <w:hyperlink w:anchor="_Toc427590893" w:history="1">
            <w:r w:rsidRPr="001159E1">
              <w:rPr>
                <w:rStyle w:val="Hyperlink"/>
                <w:noProof/>
              </w:rPr>
              <w:t>Suicide</w:t>
            </w:r>
            <w:r>
              <w:rPr>
                <w:noProof/>
                <w:webHidden/>
              </w:rPr>
              <w:tab/>
            </w:r>
            <w:r>
              <w:rPr>
                <w:noProof/>
                <w:webHidden/>
              </w:rPr>
              <w:fldChar w:fldCharType="begin"/>
            </w:r>
            <w:r>
              <w:rPr>
                <w:noProof/>
                <w:webHidden/>
              </w:rPr>
              <w:instrText xml:space="preserve"> PAGEREF _Toc427590893 \h </w:instrText>
            </w:r>
            <w:r>
              <w:rPr>
                <w:noProof/>
                <w:webHidden/>
              </w:rPr>
            </w:r>
            <w:r>
              <w:rPr>
                <w:noProof/>
                <w:webHidden/>
              </w:rPr>
              <w:fldChar w:fldCharType="separate"/>
            </w:r>
            <w:r>
              <w:rPr>
                <w:noProof/>
                <w:webHidden/>
              </w:rPr>
              <w:t>41</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894" w:history="1">
            <w:r w:rsidRPr="001159E1">
              <w:rPr>
                <w:rStyle w:val="Hyperlink"/>
                <w:noProof/>
              </w:rPr>
              <w:t>Data sources</w:t>
            </w:r>
            <w:r>
              <w:rPr>
                <w:noProof/>
                <w:webHidden/>
              </w:rPr>
              <w:tab/>
            </w:r>
            <w:r>
              <w:rPr>
                <w:noProof/>
                <w:webHidden/>
              </w:rPr>
              <w:fldChar w:fldCharType="begin"/>
            </w:r>
            <w:r>
              <w:rPr>
                <w:noProof/>
                <w:webHidden/>
              </w:rPr>
              <w:instrText xml:space="preserve"> PAGEREF _Toc427590894 \h </w:instrText>
            </w:r>
            <w:r>
              <w:rPr>
                <w:noProof/>
                <w:webHidden/>
              </w:rPr>
            </w:r>
            <w:r>
              <w:rPr>
                <w:noProof/>
                <w:webHidden/>
              </w:rPr>
              <w:fldChar w:fldCharType="separate"/>
            </w:r>
            <w:r>
              <w:rPr>
                <w:noProof/>
                <w:webHidden/>
              </w:rPr>
              <w:t>41</w:t>
            </w:r>
            <w:r>
              <w:rPr>
                <w:noProof/>
                <w:webHidden/>
              </w:rPr>
              <w:fldChar w:fldCharType="end"/>
            </w:r>
          </w:hyperlink>
        </w:p>
        <w:p w:rsidR="00430606" w:rsidRDefault="00430606">
          <w:pPr>
            <w:pStyle w:val="TOC3"/>
            <w:tabs>
              <w:tab w:val="right" w:leader="dot" w:pos="10456"/>
            </w:tabs>
            <w:rPr>
              <w:rFonts w:asciiTheme="minorHAnsi" w:eastAsiaTheme="minorEastAsia" w:hAnsiTheme="minorHAnsi" w:cstheme="minorBidi"/>
              <w:noProof/>
              <w:szCs w:val="22"/>
            </w:rPr>
          </w:pPr>
          <w:hyperlink w:anchor="_Toc427590895" w:history="1">
            <w:r w:rsidRPr="001159E1">
              <w:rPr>
                <w:rStyle w:val="Hyperlink"/>
                <w:noProof/>
              </w:rPr>
              <w:t>The National Data Set for Compensation-based Statistics (NDS)</w:t>
            </w:r>
            <w:r>
              <w:rPr>
                <w:noProof/>
                <w:webHidden/>
              </w:rPr>
              <w:tab/>
            </w:r>
            <w:r>
              <w:rPr>
                <w:noProof/>
                <w:webHidden/>
              </w:rPr>
              <w:fldChar w:fldCharType="begin"/>
            </w:r>
            <w:r>
              <w:rPr>
                <w:noProof/>
                <w:webHidden/>
              </w:rPr>
              <w:instrText xml:space="preserve"> PAGEREF _Toc427590895 \h </w:instrText>
            </w:r>
            <w:r>
              <w:rPr>
                <w:noProof/>
                <w:webHidden/>
              </w:rPr>
            </w:r>
            <w:r>
              <w:rPr>
                <w:noProof/>
                <w:webHidden/>
              </w:rPr>
              <w:fldChar w:fldCharType="separate"/>
            </w:r>
            <w:r>
              <w:rPr>
                <w:noProof/>
                <w:webHidden/>
              </w:rPr>
              <w:t>41</w:t>
            </w:r>
            <w:r>
              <w:rPr>
                <w:noProof/>
                <w:webHidden/>
              </w:rPr>
              <w:fldChar w:fldCharType="end"/>
            </w:r>
          </w:hyperlink>
        </w:p>
        <w:p w:rsidR="00430606" w:rsidRDefault="00430606">
          <w:pPr>
            <w:pStyle w:val="TOC3"/>
            <w:tabs>
              <w:tab w:val="right" w:leader="dot" w:pos="10456"/>
            </w:tabs>
            <w:rPr>
              <w:rFonts w:asciiTheme="minorHAnsi" w:eastAsiaTheme="minorEastAsia" w:hAnsiTheme="minorHAnsi" w:cstheme="minorBidi"/>
              <w:noProof/>
              <w:szCs w:val="22"/>
            </w:rPr>
          </w:pPr>
          <w:hyperlink w:anchor="_Toc427590896" w:history="1">
            <w:r w:rsidRPr="001159E1">
              <w:rPr>
                <w:rStyle w:val="Hyperlink"/>
                <w:noProof/>
              </w:rPr>
              <w:t>Notifiable Fatalities Collection (NFC)</w:t>
            </w:r>
            <w:r>
              <w:rPr>
                <w:noProof/>
                <w:webHidden/>
              </w:rPr>
              <w:tab/>
            </w:r>
            <w:r>
              <w:rPr>
                <w:noProof/>
                <w:webHidden/>
              </w:rPr>
              <w:fldChar w:fldCharType="begin"/>
            </w:r>
            <w:r>
              <w:rPr>
                <w:noProof/>
                <w:webHidden/>
              </w:rPr>
              <w:instrText xml:space="preserve"> PAGEREF _Toc427590896 \h </w:instrText>
            </w:r>
            <w:r>
              <w:rPr>
                <w:noProof/>
                <w:webHidden/>
              </w:rPr>
            </w:r>
            <w:r>
              <w:rPr>
                <w:noProof/>
                <w:webHidden/>
              </w:rPr>
              <w:fldChar w:fldCharType="separate"/>
            </w:r>
            <w:r>
              <w:rPr>
                <w:noProof/>
                <w:webHidden/>
              </w:rPr>
              <w:t>41</w:t>
            </w:r>
            <w:r>
              <w:rPr>
                <w:noProof/>
                <w:webHidden/>
              </w:rPr>
              <w:fldChar w:fldCharType="end"/>
            </w:r>
          </w:hyperlink>
        </w:p>
        <w:p w:rsidR="00430606" w:rsidRDefault="00430606">
          <w:pPr>
            <w:pStyle w:val="TOC3"/>
            <w:tabs>
              <w:tab w:val="right" w:leader="dot" w:pos="10456"/>
            </w:tabs>
            <w:rPr>
              <w:rFonts w:asciiTheme="minorHAnsi" w:eastAsiaTheme="minorEastAsia" w:hAnsiTheme="minorHAnsi" w:cstheme="minorBidi"/>
              <w:noProof/>
              <w:szCs w:val="22"/>
            </w:rPr>
          </w:pPr>
          <w:hyperlink w:anchor="_Toc427590897" w:history="1">
            <w:r w:rsidRPr="001159E1">
              <w:rPr>
                <w:rStyle w:val="Hyperlink"/>
                <w:noProof/>
              </w:rPr>
              <w:t>National Coronial Information System (NCIS)</w:t>
            </w:r>
            <w:r>
              <w:rPr>
                <w:noProof/>
                <w:webHidden/>
              </w:rPr>
              <w:tab/>
            </w:r>
            <w:r>
              <w:rPr>
                <w:noProof/>
                <w:webHidden/>
              </w:rPr>
              <w:fldChar w:fldCharType="begin"/>
            </w:r>
            <w:r>
              <w:rPr>
                <w:noProof/>
                <w:webHidden/>
              </w:rPr>
              <w:instrText xml:space="preserve"> PAGEREF _Toc427590897 \h </w:instrText>
            </w:r>
            <w:r>
              <w:rPr>
                <w:noProof/>
                <w:webHidden/>
              </w:rPr>
            </w:r>
            <w:r>
              <w:rPr>
                <w:noProof/>
                <w:webHidden/>
              </w:rPr>
              <w:fldChar w:fldCharType="separate"/>
            </w:r>
            <w:r>
              <w:rPr>
                <w:noProof/>
                <w:webHidden/>
              </w:rPr>
              <w:t>42</w:t>
            </w:r>
            <w:r>
              <w:rPr>
                <w:noProof/>
                <w:webHidden/>
              </w:rPr>
              <w:fldChar w:fldCharType="end"/>
            </w:r>
          </w:hyperlink>
        </w:p>
        <w:p w:rsidR="00430606" w:rsidRDefault="00430606">
          <w:pPr>
            <w:pStyle w:val="TOC3"/>
            <w:tabs>
              <w:tab w:val="right" w:leader="dot" w:pos="10456"/>
            </w:tabs>
            <w:rPr>
              <w:rFonts w:asciiTheme="minorHAnsi" w:eastAsiaTheme="minorEastAsia" w:hAnsiTheme="minorHAnsi" w:cstheme="minorBidi"/>
              <w:noProof/>
              <w:szCs w:val="22"/>
            </w:rPr>
          </w:pPr>
          <w:hyperlink w:anchor="_Toc427590898" w:history="1">
            <w:r w:rsidRPr="001159E1">
              <w:rPr>
                <w:rStyle w:val="Hyperlink"/>
                <w:noProof/>
              </w:rPr>
              <w:t>Identification of work-related fatalities in the NCIS</w:t>
            </w:r>
            <w:r>
              <w:rPr>
                <w:noProof/>
                <w:webHidden/>
              </w:rPr>
              <w:tab/>
            </w:r>
            <w:r>
              <w:rPr>
                <w:noProof/>
                <w:webHidden/>
              </w:rPr>
              <w:fldChar w:fldCharType="begin"/>
            </w:r>
            <w:r>
              <w:rPr>
                <w:noProof/>
                <w:webHidden/>
              </w:rPr>
              <w:instrText xml:space="preserve"> PAGEREF _Toc427590898 \h </w:instrText>
            </w:r>
            <w:r>
              <w:rPr>
                <w:noProof/>
                <w:webHidden/>
              </w:rPr>
            </w:r>
            <w:r>
              <w:rPr>
                <w:noProof/>
                <w:webHidden/>
              </w:rPr>
              <w:fldChar w:fldCharType="separate"/>
            </w:r>
            <w:r>
              <w:rPr>
                <w:noProof/>
                <w:webHidden/>
              </w:rPr>
              <w:t>42</w:t>
            </w:r>
            <w:r>
              <w:rPr>
                <w:noProof/>
                <w:webHidden/>
              </w:rPr>
              <w:fldChar w:fldCharType="end"/>
            </w:r>
          </w:hyperlink>
        </w:p>
        <w:p w:rsidR="00430606" w:rsidRDefault="00430606">
          <w:pPr>
            <w:pStyle w:val="TOC3"/>
            <w:tabs>
              <w:tab w:val="right" w:leader="dot" w:pos="10456"/>
            </w:tabs>
            <w:rPr>
              <w:rFonts w:asciiTheme="minorHAnsi" w:eastAsiaTheme="minorEastAsia" w:hAnsiTheme="minorHAnsi" w:cstheme="minorBidi"/>
              <w:noProof/>
              <w:szCs w:val="22"/>
            </w:rPr>
          </w:pPr>
          <w:hyperlink w:anchor="_Toc427590899" w:history="1">
            <w:r w:rsidRPr="001159E1">
              <w:rPr>
                <w:rStyle w:val="Hyperlink"/>
                <w:noProof/>
              </w:rPr>
              <w:t>Other data sources</w:t>
            </w:r>
            <w:r>
              <w:rPr>
                <w:noProof/>
                <w:webHidden/>
              </w:rPr>
              <w:tab/>
            </w:r>
            <w:r>
              <w:rPr>
                <w:noProof/>
                <w:webHidden/>
              </w:rPr>
              <w:fldChar w:fldCharType="begin"/>
            </w:r>
            <w:r>
              <w:rPr>
                <w:noProof/>
                <w:webHidden/>
              </w:rPr>
              <w:instrText xml:space="preserve"> PAGEREF _Toc427590899 \h </w:instrText>
            </w:r>
            <w:r>
              <w:rPr>
                <w:noProof/>
                <w:webHidden/>
              </w:rPr>
            </w:r>
            <w:r>
              <w:rPr>
                <w:noProof/>
                <w:webHidden/>
              </w:rPr>
              <w:fldChar w:fldCharType="separate"/>
            </w:r>
            <w:r>
              <w:rPr>
                <w:noProof/>
                <w:webHidden/>
              </w:rPr>
              <w:t>42</w:t>
            </w:r>
            <w:r>
              <w:rPr>
                <w:noProof/>
                <w:webHidden/>
              </w:rPr>
              <w:fldChar w:fldCharType="end"/>
            </w:r>
          </w:hyperlink>
        </w:p>
        <w:p w:rsidR="00430606" w:rsidRDefault="00430606">
          <w:pPr>
            <w:pStyle w:val="TOC1"/>
            <w:tabs>
              <w:tab w:val="right" w:leader="dot" w:pos="10456"/>
            </w:tabs>
            <w:rPr>
              <w:rFonts w:asciiTheme="minorHAnsi" w:eastAsiaTheme="minorEastAsia" w:hAnsiTheme="minorHAnsi" w:cstheme="minorBidi"/>
              <w:noProof/>
              <w:szCs w:val="22"/>
            </w:rPr>
          </w:pPr>
          <w:hyperlink w:anchor="_Toc427590900" w:history="1">
            <w:r w:rsidRPr="001159E1">
              <w:rPr>
                <w:rStyle w:val="Hyperlink"/>
                <w:noProof/>
              </w:rPr>
              <w:t>Explanatory notes - Work-Related Injuries Survey</w:t>
            </w:r>
            <w:r>
              <w:rPr>
                <w:noProof/>
                <w:webHidden/>
              </w:rPr>
              <w:tab/>
            </w:r>
            <w:r>
              <w:rPr>
                <w:noProof/>
                <w:webHidden/>
              </w:rPr>
              <w:fldChar w:fldCharType="begin"/>
            </w:r>
            <w:r>
              <w:rPr>
                <w:noProof/>
                <w:webHidden/>
              </w:rPr>
              <w:instrText xml:space="preserve"> PAGEREF _Toc427590900 \h </w:instrText>
            </w:r>
            <w:r>
              <w:rPr>
                <w:noProof/>
                <w:webHidden/>
              </w:rPr>
            </w:r>
            <w:r>
              <w:rPr>
                <w:noProof/>
                <w:webHidden/>
              </w:rPr>
              <w:fldChar w:fldCharType="separate"/>
            </w:r>
            <w:r>
              <w:rPr>
                <w:noProof/>
                <w:webHidden/>
              </w:rPr>
              <w:t>43</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901" w:history="1">
            <w:r w:rsidRPr="001159E1">
              <w:rPr>
                <w:rStyle w:val="Hyperlink"/>
                <w:noProof/>
              </w:rPr>
              <w:t>Collection Methodology</w:t>
            </w:r>
            <w:r>
              <w:rPr>
                <w:noProof/>
                <w:webHidden/>
              </w:rPr>
              <w:tab/>
            </w:r>
            <w:r>
              <w:rPr>
                <w:noProof/>
                <w:webHidden/>
              </w:rPr>
              <w:fldChar w:fldCharType="begin"/>
            </w:r>
            <w:r>
              <w:rPr>
                <w:noProof/>
                <w:webHidden/>
              </w:rPr>
              <w:instrText xml:space="preserve"> PAGEREF _Toc427590901 \h </w:instrText>
            </w:r>
            <w:r>
              <w:rPr>
                <w:noProof/>
                <w:webHidden/>
              </w:rPr>
            </w:r>
            <w:r>
              <w:rPr>
                <w:noProof/>
                <w:webHidden/>
              </w:rPr>
              <w:fldChar w:fldCharType="separate"/>
            </w:r>
            <w:r>
              <w:rPr>
                <w:noProof/>
                <w:webHidden/>
              </w:rPr>
              <w:t>43</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902" w:history="1">
            <w:r w:rsidRPr="001159E1">
              <w:rPr>
                <w:rStyle w:val="Hyperlink"/>
                <w:noProof/>
              </w:rPr>
              <w:t>Scope</w:t>
            </w:r>
            <w:r>
              <w:rPr>
                <w:noProof/>
                <w:webHidden/>
              </w:rPr>
              <w:tab/>
            </w:r>
            <w:r>
              <w:rPr>
                <w:noProof/>
                <w:webHidden/>
              </w:rPr>
              <w:fldChar w:fldCharType="begin"/>
            </w:r>
            <w:r>
              <w:rPr>
                <w:noProof/>
                <w:webHidden/>
              </w:rPr>
              <w:instrText xml:space="preserve"> PAGEREF _Toc427590902 \h </w:instrText>
            </w:r>
            <w:r>
              <w:rPr>
                <w:noProof/>
                <w:webHidden/>
              </w:rPr>
            </w:r>
            <w:r>
              <w:rPr>
                <w:noProof/>
                <w:webHidden/>
              </w:rPr>
              <w:fldChar w:fldCharType="separate"/>
            </w:r>
            <w:r>
              <w:rPr>
                <w:noProof/>
                <w:webHidden/>
              </w:rPr>
              <w:t>43</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903" w:history="1">
            <w:r w:rsidRPr="001159E1">
              <w:rPr>
                <w:rStyle w:val="Hyperlink"/>
                <w:noProof/>
              </w:rPr>
              <w:t>Sample size</w:t>
            </w:r>
            <w:r>
              <w:rPr>
                <w:noProof/>
                <w:webHidden/>
              </w:rPr>
              <w:tab/>
            </w:r>
            <w:r>
              <w:rPr>
                <w:noProof/>
                <w:webHidden/>
              </w:rPr>
              <w:fldChar w:fldCharType="begin"/>
            </w:r>
            <w:r>
              <w:rPr>
                <w:noProof/>
                <w:webHidden/>
              </w:rPr>
              <w:instrText xml:space="preserve"> PAGEREF _Toc427590903 \h </w:instrText>
            </w:r>
            <w:r>
              <w:rPr>
                <w:noProof/>
                <w:webHidden/>
              </w:rPr>
            </w:r>
            <w:r>
              <w:rPr>
                <w:noProof/>
                <w:webHidden/>
              </w:rPr>
              <w:fldChar w:fldCharType="separate"/>
            </w:r>
            <w:r>
              <w:rPr>
                <w:noProof/>
                <w:webHidden/>
              </w:rPr>
              <w:t>43</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904" w:history="1">
            <w:r w:rsidRPr="001159E1">
              <w:rPr>
                <w:rStyle w:val="Hyperlink"/>
                <w:noProof/>
              </w:rPr>
              <w:t>Estimation methods</w:t>
            </w:r>
            <w:r>
              <w:rPr>
                <w:noProof/>
                <w:webHidden/>
              </w:rPr>
              <w:tab/>
            </w:r>
            <w:r>
              <w:rPr>
                <w:noProof/>
                <w:webHidden/>
              </w:rPr>
              <w:fldChar w:fldCharType="begin"/>
            </w:r>
            <w:r>
              <w:rPr>
                <w:noProof/>
                <w:webHidden/>
              </w:rPr>
              <w:instrText xml:space="preserve"> PAGEREF _Toc427590904 \h </w:instrText>
            </w:r>
            <w:r>
              <w:rPr>
                <w:noProof/>
                <w:webHidden/>
              </w:rPr>
            </w:r>
            <w:r>
              <w:rPr>
                <w:noProof/>
                <w:webHidden/>
              </w:rPr>
              <w:fldChar w:fldCharType="separate"/>
            </w:r>
            <w:r>
              <w:rPr>
                <w:noProof/>
                <w:webHidden/>
              </w:rPr>
              <w:t>43</w:t>
            </w:r>
            <w:r>
              <w:rPr>
                <w:noProof/>
                <w:webHidden/>
              </w:rPr>
              <w:fldChar w:fldCharType="end"/>
            </w:r>
          </w:hyperlink>
        </w:p>
        <w:p w:rsidR="00430606" w:rsidRDefault="00430606">
          <w:pPr>
            <w:pStyle w:val="TOC1"/>
            <w:tabs>
              <w:tab w:val="right" w:leader="dot" w:pos="10456"/>
            </w:tabs>
            <w:rPr>
              <w:rFonts w:asciiTheme="minorHAnsi" w:eastAsiaTheme="minorEastAsia" w:hAnsiTheme="minorHAnsi" w:cstheme="minorBidi"/>
              <w:noProof/>
              <w:szCs w:val="22"/>
            </w:rPr>
          </w:pPr>
          <w:hyperlink w:anchor="_Toc427590905" w:history="1">
            <w:r w:rsidRPr="001159E1">
              <w:rPr>
                <w:rStyle w:val="Hyperlink"/>
                <w:noProof/>
              </w:rPr>
              <w:t>Explanatory Notes - Workers’ compensation data</w:t>
            </w:r>
            <w:r>
              <w:rPr>
                <w:noProof/>
                <w:webHidden/>
              </w:rPr>
              <w:tab/>
            </w:r>
            <w:r>
              <w:rPr>
                <w:noProof/>
                <w:webHidden/>
              </w:rPr>
              <w:fldChar w:fldCharType="begin"/>
            </w:r>
            <w:r>
              <w:rPr>
                <w:noProof/>
                <w:webHidden/>
              </w:rPr>
              <w:instrText xml:space="preserve"> PAGEREF _Toc427590905 \h </w:instrText>
            </w:r>
            <w:r>
              <w:rPr>
                <w:noProof/>
                <w:webHidden/>
              </w:rPr>
            </w:r>
            <w:r>
              <w:rPr>
                <w:noProof/>
                <w:webHidden/>
              </w:rPr>
              <w:fldChar w:fldCharType="separate"/>
            </w:r>
            <w:r>
              <w:rPr>
                <w:noProof/>
                <w:webHidden/>
              </w:rPr>
              <w:t>45</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906" w:history="1">
            <w:r w:rsidRPr="001159E1">
              <w:rPr>
                <w:rStyle w:val="Hyperlink"/>
                <w:noProof/>
              </w:rPr>
              <w:t>Scope and coverage</w:t>
            </w:r>
            <w:r>
              <w:rPr>
                <w:noProof/>
                <w:webHidden/>
              </w:rPr>
              <w:tab/>
            </w:r>
            <w:r>
              <w:rPr>
                <w:noProof/>
                <w:webHidden/>
              </w:rPr>
              <w:fldChar w:fldCharType="begin"/>
            </w:r>
            <w:r>
              <w:rPr>
                <w:noProof/>
                <w:webHidden/>
              </w:rPr>
              <w:instrText xml:space="preserve"> PAGEREF _Toc427590906 \h </w:instrText>
            </w:r>
            <w:r>
              <w:rPr>
                <w:noProof/>
                <w:webHidden/>
              </w:rPr>
            </w:r>
            <w:r>
              <w:rPr>
                <w:noProof/>
                <w:webHidden/>
              </w:rPr>
              <w:fldChar w:fldCharType="separate"/>
            </w:r>
            <w:r>
              <w:rPr>
                <w:noProof/>
                <w:webHidden/>
              </w:rPr>
              <w:t>45</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907" w:history="1">
            <w:r w:rsidRPr="001159E1">
              <w:rPr>
                <w:rStyle w:val="Hyperlink"/>
                <w:noProof/>
              </w:rPr>
              <w:t>Time lost from work</w:t>
            </w:r>
            <w:r>
              <w:rPr>
                <w:noProof/>
                <w:webHidden/>
              </w:rPr>
              <w:tab/>
            </w:r>
            <w:r>
              <w:rPr>
                <w:noProof/>
                <w:webHidden/>
              </w:rPr>
              <w:fldChar w:fldCharType="begin"/>
            </w:r>
            <w:r>
              <w:rPr>
                <w:noProof/>
                <w:webHidden/>
              </w:rPr>
              <w:instrText xml:space="preserve"> PAGEREF _Toc427590907 \h </w:instrText>
            </w:r>
            <w:r>
              <w:rPr>
                <w:noProof/>
                <w:webHidden/>
              </w:rPr>
            </w:r>
            <w:r>
              <w:rPr>
                <w:noProof/>
                <w:webHidden/>
              </w:rPr>
              <w:fldChar w:fldCharType="separate"/>
            </w:r>
            <w:r>
              <w:rPr>
                <w:noProof/>
                <w:webHidden/>
              </w:rPr>
              <w:t>45</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908" w:history="1">
            <w:r w:rsidRPr="001159E1">
              <w:rPr>
                <w:rStyle w:val="Hyperlink"/>
                <w:noProof/>
              </w:rPr>
              <w:t>Payments</w:t>
            </w:r>
            <w:r>
              <w:rPr>
                <w:noProof/>
                <w:webHidden/>
              </w:rPr>
              <w:tab/>
            </w:r>
            <w:r>
              <w:rPr>
                <w:noProof/>
                <w:webHidden/>
              </w:rPr>
              <w:fldChar w:fldCharType="begin"/>
            </w:r>
            <w:r>
              <w:rPr>
                <w:noProof/>
                <w:webHidden/>
              </w:rPr>
              <w:instrText xml:space="preserve"> PAGEREF _Toc427590908 \h </w:instrText>
            </w:r>
            <w:r>
              <w:rPr>
                <w:noProof/>
                <w:webHidden/>
              </w:rPr>
            </w:r>
            <w:r>
              <w:rPr>
                <w:noProof/>
                <w:webHidden/>
              </w:rPr>
              <w:fldChar w:fldCharType="separate"/>
            </w:r>
            <w:r>
              <w:rPr>
                <w:noProof/>
                <w:webHidden/>
              </w:rPr>
              <w:t>45</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909" w:history="1">
            <w:r w:rsidRPr="001159E1">
              <w:rPr>
                <w:rStyle w:val="Hyperlink"/>
                <w:noProof/>
              </w:rPr>
              <w:t>Industry classification</w:t>
            </w:r>
            <w:r>
              <w:rPr>
                <w:noProof/>
                <w:webHidden/>
              </w:rPr>
              <w:tab/>
            </w:r>
            <w:r>
              <w:rPr>
                <w:noProof/>
                <w:webHidden/>
              </w:rPr>
              <w:fldChar w:fldCharType="begin"/>
            </w:r>
            <w:r>
              <w:rPr>
                <w:noProof/>
                <w:webHidden/>
              </w:rPr>
              <w:instrText xml:space="preserve"> PAGEREF _Toc427590909 \h </w:instrText>
            </w:r>
            <w:r>
              <w:rPr>
                <w:noProof/>
                <w:webHidden/>
              </w:rPr>
            </w:r>
            <w:r>
              <w:rPr>
                <w:noProof/>
                <w:webHidden/>
              </w:rPr>
              <w:fldChar w:fldCharType="separate"/>
            </w:r>
            <w:r>
              <w:rPr>
                <w:noProof/>
                <w:webHidden/>
              </w:rPr>
              <w:t>45</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910" w:history="1">
            <w:r w:rsidRPr="001159E1">
              <w:rPr>
                <w:rStyle w:val="Hyperlink"/>
                <w:noProof/>
              </w:rPr>
              <w:t>Type of occurrence data</w:t>
            </w:r>
            <w:r>
              <w:rPr>
                <w:noProof/>
                <w:webHidden/>
              </w:rPr>
              <w:tab/>
            </w:r>
            <w:r>
              <w:rPr>
                <w:noProof/>
                <w:webHidden/>
              </w:rPr>
              <w:fldChar w:fldCharType="begin"/>
            </w:r>
            <w:r>
              <w:rPr>
                <w:noProof/>
                <w:webHidden/>
              </w:rPr>
              <w:instrText xml:space="preserve"> PAGEREF _Toc427590910 \h </w:instrText>
            </w:r>
            <w:r>
              <w:rPr>
                <w:noProof/>
                <w:webHidden/>
              </w:rPr>
            </w:r>
            <w:r>
              <w:rPr>
                <w:noProof/>
                <w:webHidden/>
              </w:rPr>
              <w:fldChar w:fldCharType="separate"/>
            </w:r>
            <w:r>
              <w:rPr>
                <w:noProof/>
                <w:webHidden/>
              </w:rPr>
              <w:t>45</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911" w:history="1">
            <w:r w:rsidRPr="001159E1">
              <w:rPr>
                <w:rStyle w:val="Hyperlink"/>
                <w:noProof/>
              </w:rPr>
              <w:t>Confidentiality</w:t>
            </w:r>
            <w:r>
              <w:rPr>
                <w:noProof/>
                <w:webHidden/>
              </w:rPr>
              <w:tab/>
            </w:r>
            <w:r>
              <w:rPr>
                <w:noProof/>
                <w:webHidden/>
              </w:rPr>
              <w:fldChar w:fldCharType="begin"/>
            </w:r>
            <w:r>
              <w:rPr>
                <w:noProof/>
                <w:webHidden/>
              </w:rPr>
              <w:instrText xml:space="preserve"> PAGEREF _Toc427590911 \h </w:instrText>
            </w:r>
            <w:r>
              <w:rPr>
                <w:noProof/>
                <w:webHidden/>
              </w:rPr>
            </w:r>
            <w:r>
              <w:rPr>
                <w:noProof/>
                <w:webHidden/>
              </w:rPr>
              <w:fldChar w:fldCharType="separate"/>
            </w:r>
            <w:r>
              <w:rPr>
                <w:noProof/>
                <w:webHidden/>
              </w:rPr>
              <w:t>46</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912" w:history="1">
            <w:r w:rsidRPr="001159E1">
              <w:rPr>
                <w:rStyle w:val="Hyperlink"/>
                <w:noProof/>
              </w:rPr>
              <w:t>Time series analysis</w:t>
            </w:r>
            <w:r>
              <w:rPr>
                <w:noProof/>
                <w:webHidden/>
              </w:rPr>
              <w:tab/>
            </w:r>
            <w:r>
              <w:rPr>
                <w:noProof/>
                <w:webHidden/>
              </w:rPr>
              <w:fldChar w:fldCharType="begin"/>
            </w:r>
            <w:r>
              <w:rPr>
                <w:noProof/>
                <w:webHidden/>
              </w:rPr>
              <w:instrText xml:space="preserve"> PAGEREF _Toc427590912 \h </w:instrText>
            </w:r>
            <w:r>
              <w:rPr>
                <w:noProof/>
                <w:webHidden/>
              </w:rPr>
            </w:r>
            <w:r>
              <w:rPr>
                <w:noProof/>
                <w:webHidden/>
              </w:rPr>
              <w:fldChar w:fldCharType="separate"/>
            </w:r>
            <w:r>
              <w:rPr>
                <w:noProof/>
                <w:webHidden/>
              </w:rPr>
              <w:t>46</w:t>
            </w:r>
            <w:r>
              <w:rPr>
                <w:noProof/>
                <w:webHidden/>
              </w:rPr>
              <w:fldChar w:fldCharType="end"/>
            </w:r>
          </w:hyperlink>
        </w:p>
        <w:p w:rsidR="00430606" w:rsidRDefault="00430606">
          <w:pPr>
            <w:pStyle w:val="TOC1"/>
            <w:tabs>
              <w:tab w:val="right" w:leader="dot" w:pos="10456"/>
            </w:tabs>
            <w:rPr>
              <w:rFonts w:asciiTheme="minorHAnsi" w:eastAsiaTheme="minorEastAsia" w:hAnsiTheme="minorHAnsi" w:cstheme="minorBidi"/>
              <w:noProof/>
              <w:szCs w:val="22"/>
            </w:rPr>
          </w:pPr>
          <w:hyperlink w:anchor="_Toc427590913" w:history="1">
            <w:r w:rsidRPr="001159E1">
              <w:rPr>
                <w:rStyle w:val="Hyperlink"/>
                <w:noProof/>
              </w:rPr>
              <w:t>Explanatory Notes - Hospitalisation data</w:t>
            </w:r>
            <w:r>
              <w:rPr>
                <w:noProof/>
                <w:webHidden/>
              </w:rPr>
              <w:tab/>
            </w:r>
            <w:r>
              <w:rPr>
                <w:noProof/>
                <w:webHidden/>
              </w:rPr>
              <w:fldChar w:fldCharType="begin"/>
            </w:r>
            <w:r>
              <w:rPr>
                <w:noProof/>
                <w:webHidden/>
              </w:rPr>
              <w:instrText xml:space="preserve"> PAGEREF _Toc427590913 \h </w:instrText>
            </w:r>
            <w:r>
              <w:rPr>
                <w:noProof/>
                <w:webHidden/>
              </w:rPr>
            </w:r>
            <w:r>
              <w:rPr>
                <w:noProof/>
                <w:webHidden/>
              </w:rPr>
              <w:fldChar w:fldCharType="separate"/>
            </w:r>
            <w:r>
              <w:rPr>
                <w:noProof/>
                <w:webHidden/>
              </w:rPr>
              <w:t>47</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914" w:history="1">
            <w:r w:rsidRPr="001159E1">
              <w:rPr>
                <w:rStyle w:val="Hyperlink"/>
                <w:noProof/>
              </w:rPr>
              <w:t>External causes of morbidity and mortality (U50–Y98)</w:t>
            </w:r>
            <w:r>
              <w:rPr>
                <w:noProof/>
                <w:webHidden/>
              </w:rPr>
              <w:tab/>
            </w:r>
            <w:r>
              <w:rPr>
                <w:noProof/>
                <w:webHidden/>
              </w:rPr>
              <w:fldChar w:fldCharType="begin"/>
            </w:r>
            <w:r>
              <w:rPr>
                <w:noProof/>
                <w:webHidden/>
              </w:rPr>
              <w:instrText xml:space="preserve"> PAGEREF _Toc427590914 \h </w:instrText>
            </w:r>
            <w:r>
              <w:rPr>
                <w:noProof/>
                <w:webHidden/>
              </w:rPr>
            </w:r>
            <w:r>
              <w:rPr>
                <w:noProof/>
                <w:webHidden/>
              </w:rPr>
              <w:fldChar w:fldCharType="separate"/>
            </w:r>
            <w:r>
              <w:rPr>
                <w:noProof/>
                <w:webHidden/>
              </w:rPr>
              <w:t>47</w:t>
            </w:r>
            <w:r>
              <w:rPr>
                <w:noProof/>
                <w:webHidden/>
              </w:rPr>
              <w:fldChar w:fldCharType="end"/>
            </w:r>
          </w:hyperlink>
        </w:p>
        <w:p w:rsidR="00430606" w:rsidRDefault="00430606">
          <w:pPr>
            <w:pStyle w:val="TOC2"/>
            <w:tabs>
              <w:tab w:val="right" w:leader="dot" w:pos="10456"/>
            </w:tabs>
            <w:rPr>
              <w:rFonts w:asciiTheme="minorHAnsi" w:eastAsiaTheme="minorEastAsia" w:hAnsiTheme="minorHAnsi" w:cstheme="minorBidi"/>
              <w:noProof/>
              <w:szCs w:val="22"/>
            </w:rPr>
          </w:pPr>
          <w:hyperlink w:anchor="_Toc427590915" w:history="1">
            <w:r w:rsidRPr="001159E1">
              <w:rPr>
                <w:rStyle w:val="Hyperlink"/>
                <w:noProof/>
              </w:rPr>
              <w:t>Data limitations</w:t>
            </w:r>
            <w:r>
              <w:rPr>
                <w:noProof/>
                <w:webHidden/>
              </w:rPr>
              <w:tab/>
            </w:r>
            <w:r>
              <w:rPr>
                <w:noProof/>
                <w:webHidden/>
              </w:rPr>
              <w:fldChar w:fldCharType="begin"/>
            </w:r>
            <w:r>
              <w:rPr>
                <w:noProof/>
                <w:webHidden/>
              </w:rPr>
              <w:instrText xml:space="preserve"> PAGEREF _Toc427590915 \h </w:instrText>
            </w:r>
            <w:r>
              <w:rPr>
                <w:noProof/>
                <w:webHidden/>
              </w:rPr>
            </w:r>
            <w:r>
              <w:rPr>
                <w:noProof/>
                <w:webHidden/>
              </w:rPr>
              <w:fldChar w:fldCharType="separate"/>
            </w:r>
            <w:r>
              <w:rPr>
                <w:noProof/>
                <w:webHidden/>
              </w:rPr>
              <w:t>47</w:t>
            </w:r>
            <w:r>
              <w:rPr>
                <w:noProof/>
                <w:webHidden/>
              </w:rPr>
              <w:fldChar w:fldCharType="end"/>
            </w:r>
          </w:hyperlink>
        </w:p>
        <w:p w:rsidR="00A442ED" w:rsidRDefault="00A442ED">
          <w:r>
            <w:rPr>
              <w:b/>
              <w:bCs/>
              <w:noProof/>
            </w:rPr>
            <w:fldChar w:fldCharType="end"/>
          </w:r>
        </w:p>
      </w:sdtContent>
    </w:sdt>
    <w:p w:rsidR="00A442ED" w:rsidRDefault="00A442ED">
      <w:pPr>
        <w:rPr>
          <w:rFonts w:ascii="Arial" w:eastAsiaTheme="majorEastAsia" w:hAnsi="Arial" w:cstheme="majorBidi"/>
          <w:b/>
          <w:bCs/>
          <w:sz w:val="40"/>
          <w:szCs w:val="28"/>
        </w:rPr>
      </w:pPr>
      <w:r>
        <w:br w:type="page"/>
      </w:r>
    </w:p>
    <w:p w:rsidR="00F66D81" w:rsidRPr="0062399C" w:rsidRDefault="0062399C" w:rsidP="001F42A8">
      <w:pPr>
        <w:pStyle w:val="Heading1"/>
      </w:pPr>
      <w:bookmarkStart w:id="1" w:name="_Toc427590832"/>
      <w:r>
        <w:t>Summary</w:t>
      </w:r>
      <w:r w:rsidR="00F66D81" w:rsidRPr="0062399C">
        <w:t xml:space="preserve"> </w:t>
      </w:r>
      <w:r>
        <w:t>of</w:t>
      </w:r>
      <w:r w:rsidR="00F66D81" w:rsidRPr="0062399C">
        <w:t xml:space="preserve"> </w:t>
      </w:r>
      <w:r>
        <w:t>findings</w:t>
      </w:r>
      <w:bookmarkEnd w:id="1"/>
    </w:p>
    <w:p w:rsidR="00F66D81" w:rsidRDefault="00F66D81" w:rsidP="00F66D81"/>
    <w:p w:rsidR="00F66D81" w:rsidRPr="00E852AC" w:rsidRDefault="00F66D81" w:rsidP="00513A50">
      <w:pPr>
        <w:pStyle w:val="BodyText1"/>
      </w:pPr>
      <w:r w:rsidRPr="00E852AC">
        <w:t>Over one-quarter (28%) of construction deaths were caused by falls from a height – most involved ladders, mobile ramps &amp; stairways</w:t>
      </w:r>
      <w:r w:rsidR="009826FE">
        <w:t>, and scaffolding</w:t>
      </w:r>
      <w:r w:rsidRPr="00E852AC">
        <w:t>.</w:t>
      </w:r>
    </w:p>
    <w:p w:rsidR="00F66D81" w:rsidRPr="00E852AC" w:rsidRDefault="00F66D81" w:rsidP="00B8398D">
      <w:pPr>
        <w:rPr>
          <w:rFonts w:ascii="Arial" w:hAnsi="Arial" w:cs="Arial"/>
          <w:sz w:val="24"/>
          <w:lang w:val="en-US"/>
        </w:rPr>
      </w:pPr>
    </w:p>
    <w:p w:rsidR="00F66D81" w:rsidRPr="00E852AC" w:rsidRDefault="00F66D81" w:rsidP="00513A50">
      <w:pPr>
        <w:pStyle w:val="BodyText1"/>
        <w:numPr>
          <w:ilvl w:val="0"/>
          <w:numId w:val="12"/>
        </w:numPr>
      </w:pPr>
      <w:r w:rsidRPr="00E852AC">
        <w:t>Over the 13-year period, 200</w:t>
      </w:r>
      <w:r w:rsidR="008D2828" w:rsidRPr="00E852AC">
        <w:t>0-01 to 2012-</w:t>
      </w:r>
      <w:proofErr w:type="spellStart"/>
      <w:r w:rsidR="008D2828" w:rsidRPr="00E852AC">
        <w:t>13p</w:t>
      </w:r>
      <w:proofErr w:type="spellEnd"/>
      <w:r w:rsidR="008D2828" w:rsidRPr="00E852AC">
        <w:t>, an average of</w:t>
      </w:r>
      <w:r w:rsidRPr="00E852AC">
        <w:t xml:space="preserve"> 12 600 employees made a workers’ compensation claim which involved payment for one or more weeks off work. This equates to 35 employees each day being injured seriously enough to require one or m</w:t>
      </w:r>
      <w:r w:rsidR="009826FE">
        <w:t>ore weeks off work</w:t>
      </w:r>
      <w:r w:rsidRPr="00E852AC">
        <w:t>.</w:t>
      </w:r>
    </w:p>
    <w:p w:rsidR="00F66D81" w:rsidRPr="00E852AC" w:rsidRDefault="00F66D81" w:rsidP="00513A50">
      <w:pPr>
        <w:pStyle w:val="BodyText1"/>
      </w:pPr>
    </w:p>
    <w:p w:rsidR="00F66D81" w:rsidRPr="00E852AC" w:rsidRDefault="00F66D81" w:rsidP="00513A50">
      <w:pPr>
        <w:pStyle w:val="BodyText1"/>
        <w:numPr>
          <w:ilvl w:val="0"/>
          <w:numId w:val="12"/>
        </w:numPr>
      </w:pPr>
      <w:r w:rsidRPr="00E852AC">
        <w:t>Over the 11-year period from 2001-02 to 2011-12 the incidence rate of serious claims decreased 31% from 25.2 serious claims per 1000 employees in 2001-02 t</w:t>
      </w:r>
      <w:r w:rsidR="009826FE">
        <w:t>o 17.5 in 2012-</w:t>
      </w:r>
      <w:proofErr w:type="spellStart"/>
      <w:r w:rsidR="009826FE">
        <w:t>13p</w:t>
      </w:r>
      <w:proofErr w:type="spellEnd"/>
      <w:r w:rsidRPr="00E852AC">
        <w:t>.</w:t>
      </w:r>
    </w:p>
    <w:p w:rsidR="00F66D81" w:rsidRPr="00E852AC" w:rsidRDefault="00F66D81" w:rsidP="00513A50">
      <w:pPr>
        <w:pStyle w:val="BodyText1"/>
      </w:pPr>
    </w:p>
    <w:p w:rsidR="00F66D81" w:rsidRPr="00E852AC" w:rsidRDefault="00F66D81" w:rsidP="00513A50">
      <w:pPr>
        <w:pStyle w:val="BodyText1"/>
        <w:numPr>
          <w:ilvl w:val="0"/>
          <w:numId w:val="12"/>
        </w:numPr>
      </w:pPr>
      <w:r w:rsidRPr="00E852AC">
        <w:t>The part of the body most often injured while working in the construction industry was the lower back, which accounted for 15% of injuries. This was followed by injuries to fingers &amp; thumb (12%), the knee (11%) and shoulder (9%).</w:t>
      </w:r>
    </w:p>
    <w:p w:rsidR="00F66D81" w:rsidRPr="00E852AC" w:rsidRDefault="00F66D81" w:rsidP="00513A50">
      <w:pPr>
        <w:pStyle w:val="BodyText1"/>
      </w:pPr>
    </w:p>
    <w:p w:rsidR="00F66D81" w:rsidRPr="00E852AC" w:rsidRDefault="00F66D81" w:rsidP="00513A50">
      <w:pPr>
        <w:pStyle w:val="BodyText1"/>
        <w:numPr>
          <w:ilvl w:val="0"/>
          <w:numId w:val="12"/>
        </w:numPr>
      </w:pPr>
      <w:r w:rsidRPr="00E852AC">
        <w:t>Almost half (49%) the injured workers in the construction industry were employed as technicians and trades workers at the time of their injuries. The workers within this group with the most injuries were bricklayers, carpenters and joiners.</w:t>
      </w:r>
    </w:p>
    <w:p w:rsidR="00B95D9B" w:rsidRPr="00E852AC" w:rsidRDefault="00B95D9B" w:rsidP="00513A50">
      <w:pPr>
        <w:pStyle w:val="BodyText1"/>
      </w:pPr>
    </w:p>
    <w:p w:rsidR="00F66D81" w:rsidRPr="00E852AC" w:rsidRDefault="00F66D81" w:rsidP="00513A50">
      <w:pPr>
        <w:pStyle w:val="BodyText1"/>
        <w:numPr>
          <w:ilvl w:val="0"/>
          <w:numId w:val="12"/>
        </w:numPr>
      </w:pPr>
      <w:r w:rsidRPr="00E852AC">
        <w:t>Over the 3-year period 2009-10 to 2011-12 the typical cost of a serious claim in the construction industry was $10 200</w:t>
      </w:r>
      <w:r w:rsidR="00B8398D" w:rsidRPr="00E852AC">
        <w:t>.</w:t>
      </w:r>
    </w:p>
    <w:p w:rsidR="00B8398D" w:rsidRPr="00E852AC" w:rsidRDefault="00B8398D" w:rsidP="00513A50">
      <w:pPr>
        <w:pStyle w:val="BodyText1"/>
      </w:pPr>
    </w:p>
    <w:p w:rsidR="00B8398D" w:rsidRPr="00E852AC" w:rsidRDefault="00B8398D" w:rsidP="00513A50">
      <w:pPr>
        <w:pStyle w:val="BodyText1"/>
        <w:numPr>
          <w:ilvl w:val="0"/>
          <w:numId w:val="12"/>
        </w:numPr>
      </w:pPr>
      <w:r w:rsidRPr="00E852AC">
        <w:t xml:space="preserve">In 2011-12 a typical serious claim in the construction industry involved 6.4 weeks off work. The amount of time off work has increased </w:t>
      </w:r>
      <w:r w:rsidR="009D1F79">
        <w:t>39% since 2003-04</w:t>
      </w:r>
      <w:r w:rsidRPr="00E852AC">
        <w:t>.</w:t>
      </w:r>
    </w:p>
    <w:p w:rsidR="00B8398D" w:rsidRPr="00E852AC" w:rsidRDefault="00B8398D" w:rsidP="00513A50">
      <w:pPr>
        <w:pStyle w:val="BodyText1"/>
      </w:pPr>
    </w:p>
    <w:p w:rsidR="00B8398D" w:rsidRPr="00E852AC" w:rsidRDefault="00B8398D" w:rsidP="00513A50">
      <w:pPr>
        <w:pStyle w:val="BodyText1"/>
        <w:numPr>
          <w:ilvl w:val="0"/>
          <w:numId w:val="12"/>
        </w:numPr>
      </w:pPr>
      <w:r w:rsidRPr="00E852AC">
        <w:t>Over the 11 year period 2003 to 2013 there were 401 work-related fatalities in the construction industry – an averag</w:t>
      </w:r>
      <w:r w:rsidR="009D1F79">
        <w:t>e of 36 every year</w:t>
      </w:r>
      <w:r w:rsidRPr="00E852AC">
        <w:t>.</w:t>
      </w:r>
    </w:p>
    <w:p w:rsidR="00B8398D" w:rsidRPr="00E852AC" w:rsidRDefault="00B8398D" w:rsidP="00513A50">
      <w:pPr>
        <w:pStyle w:val="BodyText1"/>
      </w:pPr>
    </w:p>
    <w:p w:rsidR="00B8398D" w:rsidRPr="00E852AC" w:rsidRDefault="00B8398D" w:rsidP="00513A50">
      <w:pPr>
        <w:pStyle w:val="BodyText1"/>
        <w:numPr>
          <w:ilvl w:val="0"/>
          <w:numId w:val="12"/>
        </w:numPr>
      </w:pPr>
      <w:r w:rsidRPr="00E852AC">
        <w:t xml:space="preserve">Over the 11 years from 2003 to 2013 the fatality rate has decreased 68% from 5.71 per </w:t>
      </w:r>
      <w:r w:rsidR="009826FE">
        <w:br/>
      </w:r>
      <w:r w:rsidRPr="00E852AC">
        <w:t>100 00</w:t>
      </w:r>
      <w:r w:rsidR="009D1F79">
        <w:t>0 workers to 1.85</w:t>
      </w:r>
      <w:r w:rsidRPr="00E852AC">
        <w:t>.</w:t>
      </w:r>
    </w:p>
    <w:p w:rsidR="00B8398D" w:rsidRPr="00E852AC" w:rsidRDefault="00B8398D" w:rsidP="00513A50">
      <w:pPr>
        <w:pStyle w:val="BodyText1"/>
      </w:pPr>
    </w:p>
    <w:p w:rsidR="00B8398D" w:rsidRPr="00E852AC" w:rsidRDefault="00B8398D" w:rsidP="00513A50">
      <w:pPr>
        <w:pStyle w:val="BodyText1"/>
        <w:numPr>
          <w:ilvl w:val="0"/>
          <w:numId w:val="12"/>
        </w:numPr>
      </w:pPr>
      <w:r w:rsidRPr="00E852AC">
        <w:t>Fractures were responsible for almost one-third of construction worker injuries requirin</w:t>
      </w:r>
      <w:r w:rsidR="009D1F79">
        <w:t>g hospitalization</w:t>
      </w:r>
      <w:r w:rsidRPr="00E852AC">
        <w:t>.</w:t>
      </w:r>
    </w:p>
    <w:p w:rsidR="008D2828" w:rsidRDefault="008D2828">
      <w:pPr>
        <w:rPr>
          <w:rFonts w:ascii="Myriad Pro" w:hAnsi="Myriad Pro" w:cs="Myriad Pro"/>
          <w:color w:val="000000"/>
          <w:lang w:val="en-US"/>
        </w:rPr>
      </w:pPr>
      <w:r>
        <w:rPr>
          <w:rFonts w:ascii="Myriad Pro" w:hAnsi="Myriad Pro" w:cs="Myriad Pro"/>
          <w:lang w:val="en-US"/>
        </w:rPr>
        <w:br w:type="page"/>
      </w:r>
    </w:p>
    <w:p w:rsidR="00B8398D" w:rsidRPr="0062399C" w:rsidRDefault="0062399C" w:rsidP="001F42A8">
      <w:pPr>
        <w:pStyle w:val="Heading1"/>
        <w:rPr>
          <w:lang w:val="en-US"/>
        </w:rPr>
      </w:pPr>
      <w:bookmarkStart w:id="2" w:name="_Toc427590833"/>
      <w:r>
        <w:rPr>
          <w:lang w:val="en-US"/>
        </w:rPr>
        <w:t>Introduction</w:t>
      </w:r>
      <w:bookmarkEnd w:id="2"/>
    </w:p>
    <w:p w:rsidR="00B8398D" w:rsidRDefault="00B8398D" w:rsidP="00B8398D">
      <w:pPr>
        <w:rPr>
          <w:lang w:val="en-US"/>
        </w:rPr>
      </w:pPr>
    </w:p>
    <w:p w:rsidR="00B8398D" w:rsidRPr="00E852AC" w:rsidRDefault="00B8398D" w:rsidP="00513A50">
      <w:pPr>
        <w:pStyle w:val="BodyText1"/>
      </w:pPr>
      <w:r w:rsidRPr="00E852AC">
        <w:t xml:space="preserve">The construction industry engages workers involved with: </w:t>
      </w:r>
    </w:p>
    <w:p w:rsidR="00B8398D" w:rsidRPr="00E852AC" w:rsidRDefault="00B8398D" w:rsidP="00513A50">
      <w:pPr>
        <w:pStyle w:val="BodyText1"/>
        <w:numPr>
          <w:ilvl w:val="0"/>
          <w:numId w:val="14"/>
        </w:numPr>
      </w:pPr>
      <w:r w:rsidRPr="00E852AC">
        <w:t>the construction of new buildings or structures</w:t>
      </w:r>
    </w:p>
    <w:p w:rsidR="00B8398D" w:rsidRPr="00E852AC" w:rsidRDefault="00B8398D" w:rsidP="00513A50">
      <w:pPr>
        <w:pStyle w:val="BodyText1"/>
        <w:numPr>
          <w:ilvl w:val="0"/>
          <w:numId w:val="14"/>
        </w:numPr>
      </w:pPr>
      <w:r w:rsidRPr="00E852AC">
        <w:t>additions and alterations to existing structures</w:t>
      </w:r>
    </w:p>
    <w:p w:rsidR="00B8398D" w:rsidRPr="00E852AC" w:rsidRDefault="00B8398D" w:rsidP="00513A50">
      <w:pPr>
        <w:pStyle w:val="BodyText1"/>
        <w:numPr>
          <w:ilvl w:val="0"/>
          <w:numId w:val="14"/>
        </w:numPr>
      </w:pPr>
      <w:r w:rsidRPr="00E852AC">
        <w:t>demolition or wrecking of existing buildings or structures</w:t>
      </w:r>
    </w:p>
    <w:p w:rsidR="00B8398D" w:rsidRPr="00E852AC" w:rsidRDefault="00B8398D" w:rsidP="00513A50">
      <w:pPr>
        <w:pStyle w:val="BodyText1"/>
        <w:numPr>
          <w:ilvl w:val="0"/>
          <w:numId w:val="14"/>
        </w:numPr>
      </w:pPr>
      <w:r w:rsidRPr="00E852AC">
        <w:t>installation, maintenance and repair of existing structures, and</w:t>
      </w:r>
    </w:p>
    <w:p w:rsidR="00B8398D" w:rsidRPr="00E852AC" w:rsidRDefault="00B8398D" w:rsidP="00513A50">
      <w:pPr>
        <w:pStyle w:val="BodyText1"/>
        <w:numPr>
          <w:ilvl w:val="0"/>
          <w:numId w:val="14"/>
        </w:numPr>
      </w:pPr>
      <w:proofErr w:type="gramStart"/>
      <w:r w:rsidRPr="00E852AC">
        <w:t>site</w:t>
      </w:r>
      <w:proofErr w:type="gramEnd"/>
      <w:r w:rsidRPr="00E852AC">
        <w:t xml:space="preserve"> preparation activities.</w:t>
      </w:r>
    </w:p>
    <w:p w:rsidR="00B8398D" w:rsidRPr="00E852AC" w:rsidRDefault="00B8398D" w:rsidP="008D2828">
      <w:pPr>
        <w:pStyle w:val="ListParagraph"/>
        <w:rPr>
          <w:rFonts w:ascii="Arial" w:hAnsi="Arial" w:cs="Arial"/>
          <w:sz w:val="24"/>
          <w:lang w:val="en-US"/>
        </w:rPr>
      </w:pPr>
    </w:p>
    <w:p w:rsidR="00B8398D" w:rsidRPr="00E852AC" w:rsidRDefault="00B8398D" w:rsidP="00513A50">
      <w:pPr>
        <w:pStyle w:val="BodyText1"/>
      </w:pPr>
      <w:r w:rsidRPr="00E852AC">
        <w:t xml:space="preserve">Each of these activities presents its own risks and hazards. To manage the hazards in this and other industries, Safe Work Australia developed the model Work Health and Safety Act and Regulations in 2011. At the date of this publication the model </w:t>
      </w:r>
      <w:proofErr w:type="spellStart"/>
      <w:r w:rsidRPr="00E852AC">
        <w:t>WHS</w:t>
      </w:r>
      <w:proofErr w:type="spellEnd"/>
      <w:r w:rsidRPr="00E852AC">
        <w:t xml:space="preserve"> laws have not been implemented in Victoria or Western Australia. Western Australia however is currently consulting on options for implementing elements of the model.</w:t>
      </w:r>
    </w:p>
    <w:p w:rsidR="00B8398D" w:rsidRPr="00E852AC" w:rsidRDefault="00B8398D" w:rsidP="00513A50">
      <w:pPr>
        <w:pStyle w:val="BodyText1"/>
      </w:pPr>
      <w:r w:rsidRPr="00E852AC">
        <w:t xml:space="preserve">In addition, Codes of Practice and other guidance material have been developed to provide more detailed information for employers and workers on working more safely. These documents can be accessed via the </w:t>
      </w:r>
      <w:hyperlink r:id="rId11" w:history="1">
        <w:r w:rsidRPr="00430606">
          <w:rPr>
            <w:rStyle w:val="Hyperlink"/>
          </w:rPr>
          <w:t>Safe Work Australia website</w:t>
        </w:r>
      </w:hyperlink>
      <w:r w:rsidRPr="00E852AC">
        <w:t>.</w:t>
      </w:r>
    </w:p>
    <w:p w:rsidR="00B8398D" w:rsidRPr="00E852AC" w:rsidRDefault="00B8398D" w:rsidP="00513A50">
      <w:pPr>
        <w:pStyle w:val="BodyText1"/>
      </w:pPr>
      <w:r w:rsidRPr="00E852AC">
        <w:t xml:space="preserve">The construction industry has been identified as a priority industry in the </w:t>
      </w:r>
      <w:r w:rsidRPr="00E852AC">
        <w:rPr>
          <w:i/>
          <w:iCs/>
        </w:rPr>
        <w:t>Australian Work Health and Safety Strategy 2012–2022</w:t>
      </w:r>
      <w:r w:rsidRPr="00E852AC">
        <w:t>. National targets under the Strategy are to reduce the incidence of serious injury by at least 30 percent by 2022 and to reduce the number of work-related fatalities due to injury by at least 20 percent. The construction industry will play an important role in meeting these targets.</w:t>
      </w:r>
    </w:p>
    <w:p w:rsidR="00B8398D" w:rsidRPr="00E852AC" w:rsidRDefault="00B8398D" w:rsidP="00513A50">
      <w:pPr>
        <w:pStyle w:val="BodyText1"/>
      </w:pPr>
      <w:r w:rsidRPr="00E852AC">
        <w:t>This report presents data from a range of sources in an attempt to identify possible areas for prevention efforts.</w:t>
      </w:r>
    </w:p>
    <w:p w:rsidR="00B8398D" w:rsidRPr="0062399C" w:rsidRDefault="00B8398D" w:rsidP="00B8398D">
      <w:pPr>
        <w:rPr>
          <w:rFonts w:ascii="Arial" w:hAnsi="Arial" w:cs="Arial"/>
          <w:lang w:val="en-US"/>
        </w:rPr>
      </w:pPr>
    </w:p>
    <w:p w:rsidR="001E343E" w:rsidRDefault="001E343E">
      <w:pPr>
        <w:rPr>
          <w:rFonts w:ascii="Arial" w:eastAsiaTheme="majorEastAsia" w:hAnsi="Arial" w:cs="Arial"/>
          <w:b/>
          <w:bCs/>
          <w:sz w:val="40"/>
          <w:szCs w:val="28"/>
          <w:lang w:val="en-US"/>
        </w:rPr>
      </w:pPr>
      <w:r>
        <w:rPr>
          <w:rFonts w:cs="Arial"/>
          <w:lang w:val="en-US"/>
        </w:rPr>
        <w:br w:type="page"/>
      </w:r>
    </w:p>
    <w:p w:rsidR="00B8398D" w:rsidRPr="00E852AC" w:rsidRDefault="00E852AC" w:rsidP="001F42A8">
      <w:pPr>
        <w:pStyle w:val="Heading1"/>
        <w:rPr>
          <w:lang w:val="en-US"/>
        </w:rPr>
      </w:pPr>
      <w:bookmarkStart w:id="3" w:name="_Toc427590834"/>
      <w:r w:rsidRPr="00E852AC">
        <w:rPr>
          <w:lang w:val="en-US"/>
        </w:rPr>
        <w:t>Worker profile in construction</w:t>
      </w:r>
      <w:bookmarkEnd w:id="3"/>
    </w:p>
    <w:p w:rsidR="00B8398D" w:rsidRPr="00B8398D" w:rsidRDefault="00B8398D" w:rsidP="00B8398D">
      <w:pPr>
        <w:rPr>
          <w:lang w:val="en-US"/>
        </w:rPr>
      </w:pPr>
    </w:p>
    <w:p w:rsidR="00B8398D" w:rsidRPr="00E852AC" w:rsidRDefault="00B8398D" w:rsidP="00513A50">
      <w:pPr>
        <w:pStyle w:val="BodyText1"/>
      </w:pPr>
      <w:r w:rsidRPr="00E852AC">
        <w:t>The construction industry employed 1.03 million workers in 2013, 9% of the Australian workforce. While the total Australian workforce grew 23% over the past decade, the construction industry grew by 37%.</w:t>
      </w:r>
    </w:p>
    <w:p w:rsidR="00B8398D" w:rsidRPr="00E852AC" w:rsidRDefault="00E852AC" w:rsidP="00257F90">
      <w:pPr>
        <w:pStyle w:val="Heading2"/>
      </w:pPr>
      <w:bookmarkStart w:id="4" w:name="_Toc427590835"/>
      <w:r w:rsidRPr="00E852AC">
        <w:t xml:space="preserve">Worker profile by </w:t>
      </w:r>
      <w:r w:rsidRPr="00257F90">
        <w:t>sex</w:t>
      </w:r>
      <w:bookmarkEnd w:id="4"/>
    </w:p>
    <w:p w:rsidR="00262C29" w:rsidRDefault="00B8398D" w:rsidP="00513A50">
      <w:pPr>
        <w:pStyle w:val="BodyText1"/>
      </w:pPr>
      <w:r w:rsidRPr="00B8398D">
        <w:t>The construction industry is mainly comprised of male workers. In 2013, 88% of workers were male, the same proportion it was a decade ago.</w:t>
      </w:r>
      <w:r w:rsidR="00C95D45">
        <w:t xml:space="preserve"> </w:t>
      </w:r>
    </w:p>
    <w:p w:rsidR="00B8398D" w:rsidRPr="00B8398D" w:rsidRDefault="00B8398D" w:rsidP="00513A50">
      <w:pPr>
        <w:pStyle w:val="BodyText1"/>
      </w:pPr>
      <w:r w:rsidRPr="00B8398D">
        <w:t>In 2013, 25% of male workers were self-employed and 75% were employees while for females the proportions were 17% and 83% respectively (Figure 1).</w:t>
      </w:r>
    </w:p>
    <w:p w:rsidR="00B8398D" w:rsidRPr="00E852AC" w:rsidRDefault="00B95D9B" w:rsidP="001E343E">
      <w:pPr>
        <w:pStyle w:val="Figureheadings"/>
      </w:pPr>
      <w:r w:rsidRPr="00E852AC">
        <w:t xml:space="preserve">Figure 1: </w:t>
      </w:r>
      <w:r w:rsidR="00B8398D" w:rsidRPr="00E852AC">
        <w:t>Construction workers: number by employment status and sex, 2013</w:t>
      </w:r>
    </w:p>
    <w:p w:rsidR="00FF645D" w:rsidRDefault="001E343E" w:rsidP="00FF645D">
      <w:pPr>
        <w:keepNext/>
      </w:pPr>
      <w:r>
        <w:rPr>
          <w:noProof/>
        </w:rPr>
        <w:drawing>
          <wp:inline distT="0" distB="0" distL="0" distR="0" wp14:anchorId="0268DB25" wp14:editId="0BABBAF7">
            <wp:extent cx="4572000" cy="2743200"/>
            <wp:effectExtent l="0" t="0" r="0" b="0"/>
            <wp:docPr id="1" name="Chart 1" descr="Figure 1 shows in 2013, 25% of male workers were self-employed and 75% were employees while for females the proportions were 17% and 83% respectively." title="Figure 1: Construction workers: number by employment status and sex,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8398D" w:rsidRPr="00E852AC" w:rsidRDefault="00E852AC" w:rsidP="00257F90">
      <w:pPr>
        <w:pStyle w:val="Heading2"/>
      </w:pPr>
      <w:bookmarkStart w:id="5" w:name="_Toc427590836"/>
      <w:r w:rsidRPr="00E852AC">
        <w:t>Worker profile by employment status</w:t>
      </w:r>
      <w:bookmarkEnd w:id="5"/>
    </w:p>
    <w:p w:rsidR="00B8398D" w:rsidRPr="00B8398D" w:rsidRDefault="00B8398D" w:rsidP="00513A50">
      <w:pPr>
        <w:pStyle w:val="BodyText1"/>
      </w:pPr>
      <w:r w:rsidRPr="00B8398D">
        <w:t>Within the construction industry 24% of workers are self-employed. Figure 2 shows the proportion of self-employed workers has remained relatively stable over the past decade with the growth in employment coming from the employee sector. The number of employees has grown 58% from 496 000 employees in 2003 to 783 000 in 2013.</w:t>
      </w:r>
    </w:p>
    <w:p w:rsidR="00B8398D" w:rsidRDefault="00B95D9B" w:rsidP="00E852AC">
      <w:pPr>
        <w:pStyle w:val="Figureheadings"/>
        <w:rPr>
          <w:vertAlign w:val="superscript"/>
        </w:rPr>
      </w:pPr>
      <w:r>
        <w:t>Figure 2:</w:t>
      </w:r>
      <w:r w:rsidR="00B8398D">
        <w:t xml:space="preserve"> Construction workers: number by employment status and </w:t>
      </w:r>
      <w:proofErr w:type="spellStart"/>
      <w:r w:rsidR="00B8398D">
        <w:t>year</w:t>
      </w:r>
      <w:r w:rsidR="00B8398D">
        <w:rPr>
          <w:vertAlign w:val="superscript"/>
        </w:rPr>
        <w:t>a</w:t>
      </w:r>
      <w:proofErr w:type="spellEnd"/>
    </w:p>
    <w:p w:rsidR="00B8398D" w:rsidRDefault="00C47A24" w:rsidP="00B8398D">
      <w:pPr>
        <w:pStyle w:val="BasicParagraph"/>
        <w:suppressAutoHyphens/>
        <w:rPr>
          <w:rFonts w:ascii="Myriad Pro" w:hAnsi="Myriad Pro" w:cs="Myriad Pro"/>
          <w:lang w:val="en-US"/>
        </w:rPr>
      </w:pPr>
      <w:r>
        <w:rPr>
          <w:noProof/>
          <w:lang w:val="en-AU"/>
        </w:rPr>
        <w:drawing>
          <wp:inline distT="0" distB="0" distL="0" distR="0" wp14:anchorId="563042C4" wp14:editId="147E2A0B">
            <wp:extent cx="4891088" cy="2447925"/>
            <wp:effectExtent l="0" t="0" r="5080" b="0"/>
            <wp:docPr id="2" name="Chart 2" descr="Shows the proportion of self-employed workers has remained relatively stable over the past decade with the growth in employement coming from the employee sector." title="Figure 2: Construction workers: number by employment status and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398D" w:rsidRPr="00C47A24" w:rsidRDefault="00B8398D" w:rsidP="00C47A24">
      <w:pPr>
        <w:pStyle w:val="footnotes"/>
        <w:rPr>
          <w:vertAlign w:val="baseline"/>
        </w:rPr>
      </w:pPr>
      <w:proofErr w:type="spellStart"/>
      <w:proofErr w:type="gramStart"/>
      <w:r w:rsidRPr="00C47A24">
        <w:rPr>
          <w:vertAlign w:val="baseline"/>
        </w:rPr>
        <w:t>a</w:t>
      </w:r>
      <w:proofErr w:type="spellEnd"/>
      <w:proofErr w:type="gramEnd"/>
      <w:r w:rsidRPr="00E852AC">
        <w:t xml:space="preserve"> </w:t>
      </w:r>
      <w:r w:rsidR="008D2828" w:rsidRPr="00C47A24">
        <w:rPr>
          <w:vertAlign w:val="baseline"/>
        </w:rPr>
        <w:t>Employment statu</w:t>
      </w:r>
      <w:r w:rsidRPr="00C47A24">
        <w:rPr>
          <w:vertAlign w:val="baseline"/>
        </w:rPr>
        <w:t xml:space="preserve">s is collected from the ABS </w:t>
      </w:r>
      <w:proofErr w:type="spellStart"/>
      <w:r w:rsidRPr="00C47A24">
        <w:rPr>
          <w:vertAlign w:val="baseline"/>
        </w:rPr>
        <w:t>Labour</w:t>
      </w:r>
      <w:proofErr w:type="spellEnd"/>
      <w:r w:rsidRPr="00C47A24">
        <w:rPr>
          <w:vertAlign w:val="baseline"/>
        </w:rPr>
        <w:t xml:space="preserve"> Force Survey.</w:t>
      </w:r>
    </w:p>
    <w:p w:rsidR="00B95D9B" w:rsidRDefault="00C47A24" w:rsidP="00257F90">
      <w:pPr>
        <w:pStyle w:val="Heading2"/>
      </w:pPr>
      <w:bookmarkStart w:id="6" w:name="_Toc427590837"/>
      <w:r>
        <w:t>Worker profile by industry sector</w:t>
      </w:r>
      <w:bookmarkEnd w:id="6"/>
    </w:p>
    <w:p w:rsidR="00B95D9B" w:rsidRPr="00B95D9B" w:rsidRDefault="00B95D9B" w:rsidP="00513A50">
      <w:pPr>
        <w:pStyle w:val="BodyText1"/>
      </w:pPr>
      <w:r w:rsidRPr="00B95D9B">
        <w:t>The construction industry can be split into various sectors using the Australian Bureau of Statistics’ (ABS) A</w:t>
      </w:r>
      <w:r w:rsidRPr="00B95D9B">
        <w:rPr>
          <w:i/>
          <w:iCs/>
        </w:rPr>
        <w:t>ustralian and New Zealand Standard Industry Classification</w:t>
      </w:r>
      <w:r w:rsidRPr="00B95D9B">
        <w:t xml:space="preserve">. Table 1 </w:t>
      </w:r>
      <w:proofErr w:type="gramStart"/>
      <w:r w:rsidRPr="00B95D9B">
        <w:t>shows</w:t>
      </w:r>
      <w:proofErr w:type="gramEnd"/>
      <w:r w:rsidRPr="00B95D9B">
        <w:t xml:space="preserve"> all sectors of the construction industry grew over the 2003–2013 period with the greatest percentage increase recorded by the heavy &amp; civil engineering construction sector (68%). The construction services sub-division accounted for 70% of the growth in employment over the 11 years.</w:t>
      </w:r>
    </w:p>
    <w:p w:rsidR="00B95D9B" w:rsidRDefault="00B95D9B" w:rsidP="00C47A24">
      <w:pPr>
        <w:pStyle w:val="Tableheading"/>
      </w:pPr>
      <w:r>
        <w:t>Table 1: Construction workers: number and percentage by industry sector, 2003 and 2013</w:t>
      </w:r>
    </w:p>
    <w:tbl>
      <w:tblPr>
        <w:tblStyle w:val="TableGrid"/>
        <w:tblW w:w="0" w:type="auto"/>
        <w:tblLook w:val="04A0" w:firstRow="1" w:lastRow="0" w:firstColumn="1" w:lastColumn="0" w:noHBand="0" w:noVBand="1"/>
        <w:tblCaption w:val="Table 1: Construction workers: number and percentage by industry sector, 2003 and 2013"/>
        <w:tblDescription w:val="Table 1 shows all sectors of the construction industry grew over the 2003–2013 period with the greatest percentage increase recorded by the heavy &amp; civil engineering construction sector (68%). "/>
      </w:tblPr>
      <w:tblGrid>
        <w:gridCol w:w="4536"/>
        <w:gridCol w:w="1134"/>
        <w:gridCol w:w="1134"/>
        <w:gridCol w:w="1134"/>
        <w:gridCol w:w="1474"/>
      </w:tblGrid>
      <w:tr w:rsidR="0009283A" w:rsidRPr="00381036" w:rsidTr="00715413">
        <w:trPr>
          <w:tblHeader/>
        </w:trPr>
        <w:tc>
          <w:tcPr>
            <w:tcW w:w="4536" w:type="dxa"/>
            <w:vAlign w:val="bottom"/>
          </w:tcPr>
          <w:p w:rsidR="0009283A" w:rsidRPr="00381036" w:rsidRDefault="0009283A" w:rsidP="00715413">
            <w:pPr>
              <w:pStyle w:val="Tablerowheadings"/>
              <w:rPr>
                <w:lang w:val="en-US"/>
              </w:rPr>
            </w:pPr>
            <w:r w:rsidRPr="00381036">
              <w:t>Industry sub-division and group</w:t>
            </w:r>
          </w:p>
        </w:tc>
        <w:tc>
          <w:tcPr>
            <w:tcW w:w="1134" w:type="dxa"/>
            <w:vAlign w:val="center"/>
          </w:tcPr>
          <w:p w:rsidR="0009283A" w:rsidRPr="00381036" w:rsidRDefault="00381036" w:rsidP="00715413">
            <w:pPr>
              <w:pStyle w:val="Tablerowheadings"/>
              <w:rPr>
                <w:lang w:val="en-US"/>
              </w:rPr>
            </w:pPr>
            <w:r w:rsidRPr="00381036">
              <w:rPr>
                <w:lang w:val="en-US"/>
              </w:rPr>
              <w:t xml:space="preserve">No of workers </w:t>
            </w:r>
            <w:r w:rsidR="0009283A" w:rsidRPr="00381036">
              <w:rPr>
                <w:lang w:val="en-US"/>
              </w:rPr>
              <w:t>2003</w:t>
            </w:r>
          </w:p>
        </w:tc>
        <w:tc>
          <w:tcPr>
            <w:tcW w:w="1134" w:type="dxa"/>
            <w:vAlign w:val="center"/>
          </w:tcPr>
          <w:p w:rsidR="0009283A" w:rsidRPr="00381036" w:rsidRDefault="00381036" w:rsidP="00715413">
            <w:pPr>
              <w:pStyle w:val="Tablerowheadings"/>
              <w:rPr>
                <w:lang w:val="en-US"/>
              </w:rPr>
            </w:pPr>
            <w:r w:rsidRPr="00381036">
              <w:rPr>
                <w:lang w:val="en-US"/>
              </w:rPr>
              <w:t xml:space="preserve">No. of workers </w:t>
            </w:r>
            <w:r w:rsidR="0009283A" w:rsidRPr="00381036">
              <w:rPr>
                <w:lang w:val="en-US"/>
              </w:rPr>
              <w:t>2013</w:t>
            </w:r>
          </w:p>
        </w:tc>
        <w:tc>
          <w:tcPr>
            <w:tcW w:w="1134" w:type="dxa"/>
            <w:vAlign w:val="center"/>
          </w:tcPr>
          <w:p w:rsidR="0009283A" w:rsidRPr="00381036" w:rsidRDefault="00381036" w:rsidP="00715413">
            <w:pPr>
              <w:pStyle w:val="Tablerowheadings"/>
              <w:rPr>
                <w:lang w:val="en-US"/>
              </w:rPr>
            </w:pPr>
            <w:r w:rsidRPr="00381036">
              <w:rPr>
                <w:lang w:val="en-US"/>
              </w:rPr>
              <w:t>% change</w:t>
            </w:r>
          </w:p>
        </w:tc>
        <w:tc>
          <w:tcPr>
            <w:tcW w:w="1474" w:type="dxa"/>
            <w:vAlign w:val="center"/>
          </w:tcPr>
          <w:p w:rsidR="0009283A" w:rsidRPr="00381036" w:rsidRDefault="00381036" w:rsidP="00715413">
            <w:pPr>
              <w:pStyle w:val="Tablerowheadings"/>
              <w:rPr>
                <w:lang w:val="en-US"/>
              </w:rPr>
            </w:pPr>
            <w:r w:rsidRPr="00381036">
              <w:rPr>
                <w:lang w:val="en-US"/>
              </w:rPr>
              <w:t>Contribution to growth</w:t>
            </w:r>
          </w:p>
        </w:tc>
      </w:tr>
      <w:tr w:rsidR="00381036" w:rsidRPr="00381036" w:rsidTr="00E960F1">
        <w:tc>
          <w:tcPr>
            <w:tcW w:w="4536" w:type="dxa"/>
            <w:vAlign w:val="center"/>
          </w:tcPr>
          <w:p w:rsidR="00381036" w:rsidRPr="00381036" w:rsidRDefault="00381036" w:rsidP="00C94930">
            <w:pPr>
              <w:pStyle w:val="Tablerowheadings"/>
            </w:pPr>
            <w:r w:rsidRPr="00381036">
              <w:t>Construction services</w:t>
            </w:r>
          </w:p>
        </w:tc>
        <w:tc>
          <w:tcPr>
            <w:tcW w:w="1134" w:type="dxa"/>
            <w:vAlign w:val="center"/>
          </w:tcPr>
          <w:p w:rsidR="00381036" w:rsidRPr="00381036" w:rsidRDefault="00381036" w:rsidP="00E960F1">
            <w:pPr>
              <w:pStyle w:val="Tablerowheadings"/>
              <w:jc w:val="right"/>
            </w:pPr>
            <w:r w:rsidRPr="00381036">
              <w:t>518 000</w:t>
            </w:r>
          </w:p>
        </w:tc>
        <w:tc>
          <w:tcPr>
            <w:tcW w:w="1134" w:type="dxa"/>
            <w:vAlign w:val="center"/>
          </w:tcPr>
          <w:p w:rsidR="00381036" w:rsidRPr="00381036" w:rsidRDefault="00381036" w:rsidP="00E960F1">
            <w:pPr>
              <w:pStyle w:val="Tablerowheadings"/>
              <w:jc w:val="right"/>
            </w:pPr>
            <w:r w:rsidRPr="00381036">
              <w:t>712 000</w:t>
            </w:r>
          </w:p>
        </w:tc>
        <w:tc>
          <w:tcPr>
            <w:tcW w:w="1134" w:type="dxa"/>
            <w:vAlign w:val="center"/>
          </w:tcPr>
          <w:p w:rsidR="00381036" w:rsidRPr="00381036" w:rsidRDefault="00381036" w:rsidP="00E960F1">
            <w:pPr>
              <w:pStyle w:val="Tablerowheadings"/>
              <w:jc w:val="right"/>
            </w:pPr>
            <w:r w:rsidRPr="00381036">
              <w:t>37%</w:t>
            </w:r>
          </w:p>
        </w:tc>
        <w:tc>
          <w:tcPr>
            <w:tcW w:w="1474" w:type="dxa"/>
            <w:vAlign w:val="center"/>
          </w:tcPr>
          <w:p w:rsidR="00381036" w:rsidRPr="00381036" w:rsidRDefault="00381036" w:rsidP="00E960F1">
            <w:pPr>
              <w:pStyle w:val="Tablerowheadings"/>
              <w:jc w:val="right"/>
            </w:pPr>
            <w:r w:rsidRPr="00381036">
              <w:t>70%</w:t>
            </w:r>
          </w:p>
        </w:tc>
      </w:tr>
      <w:tr w:rsidR="00381036" w:rsidRPr="00381036" w:rsidTr="00E960F1">
        <w:tc>
          <w:tcPr>
            <w:tcW w:w="4536" w:type="dxa"/>
            <w:vAlign w:val="center"/>
          </w:tcPr>
          <w:p w:rsidR="00381036" w:rsidRPr="00381036" w:rsidRDefault="00381036" w:rsidP="00E960F1">
            <w:pPr>
              <w:pStyle w:val="Tabletext"/>
            </w:pPr>
            <w:r w:rsidRPr="00381036">
              <w:t>Building installation services</w:t>
            </w:r>
          </w:p>
        </w:tc>
        <w:tc>
          <w:tcPr>
            <w:tcW w:w="1134" w:type="dxa"/>
            <w:vAlign w:val="center"/>
          </w:tcPr>
          <w:p w:rsidR="00381036" w:rsidRPr="00381036" w:rsidRDefault="00381036" w:rsidP="00E960F1">
            <w:pPr>
              <w:pStyle w:val="Tabletext"/>
              <w:jc w:val="right"/>
            </w:pPr>
            <w:r w:rsidRPr="00381036">
              <w:t>164 000</w:t>
            </w:r>
          </w:p>
        </w:tc>
        <w:tc>
          <w:tcPr>
            <w:tcW w:w="1134" w:type="dxa"/>
            <w:vAlign w:val="center"/>
          </w:tcPr>
          <w:p w:rsidR="00381036" w:rsidRPr="00381036" w:rsidRDefault="00381036" w:rsidP="00E960F1">
            <w:pPr>
              <w:pStyle w:val="Tabletext"/>
              <w:jc w:val="right"/>
            </w:pPr>
            <w:r w:rsidRPr="00381036">
              <w:t>259 000</w:t>
            </w:r>
          </w:p>
        </w:tc>
        <w:tc>
          <w:tcPr>
            <w:tcW w:w="1134" w:type="dxa"/>
            <w:vAlign w:val="center"/>
          </w:tcPr>
          <w:p w:rsidR="00381036" w:rsidRPr="00381036" w:rsidRDefault="00381036" w:rsidP="00E960F1">
            <w:pPr>
              <w:pStyle w:val="Tabletext"/>
              <w:jc w:val="right"/>
            </w:pPr>
            <w:r w:rsidRPr="00381036">
              <w:t>58%</w:t>
            </w:r>
          </w:p>
        </w:tc>
        <w:tc>
          <w:tcPr>
            <w:tcW w:w="1474" w:type="dxa"/>
            <w:vAlign w:val="center"/>
          </w:tcPr>
          <w:p w:rsidR="00381036" w:rsidRPr="00381036" w:rsidRDefault="00381036" w:rsidP="00E960F1">
            <w:pPr>
              <w:pStyle w:val="Tabletext"/>
              <w:jc w:val="right"/>
            </w:pPr>
            <w:r w:rsidRPr="00381036">
              <w:t>34%</w:t>
            </w:r>
          </w:p>
        </w:tc>
      </w:tr>
      <w:tr w:rsidR="00381036" w:rsidRPr="00381036" w:rsidTr="00E960F1">
        <w:tc>
          <w:tcPr>
            <w:tcW w:w="4536" w:type="dxa"/>
            <w:vAlign w:val="center"/>
          </w:tcPr>
          <w:p w:rsidR="00381036" w:rsidRPr="00381036" w:rsidRDefault="00381036" w:rsidP="00E960F1">
            <w:pPr>
              <w:pStyle w:val="Tabletext"/>
            </w:pPr>
            <w:r w:rsidRPr="00381036">
              <w:t>Building completion services</w:t>
            </w:r>
          </w:p>
        </w:tc>
        <w:tc>
          <w:tcPr>
            <w:tcW w:w="1134" w:type="dxa"/>
            <w:vAlign w:val="center"/>
          </w:tcPr>
          <w:p w:rsidR="00381036" w:rsidRPr="00381036" w:rsidRDefault="00381036" w:rsidP="00E960F1">
            <w:pPr>
              <w:pStyle w:val="Tabletext"/>
              <w:jc w:val="right"/>
            </w:pPr>
            <w:r w:rsidRPr="00381036">
              <w:t>163 000</w:t>
            </w:r>
          </w:p>
        </w:tc>
        <w:tc>
          <w:tcPr>
            <w:tcW w:w="1134" w:type="dxa"/>
            <w:vAlign w:val="center"/>
          </w:tcPr>
          <w:p w:rsidR="00381036" w:rsidRPr="00381036" w:rsidRDefault="00381036" w:rsidP="00E960F1">
            <w:pPr>
              <w:pStyle w:val="Tabletext"/>
              <w:jc w:val="right"/>
            </w:pPr>
            <w:r w:rsidRPr="00381036">
              <w:t>198 000</w:t>
            </w:r>
          </w:p>
        </w:tc>
        <w:tc>
          <w:tcPr>
            <w:tcW w:w="1134" w:type="dxa"/>
            <w:vAlign w:val="center"/>
          </w:tcPr>
          <w:p w:rsidR="00381036" w:rsidRPr="00381036" w:rsidRDefault="00381036" w:rsidP="00E960F1">
            <w:pPr>
              <w:pStyle w:val="Tabletext"/>
              <w:jc w:val="right"/>
            </w:pPr>
            <w:r w:rsidRPr="00381036">
              <w:t>21%</w:t>
            </w:r>
          </w:p>
        </w:tc>
        <w:tc>
          <w:tcPr>
            <w:tcW w:w="1474" w:type="dxa"/>
            <w:vAlign w:val="center"/>
          </w:tcPr>
          <w:p w:rsidR="00381036" w:rsidRPr="00381036" w:rsidRDefault="00381036" w:rsidP="00E960F1">
            <w:pPr>
              <w:pStyle w:val="Tabletext"/>
              <w:jc w:val="right"/>
            </w:pPr>
            <w:r w:rsidRPr="00381036">
              <w:t>13%</w:t>
            </w:r>
          </w:p>
        </w:tc>
      </w:tr>
      <w:tr w:rsidR="00381036" w:rsidRPr="00381036" w:rsidTr="00E960F1">
        <w:tc>
          <w:tcPr>
            <w:tcW w:w="4536" w:type="dxa"/>
            <w:vAlign w:val="center"/>
          </w:tcPr>
          <w:p w:rsidR="00381036" w:rsidRPr="00381036" w:rsidRDefault="00381036" w:rsidP="00E960F1">
            <w:pPr>
              <w:pStyle w:val="Tabletext"/>
            </w:pPr>
            <w:r w:rsidRPr="00381036">
              <w:t>Other construction services</w:t>
            </w:r>
          </w:p>
        </w:tc>
        <w:tc>
          <w:tcPr>
            <w:tcW w:w="1134" w:type="dxa"/>
            <w:vAlign w:val="center"/>
          </w:tcPr>
          <w:p w:rsidR="00381036" w:rsidRPr="00381036" w:rsidRDefault="00381036" w:rsidP="00E960F1">
            <w:pPr>
              <w:pStyle w:val="Tabletext"/>
              <w:jc w:val="right"/>
            </w:pPr>
            <w:r w:rsidRPr="00381036">
              <w:t>73 000</w:t>
            </w:r>
          </w:p>
        </w:tc>
        <w:tc>
          <w:tcPr>
            <w:tcW w:w="1134" w:type="dxa"/>
            <w:vAlign w:val="center"/>
          </w:tcPr>
          <w:p w:rsidR="00381036" w:rsidRPr="00381036" w:rsidRDefault="00381036" w:rsidP="00E960F1">
            <w:pPr>
              <w:pStyle w:val="Tabletext"/>
              <w:jc w:val="right"/>
            </w:pPr>
            <w:r w:rsidRPr="00381036">
              <w:t>102 000</w:t>
            </w:r>
          </w:p>
        </w:tc>
        <w:tc>
          <w:tcPr>
            <w:tcW w:w="1134" w:type="dxa"/>
            <w:vAlign w:val="center"/>
          </w:tcPr>
          <w:p w:rsidR="00381036" w:rsidRPr="00381036" w:rsidRDefault="00381036" w:rsidP="00E960F1">
            <w:pPr>
              <w:pStyle w:val="Tabletext"/>
              <w:jc w:val="right"/>
            </w:pPr>
            <w:r w:rsidRPr="00381036">
              <w:t>40%</w:t>
            </w:r>
          </w:p>
        </w:tc>
        <w:tc>
          <w:tcPr>
            <w:tcW w:w="1474" w:type="dxa"/>
            <w:vAlign w:val="center"/>
          </w:tcPr>
          <w:p w:rsidR="00381036" w:rsidRPr="00381036" w:rsidRDefault="00381036" w:rsidP="00E960F1">
            <w:pPr>
              <w:pStyle w:val="Tabletext"/>
              <w:jc w:val="right"/>
            </w:pPr>
            <w:r w:rsidRPr="00381036">
              <w:t>10%</w:t>
            </w:r>
          </w:p>
        </w:tc>
      </w:tr>
      <w:tr w:rsidR="00381036" w:rsidRPr="00381036" w:rsidTr="00E960F1">
        <w:tc>
          <w:tcPr>
            <w:tcW w:w="4536" w:type="dxa"/>
            <w:vAlign w:val="center"/>
          </w:tcPr>
          <w:p w:rsidR="00381036" w:rsidRPr="00381036" w:rsidRDefault="00381036" w:rsidP="00E960F1">
            <w:pPr>
              <w:pStyle w:val="Tabletext"/>
            </w:pPr>
            <w:r w:rsidRPr="00381036">
              <w:t>Building structure services</w:t>
            </w:r>
          </w:p>
        </w:tc>
        <w:tc>
          <w:tcPr>
            <w:tcW w:w="1134" w:type="dxa"/>
            <w:vAlign w:val="center"/>
          </w:tcPr>
          <w:p w:rsidR="00381036" w:rsidRPr="00381036" w:rsidRDefault="00381036" w:rsidP="00E960F1">
            <w:pPr>
              <w:pStyle w:val="Tabletext"/>
              <w:jc w:val="right"/>
            </w:pPr>
            <w:r w:rsidRPr="00381036">
              <w:t>82 000</w:t>
            </w:r>
          </w:p>
        </w:tc>
        <w:tc>
          <w:tcPr>
            <w:tcW w:w="1134" w:type="dxa"/>
            <w:vAlign w:val="center"/>
          </w:tcPr>
          <w:p w:rsidR="00381036" w:rsidRPr="00381036" w:rsidRDefault="00381036" w:rsidP="00E960F1">
            <w:pPr>
              <w:pStyle w:val="Tabletext"/>
              <w:jc w:val="right"/>
            </w:pPr>
            <w:r w:rsidRPr="00381036">
              <w:t>93 000</w:t>
            </w:r>
          </w:p>
        </w:tc>
        <w:tc>
          <w:tcPr>
            <w:tcW w:w="1134" w:type="dxa"/>
            <w:vAlign w:val="center"/>
          </w:tcPr>
          <w:p w:rsidR="00381036" w:rsidRPr="00381036" w:rsidRDefault="00381036" w:rsidP="00E960F1">
            <w:pPr>
              <w:pStyle w:val="Tabletext"/>
              <w:jc w:val="right"/>
            </w:pPr>
            <w:r w:rsidRPr="00381036">
              <w:t>13%</w:t>
            </w:r>
          </w:p>
        </w:tc>
        <w:tc>
          <w:tcPr>
            <w:tcW w:w="1474" w:type="dxa"/>
            <w:vAlign w:val="center"/>
          </w:tcPr>
          <w:p w:rsidR="00381036" w:rsidRPr="00381036" w:rsidRDefault="00381036" w:rsidP="00E960F1">
            <w:pPr>
              <w:pStyle w:val="Tabletext"/>
              <w:jc w:val="right"/>
            </w:pPr>
            <w:r w:rsidRPr="00381036">
              <w:t>4%</w:t>
            </w:r>
          </w:p>
        </w:tc>
      </w:tr>
      <w:tr w:rsidR="00381036" w:rsidRPr="00381036" w:rsidTr="00E960F1">
        <w:tc>
          <w:tcPr>
            <w:tcW w:w="4536" w:type="dxa"/>
            <w:vAlign w:val="center"/>
          </w:tcPr>
          <w:p w:rsidR="00381036" w:rsidRPr="00381036" w:rsidRDefault="00381036" w:rsidP="00E960F1">
            <w:pPr>
              <w:pStyle w:val="Tabletext"/>
            </w:pPr>
            <w:r w:rsidRPr="00381036">
              <w:t>Land development &amp; site preparation services</w:t>
            </w:r>
          </w:p>
        </w:tc>
        <w:tc>
          <w:tcPr>
            <w:tcW w:w="1134" w:type="dxa"/>
            <w:vAlign w:val="center"/>
          </w:tcPr>
          <w:p w:rsidR="00381036" w:rsidRPr="00381036" w:rsidRDefault="00381036" w:rsidP="00E960F1">
            <w:pPr>
              <w:pStyle w:val="Tabletext"/>
              <w:jc w:val="right"/>
            </w:pPr>
            <w:r w:rsidRPr="00381036">
              <w:t>36 000</w:t>
            </w:r>
          </w:p>
        </w:tc>
        <w:tc>
          <w:tcPr>
            <w:tcW w:w="1134" w:type="dxa"/>
            <w:vAlign w:val="center"/>
          </w:tcPr>
          <w:p w:rsidR="00381036" w:rsidRPr="00381036" w:rsidRDefault="00381036" w:rsidP="00E960F1">
            <w:pPr>
              <w:pStyle w:val="Tabletext"/>
              <w:jc w:val="right"/>
            </w:pPr>
            <w:r w:rsidRPr="00381036">
              <w:t>59 000</w:t>
            </w:r>
          </w:p>
        </w:tc>
        <w:tc>
          <w:tcPr>
            <w:tcW w:w="1134" w:type="dxa"/>
            <w:vAlign w:val="center"/>
          </w:tcPr>
          <w:p w:rsidR="00381036" w:rsidRPr="00381036" w:rsidRDefault="00381036" w:rsidP="00E960F1">
            <w:pPr>
              <w:pStyle w:val="Tabletext"/>
              <w:jc w:val="right"/>
            </w:pPr>
            <w:r w:rsidRPr="00381036">
              <w:t>64%</w:t>
            </w:r>
          </w:p>
        </w:tc>
        <w:tc>
          <w:tcPr>
            <w:tcW w:w="1474" w:type="dxa"/>
            <w:vAlign w:val="center"/>
          </w:tcPr>
          <w:p w:rsidR="00381036" w:rsidRPr="00381036" w:rsidRDefault="00381036" w:rsidP="00E960F1">
            <w:pPr>
              <w:pStyle w:val="Tabletext"/>
              <w:jc w:val="right"/>
            </w:pPr>
            <w:r w:rsidRPr="00381036">
              <w:t>8%</w:t>
            </w:r>
          </w:p>
        </w:tc>
      </w:tr>
      <w:tr w:rsidR="00381036" w:rsidRPr="00381036" w:rsidTr="00E960F1">
        <w:tc>
          <w:tcPr>
            <w:tcW w:w="4536" w:type="dxa"/>
            <w:vAlign w:val="center"/>
          </w:tcPr>
          <w:p w:rsidR="00381036" w:rsidRPr="00381036" w:rsidRDefault="00381036" w:rsidP="00C94930">
            <w:pPr>
              <w:pStyle w:val="Tablerowheadings"/>
            </w:pPr>
            <w:r w:rsidRPr="00381036">
              <w:t>Building construction</w:t>
            </w:r>
          </w:p>
        </w:tc>
        <w:tc>
          <w:tcPr>
            <w:tcW w:w="1134" w:type="dxa"/>
            <w:vAlign w:val="center"/>
          </w:tcPr>
          <w:p w:rsidR="00381036" w:rsidRPr="00381036" w:rsidRDefault="00381036" w:rsidP="00E960F1">
            <w:pPr>
              <w:pStyle w:val="Tablerowheadings"/>
              <w:jc w:val="right"/>
            </w:pPr>
            <w:r w:rsidRPr="00381036">
              <w:t>188 000</w:t>
            </w:r>
          </w:p>
        </w:tc>
        <w:tc>
          <w:tcPr>
            <w:tcW w:w="1134" w:type="dxa"/>
            <w:vAlign w:val="center"/>
          </w:tcPr>
          <w:p w:rsidR="00381036" w:rsidRPr="00381036" w:rsidRDefault="00381036" w:rsidP="00E960F1">
            <w:pPr>
              <w:pStyle w:val="Tablerowheadings"/>
              <w:jc w:val="right"/>
            </w:pPr>
            <w:r w:rsidRPr="00381036">
              <w:t>239 000</w:t>
            </w:r>
          </w:p>
        </w:tc>
        <w:tc>
          <w:tcPr>
            <w:tcW w:w="1134" w:type="dxa"/>
            <w:vAlign w:val="center"/>
          </w:tcPr>
          <w:p w:rsidR="00381036" w:rsidRPr="00381036" w:rsidRDefault="00381036" w:rsidP="00E960F1">
            <w:pPr>
              <w:pStyle w:val="Tablerowheadings"/>
              <w:jc w:val="right"/>
            </w:pPr>
            <w:r w:rsidRPr="00381036">
              <w:t>27%</w:t>
            </w:r>
          </w:p>
        </w:tc>
        <w:tc>
          <w:tcPr>
            <w:tcW w:w="1474" w:type="dxa"/>
            <w:vAlign w:val="center"/>
          </w:tcPr>
          <w:p w:rsidR="00381036" w:rsidRPr="00381036" w:rsidRDefault="00381036" w:rsidP="00E960F1">
            <w:pPr>
              <w:pStyle w:val="Tablerowheadings"/>
              <w:jc w:val="right"/>
            </w:pPr>
            <w:r w:rsidRPr="00381036">
              <w:t>18%</w:t>
            </w:r>
          </w:p>
        </w:tc>
      </w:tr>
      <w:tr w:rsidR="00381036" w:rsidRPr="00381036" w:rsidTr="00E960F1">
        <w:tc>
          <w:tcPr>
            <w:tcW w:w="4536" w:type="dxa"/>
            <w:vAlign w:val="center"/>
          </w:tcPr>
          <w:p w:rsidR="00381036" w:rsidRPr="00381036" w:rsidRDefault="00381036" w:rsidP="00C94930">
            <w:pPr>
              <w:pStyle w:val="Tablerowheadings"/>
            </w:pPr>
            <w:r w:rsidRPr="00381036">
              <w:t>Heavy &amp; civil engineering construction</w:t>
            </w:r>
          </w:p>
        </w:tc>
        <w:tc>
          <w:tcPr>
            <w:tcW w:w="1134" w:type="dxa"/>
            <w:vAlign w:val="center"/>
          </w:tcPr>
          <w:p w:rsidR="00381036" w:rsidRPr="00381036" w:rsidRDefault="00381036" w:rsidP="00E960F1">
            <w:pPr>
              <w:pStyle w:val="Tablerowheadings"/>
              <w:jc w:val="right"/>
            </w:pPr>
            <w:r w:rsidRPr="00381036">
              <w:t>47 000</w:t>
            </w:r>
          </w:p>
        </w:tc>
        <w:tc>
          <w:tcPr>
            <w:tcW w:w="1134" w:type="dxa"/>
            <w:vAlign w:val="center"/>
          </w:tcPr>
          <w:p w:rsidR="00381036" w:rsidRPr="00381036" w:rsidRDefault="00381036" w:rsidP="00E960F1">
            <w:pPr>
              <w:pStyle w:val="Tablerowheadings"/>
              <w:jc w:val="right"/>
            </w:pPr>
            <w:r w:rsidRPr="00381036">
              <w:t>79 000</w:t>
            </w:r>
          </w:p>
        </w:tc>
        <w:tc>
          <w:tcPr>
            <w:tcW w:w="1134" w:type="dxa"/>
            <w:vAlign w:val="center"/>
          </w:tcPr>
          <w:p w:rsidR="00381036" w:rsidRPr="00381036" w:rsidRDefault="00381036" w:rsidP="00E960F1">
            <w:pPr>
              <w:pStyle w:val="Tablerowheadings"/>
              <w:jc w:val="right"/>
            </w:pPr>
            <w:r w:rsidRPr="00381036">
              <w:t>68%</w:t>
            </w:r>
          </w:p>
        </w:tc>
        <w:tc>
          <w:tcPr>
            <w:tcW w:w="1474" w:type="dxa"/>
            <w:vAlign w:val="center"/>
          </w:tcPr>
          <w:p w:rsidR="00381036" w:rsidRPr="00381036" w:rsidRDefault="00381036" w:rsidP="00E960F1">
            <w:pPr>
              <w:pStyle w:val="Tablerowheadings"/>
              <w:jc w:val="right"/>
            </w:pPr>
            <w:r w:rsidRPr="00381036">
              <w:t>12%</w:t>
            </w:r>
          </w:p>
        </w:tc>
      </w:tr>
      <w:tr w:rsidR="00381036" w:rsidRPr="00381036" w:rsidTr="00E960F1">
        <w:tc>
          <w:tcPr>
            <w:tcW w:w="4536" w:type="dxa"/>
            <w:vAlign w:val="center"/>
          </w:tcPr>
          <w:p w:rsidR="00381036" w:rsidRPr="00381036" w:rsidRDefault="00381036" w:rsidP="00C94930">
            <w:pPr>
              <w:pStyle w:val="Tablerowheadings"/>
            </w:pPr>
            <w:r w:rsidRPr="00381036">
              <w:t>Total</w:t>
            </w:r>
          </w:p>
        </w:tc>
        <w:tc>
          <w:tcPr>
            <w:tcW w:w="1134" w:type="dxa"/>
            <w:vAlign w:val="center"/>
          </w:tcPr>
          <w:p w:rsidR="00381036" w:rsidRPr="00381036" w:rsidRDefault="00381036" w:rsidP="00E960F1">
            <w:pPr>
              <w:pStyle w:val="Tablerowheadings"/>
              <w:jc w:val="right"/>
            </w:pPr>
            <w:r w:rsidRPr="00381036">
              <w:t>753 000</w:t>
            </w:r>
          </w:p>
        </w:tc>
        <w:tc>
          <w:tcPr>
            <w:tcW w:w="1134" w:type="dxa"/>
            <w:vAlign w:val="center"/>
          </w:tcPr>
          <w:p w:rsidR="00381036" w:rsidRPr="00381036" w:rsidRDefault="00381036" w:rsidP="00E960F1">
            <w:pPr>
              <w:pStyle w:val="Tablerowheadings"/>
              <w:jc w:val="right"/>
            </w:pPr>
            <w:r w:rsidRPr="00381036">
              <w:t>1 030 000</w:t>
            </w:r>
          </w:p>
        </w:tc>
        <w:tc>
          <w:tcPr>
            <w:tcW w:w="1134" w:type="dxa"/>
            <w:vAlign w:val="center"/>
          </w:tcPr>
          <w:p w:rsidR="00381036" w:rsidRPr="00381036" w:rsidRDefault="00381036" w:rsidP="00E960F1">
            <w:pPr>
              <w:pStyle w:val="Tablerowheadings"/>
              <w:jc w:val="right"/>
            </w:pPr>
            <w:r w:rsidRPr="00381036">
              <w:t>37%</w:t>
            </w:r>
          </w:p>
        </w:tc>
        <w:tc>
          <w:tcPr>
            <w:tcW w:w="1474" w:type="dxa"/>
            <w:vAlign w:val="center"/>
          </w:tcPr>
          <w:p w:rsidR="00381036" w:rsidRPr="00381036" w:rsidRDefault="00381036" w:rsidP="00E960F1">
            <w:pPr>
              <w:pStyle w:val="Tablerowheadings"/>
              <w:jc w:val="right"/>
            </w:pPr>
            <w:r w:rsidRPr="00381036">
              <w:t>100%</w:t>
            </w:r>
          </w:p>
        </w:tc>
      </w:tr>
    </w:tbl>
    <w:p w:rsidR="00B95D9B" w:rsidRDefault="00C47A24" w:rsidP="00905D87">
      <w:pPr>
        <w:pStyle w:val="Heading3"/>
        <w:rPr>
          <w:lang w:val="en-US"/>
        </w:rPr>
      </w:pPr>
      <w:bookmarkStart w:id="7" w:name="_Toc427590838"/>
      <w:r>
        <w:rPr>
          <w:lang w:val="en-US"/>
        </w:rPr>
        <w:t>Industry sector by employment status</w:t>
      </w:r>
      <w:bookmarkEnd w:id="7"/>
    </w:p>
    <w:p w:rsidR="00B95D9B" w:rsidRPr="00B95D9B" w:rsidRDefault="00B95D9B" w:rsidP="00513A50">
      <w:pPr>
        <w:pStyle w:val="BodyText1"/>
      </w:pPr>
      <w:r w:rsidRPr="00B95D9B">
        <w:t xml:space="preserve">Table 2 shows there are different proportions of self-employed workers in each of the construction industry sub-divisions. There are very few self-employed workers in heavy &amp; civil engineering construction and hence robust </w:t>
      </w:r>
      <w:proofErr w:type="spellStart"/>
      <w:r w:rsidRPr="00B95D9B">
        <w:t>labour</w:t>
      </w:r>
      <w:proofErr w:type="spellEnd"/>
      <w:r w:rsidRPr="00B95D9B">
        <w:t xml:space="preserve"> force estimates for self-employed workers in this subdivision are not available. The construction services sub-division accounted for 85% of self-employed workers in 2013. The actual number of self-employed workers in this sector has increased only marginally over the 11 years.</w:t>
      </w:r>
    </w:p>
    <w:p w:rsidR="00B95D9B" w:rsidRDefault="00B95D9B" w:rsidP="00C94930">
      <w:pPr>
        <w:pStyle w:val="Tableheading"/>
      </w:pPr>
      <w:r>
        <w:t>Table 2: Construction workers: percentage by employment status and industry sub-division, 2003 and 2013</w:t>
      </w:r>
    </w:p>
    <w:tbl>
      <w:tblPr>
        <w:tblStyle w:val="TableGrid"/>
        <w:tblW w:w="0" w:type="auto"/>
        <w:tblLook w:val="04A0" w:firstRow="1" w:lastRow="0" w:firstColumn="1" w:lastColumn="0" w:noHBand="0" w:noVBand="1"/>
        <w:tblCaption w:val="Table 2: Construction workers: percentage by employment status and industry sub-division, 2003 and 2013"/>
        <w:tblDescription w:val="Table 2 shows there are different proportions of self-employed workers in each of the construction industry sub-divisions. "/>
      </w:tblPr>
      <w:tblGrid>
        <w:gridCol w:w="3402"/>
        <w:gridCol w:w="1239"/>
        <w:gridCol w:w="1150"/>
        <w:gridCol w:w="1134"/>
        <w:gridCol w:w="1161"/>
        <w:gridCol w:w="1150"/>
        <w:gridCol w:w="1134"/>
      </w:tblGrid>
      <w:tr w:rsidR="007E1018" w:rsidRPr="004F0A8F" w:rsidTr="00715413">
        <w:trPr>
          <w:tblHeader/>
        </w:trPr>
        <w:tc>
          <w:tcPr>
            <w:tcW w:w="3402" w:type="dxa"/>
          </w:tcPr>
          <w:p w:rsidR="007E1018" w:rsidRPr="004F0A8F" w:rsidRDefault="007E1018" w:rsidP="00F66D81">
            <w:pPr>
              <w:pStyle w:val="BasicParagraph"/>
              <w:rPr>
                <w:sz w:val="20"/>
                <w:szCs w:val="20"/>
                <w:lang w:val="en-US"/>
              </w:rPr>
            </w:pPr>
          </w:p>
        </w:tc>
        <w:tc>
          <w:tcPr>
            <w:tcW w:w="3523" w:type="dxa"/>
            <w:gridSpan w:val="3"/>
            <w:vAlign w:val="bottom"/>
          </w:tcPr>
          <w:p w:rsidR="007E1018" w:rsidRPr="00736F1C" w:rsidRDefault="007E1018" w:rsidP="00736F1C">
            <w:pPr>
              <w:pStyle w:val="Tableheaderrow"/>
            </w:pPr>
            <w:r w:rsidRPr="00736F1C">
              <w:t>2003</w:t>
            </w:r>
          </w:p>
        </w:tc>
        <w:tc>
          <w:tcPr>
            <w:tcW w:w="3445" w:type="dxa"/>
            <w:gridSpan w:val="3"/>
            <w:vAlign w:val="bottom"/>
          </w:tcPr>
          <w:p w:rsidR="007E1018" w:rsidRPr="00736F1C" w:rsidRDefault="007E1018" w:rsidP="00736F1C">
            <w:pPr>
              <w:pStyle w:val="Tableheaderrow"/>
            </w:pPr>
            <w:r w:rsidRPr="00736F1C">
              <w:t>2013</w:t>
            </w:r>
          </w:p>
        </w:tc>
      </w:tr>
      <w:tr w:rsidR="007E1018" w:rsidRPr="004F0A8F" w:rsidTr="00715413">
        <w:trPr>
          <w:tblHeader/>
        </w:trPr>
        <w:tc>
          <w:tcPr>
            <w:tcW w:w="3402" w:type="dxa"/>
            <w:vAlign w:val="bottom"/>
          </w:tcPr>
          <w:p w:rsidR="007E1018" w:rsidRPr="004F0A8F" w:rsidRDefault="007E1018" w:rsidP="00736F1C">
            <w:pPr>
              <w:pStyle w:val="Tableheaderrow"/>
              <w:jc w:val="left"/>
            </w:pPr>
            <w:r w:rsidRPr="004F0A8F">
              <w:t>Industry sub-division</w:t>
            </w:r>
          </w:p>
        </w:tc>
        <w:tc>
          <w:tcPr>
            <w:tcW w:w="1239" w:type="dxa"/>
            <w:vAlign w:val="bottom"/>
          </w:tcPr>
          <w:p w:rsidR="007E1018" w:rsidRPr="00736F1C" w:rsidRDefault="007E1018" w:rsidP="00736F1C">
            <w:pPr>
              <w:pStyle w:val="Tableheaderrow"/>
            </w:pPr>
            <w:r w:rsidRPr="00736F1C">
              <w:t>Employee</w:t>
            </w:r>
          </w:p>
        </w:tc>
        <w:tc>
          <w:tcPr>
            <w:tcW w:w="1150" w:type="dxa"/>
            <w:vAlign w:val="bottom"/>
          </w:tcPr>
          <w:p w:rsidR="007E1018" w:rsidRPr="00736F1C" w:rsidRDefault="007E1018" w:rsidP="00736F1C">
            <w:pPr>
              <w:pStyle w:val="Tableheaderrow"/>
            </w:pPr>
            <w:r w:rsidRPr="00736F1C">
              <w:t>Self-employed</w:t>
            </w:r>
          </w:p>
        </w:tc>
        <w:tc>
          <w:tcPr>
            <w:tcW w:w="1134" w:type="dxa"/>
            <w:vAlign w:val="bottom"/>
          </w:tcPr>
          <w:p w:rsidR="007E1018" w:rsidRPr="00736F1C" w:rsidRDefault="007E1018" w:rsidP="00736F1C">
            <w:pPr>
              <w:pStyle w:val="Tableheaderrow"/>
            </w:pPr>
            <w:r w:rsidRPr="00736F1C">
              <w:t>Total</w:t>
            </w:r>
          </w:p>
        </w:tc>
        <w:tc>
          <w:tcPr>
            <w:tcW w:w="1161" w:type="dxa"/>
            <w:vAlign w:val="bottom"/>
          </w:tcPr>
          <w:p w:rsidR="007E1018" w:rsidRPr="00736F1C" w:rsidRDefault="007E1018" w:rsidP="00736F1C">
            <w:pPr>
              <w:pStyle w:val="Tableheaderrow"/>
            </w:pPr>
            <w:r w:rsidRPr="00736F1C">
              <w:t>Employee</w:t>
            </w:r>
          </w:p>
        </w:tc>
        <w:tc>
          <w:tcPr>
            <w:tcW w:w="1150" w:type="dxa"/>
            <w:vAlign w:val="bottom"/>
          </w:tcPr>
          <w:p w:rsidR="007E1018" w:rsidRPr="00736F1C" w:rsidRDefault="007E1018" w:rsidP="00736F1C">
            <w:pPr>
              <w:pStyle w:val="Tableheaderrow"/>
            </w:pPr>
            <w:r w:rsidRPr="00736F1C">
              <w:t>Self-employed</w:t>
            </w:r>
          </w:p>
        </w:tc>
        <w:tc>
          <w:tcPr>
            <w:tcW w:w="1134" w:type="dxa"/>
            <w:vAlign w:val="bottom"/>
          </w:tcPr>
          <w:p w:rsidR="007E1018" w:rsidRPr="00736F1C" w:rsidRDefault="007E1018" w:rsidP="00736F1C">
            <w:pPr>
              <w:pStyle w:val="Tableheaderrow"/>
            </w:pPr>
            <w:r w:rsidRPr="00736F1C">
              <w:t>Total</w:t>
            </w:r>
          </w:p>
        </w:tc>
      </w:tr>
      <w:tr w:rsidR="007E1018" w:rsidRPr="004F0A8F" w:rsidTr="008C4D45">
        <w:tc>
          <w:tcPr>
            <w:tcW w:w="10370" w:type="dxa"/>
            <w:gridSpan w:val="7"/>
          </w:tcPr>
          <w:p w:rsidR="007E1018" w:rsidRPr="004F0A8F" w:rsidRDefault="00775FF2" w:rsidP="00775FF2">
            <w:pPr>
              <w:rPr>
                <w:rFonts w:ascii="Arial" w:hAnsi="Arial" w:cs="Arial"/>
                <w:sz w:val="20"/>
                <w:szCs w:val="20"/>
              </w:rPr>
            </w:pPr>
            <w:r>
              <w:rPr>
                <w:rFonts w:ascii="Arial" w:hAnsi="Arial" w:cs="Arial"/>
                <w:sz w:val="20"/>
                <w:szCs w:val="20"/>
              </w:rPr>
              <w:t>Number of workers</w:t>
            </w:r>
          </w:p>
        </w:tc>
      </w:tr>
      <w:tr w:rsidR="007E1018" w:rsidRPr="004F0A8F" w:rsidTr="00E960F1">
        <w:tc>
          <w:tcPr>
            <w:tcW w:w="3402" w:type="dxa"/>
          </w:tcPr>
          <w:p w:rsidR="007E1018" w:rsidRPr="004F0A8F" w:rsidRDefault="007E1018" w:rsidP="00C94930">
            <w:pPr>
              <w:rPr>
                <w:rFonts w:ascii="Arial" w:hAnsi="Arial" w:cs="Arial"/>
                <w:sz w:val="20"/>
                <w:szCs w:val="20"/>
              </w:rPr>
            </w:pPr>
            <w:r w:rsidRPr="004F0A8F">
              <w:rPr>
                <w:rFonts w:ascii="Arial" w:hAnsi="Arial" w:cs="Arial"/>
                <w:sz w:val="20"/>
                <w:szCs w:val="20"/>
              </w:rPr>
              <w:t>Construction services</w:t>
            </w:r>
          </w:p>
        </w:tc>
        <w:tc>
          <w:tcPr>
            <w:tcW w:w="1239" w:type="dxa"/>
            <w:vAlign w:val="center"/>
          </w:tcPr>
          <w:p w:rsidR="007E1018" w:rsidRPr="004F0A8F" w:rsidRDefault="007E1018" w:rsidP="00E960F1">
            <w:pPr>
              <w:pStyle w:val="Tabletext"/>
              <w:jc w:val="right"/>
            </w:pPr>
            <w:r w:rsidRPr="004F0A8F">
              <w:t>310 000</w:t>
            </w:r>
          </w:p>
        </w:tc>
        <w:tc>
          <w:tcPr>
            <w:tcW w:w="1150" w:type="dxa"/>
            <w:vAlign w:val="center"/>
          </w:tcPr>
          <w:p w:rsidR="007E1018" w:rsidRPr="004F0A8F" w:rsidRDefault="007E1018" w:rsidP="00E960F1">
            <w:pPr>
              <w:pStyle w:val="Tabletext"/>
              <w:jc w:val="right"/>
            </w:pPr>
            <w:r w:rsidRPr="004F0A8F">
              <w:t>209 000</w:t>
            </w:r>
          </w:p>
        </w:tc>
        <w:tc>
          <w:tcPr>
            <w:tcW w:w="1134" w:type="dxa"/>
            <w:vAlign w:val="center"/>
          </w:tcPr>
          <w:p w:rsidR="007E1018" w:rsidRPr="004F0A8F" w:rsidRDefault="007E1018" w:rsidP="00E960F1">
            <w:pPr>
              <w:pStyle w:val="Tabletext"/>
              <w:jc w:val="right"/>
            </w:pPr>
            <w:r w:rsidRPr="004F0A8F">
              <w:t>518 000</w:t>
            </w:r>
          </w:p>
        </w:tc>
        <w:tc>
          <w:tcPr>
            <w:tcW w:w="1161" w:type="dxa"/>
            <w:vAlign w:val="center"/>
          </w:tcPr>
          <w:p w:rsidR="007E1018" w:rsidRPr="004F0A8F" w:rsidRDefault="007E1018" w:rsidP="00E960F1">
            <w:pPr>
              <w:pStyle w:val="Tabletext"/>
              <w:jc w:val="right"/>
            </w:pPr>
            <w:r w:rsidRPr="004F0A8F">
              <w:t>499 000</w:t>
            </w:r>
          </w:p>
        </w:tc>
        <w:tc>
          <w:tcPr>
            <w:tcW w:w="1150" w:type="dxa"/>
            <w:vAlign w:val="center"/>
          </w:tcPr>
          <w:p w:rsidR="007E1018" w:rsidRPr="004F0A8F" w:rsidRDefault="007E1018" w:rsidP="00E960F1">
            <w:pPr>
              <w:pStyle w:val="Tabletext"/>
              <w:jc w:val="right"/>
            </w:pPr>
            <w:r w:rsidRPr="004F0A8F">
              <w:t>211 000</w:t>
            </w:r>
          </w:p>
        </w:tc>
        <w:tc>
          <w:tcPr>
            <w:tcW w:w="1134" w:type="dxa"/>
            <w:vAlign w:val="center"/>
          </w:tcPr>
          <w:p w:rsidR="007E1018" w:rsidRPr="004F0A8F" w:rsidRDefault="007E1018" w:rsidP="00E960F1">
            <w:pPr>
              <w:pStyle w:val="Tabletext"/>
              <w:jc w:val="right"/>
            </w:pPr>
            <w:r w:rsidRPr="004F0A8F">
              <w:t>710 000</w:t>
            </w:r>
          </w:p>
        </w:tc>
      </w:tr>
      <w:tr w:rsidR="007E1018" w:rsidRPr="004F0A8F" w:rsidTr="00E960F1">
        <w:tc>
          <w:tcPr>
            <w:tcW w:w="3402" w:type="dxa"/>
          </w:tcPr>
          <w:p w:rsidR="007E1018" w:rsidRPr="004F0A8F" w:rsidRDefault="007E1018" w:rsidP="00C94930">
            <w:pPr>
              <w:rPr>
                <w:rFonts w:ascii="Arial" w:hAnsi="Arial" w:cs="Arial"/>
                <w:sz w:val="20"/>
                <w:szCs w:val="20"/>
              </w:rPr>
            </w:pPr>
            <w:r w:rsidRPr="004F0A8F">
              <w:rPr>
                <w:rFonts w:ascii="Arial" w:hAnsi="Arial" w:cs="Arial"/>
                <w:sz w:val="20"/>
                <w:szCs w:val="20"/>
              </w:rPr>
              <w:t>Building construction</w:t>
            </w:r>
          </w:p>
        </w:tc>
        <w:tc>
          <w:tcPr>
            <w:tcW w:w="1239" w:type="dxa"/>
            <w:vAlign w:val="center"/>
          </w:tcPr>
          <w:p w:rsidR="007E1018" w:rsidRPr="004F0A8F" w:rsidRDefault="007E1018" w:rsidP="00E960F1">
            <w:pPr>
              <w:pStyle w:val="Tabletext"/>
              <w:jc w:val="right"/>
            </w:pPr>
            <w:r w:rsidRPr="004F0A8F">
              <w:t>142 000</w:t>
            </w:r>
          </w:p>
        </w:tc>
        <w:tc>
          <w:tcPr>
            <w:tcW w:w="1150" w:type="dxa"/>
            <w:vAlign w:val="center"/>
          </w:tcPr>
          <w:p w:rsidR="007E1018" w:rsidRPr="004F0A8F" w:rsidRDefault="007E1018" w:rsidP="00E960F1">
            <w:pPr>
              <w:pStyle w:val="Tabletext"/>
              <w:jc w:val="right"/>
            </w:pPr>
            <w:r w:rsidRPr="004F0A8F">
              <w:t>46 000</w:t>
            </w:r>
          </w:p>
        </w:tc>
        <w:tc>
          <w:tcPr>
            <w:tcW w:w="1134" w:type="dxa"/>
            <w:vAlign w:val="center"/>
          </w:tcPr>
          <w:p w:rsidR="007E1018" w:rsidRPr="004F0A8F" w:rsidRDefault="007E1018" w:rsidP="00E960F1">
            <w:pPr>
              <w:pStyle w:val="Tabletext"/>
              <w:jc w:val="right"/>
            </w:pPr>
            <w:r w:rsidRPr="004F0A8F">
              <w:t>188 000</w:t>
            </w:r>
          </w:p>
        </w:tc>
        <w:tc>
          <w:tcPr>
            <w:tcW w:w="1161" w:type="dxa"/>
            <w:vAlign w:val="center"/>
          </w:tcPr>
          <w:p w:rsidR="007E1018" w:rsidRPr="004F0A8F" w:rsidRDefault="007E1018" w:rsidP="00E960F1">
            <w:pPr>
              <w:pStyle w:val="Tabletext"/>
              <w:jc w:val="right"/>
            </w:pPr>
            <w:r w:rsidRPr="004F0A8F">
              <w:t>206 000</w:t>
            </w:r>
          </w:p>
        </w:tc>
        <w:tc>
          <w:tcPr>
            <w:tcW w:w="1150" w:type="dxa"/>
            <w:vAlign w:val="center"/>
          </w:tcPr>
          <w:p w:rsidR="007E1018" w:rsidRPr="004F0A8F" w:rsidRDefault="007E1018" w:rsidP="00E960F1">
            <w:pPr>
              <w:pStyle w:val="Tabletext"/>
              <w:jc w:val="right"/>
            </w:pPr>
            <w:r w:rsidRPr="004F0A8F">
              <w:t>35 000</w:t>
            </w:r>
          </w:p>
        </w:tc>
        <w:tc>
          <w:tcPr>
            <w:tcW w:w="1134" w:type="dxa"/>
            <w:vAlign w:val="center"/>
          </w:tcPr>
          <w:p w:rsidR="007E1018" w:rsidRPr="004F0A8F" w:rsidRDefault="007E1018" w:rsidP="00E960F1">
            <w:pPr>
              <w:pStyle w:val="Tabletext"/>
              <w:jc w:val="right"/>
            </w:pPr>
            <w:r w:rsidRPr="004F0A8F">
              <w:t>240 000</w:t>
            </w:r>
          </w:p>
        </w:tc>
      </w:tr>
      <w:tr w:rsidR="007E1018" w:rsidRPr="004F0A8F" w:rsidTr="00E960F1">
        <w:tc>
          <w:tcPr>
            <w:tcW w:w="3402" w:type="dxa"/>
          </w:tcPr>
          <w:p w:rsidR="007E1018" w:rsidRPr="004F0A8F" w:rsidRDefault="007E1018" w:rsidP="00C94930">
            <w:pPr>
              <w:rPr>
                <w:rFonts w:ascii="Arial" w:hAnsi="Arial" w:cs="Arial"/>
                <w:sz w:val="20"/>
                <w:szCs w:val="20"/>
              </w:rPr>
            </w:pPr>
            <w:r w:rsidRPr="004F0A8F">
              <w:rPr>
                <w:rFonts w:ascii="Arial" w:hAnsi="Arial" w:cs="Arial"/>
                <w:sz w:val="20"/>
                <w:szCs w:val="20"/>
              </w:rPr>
              <w:t>Heavy &amp; civil engineering construction</w:t>
            </w:r>
          </w:p>
        </w:tc>
        <w:tc>
          <w:tcPr>
            <w:tcW w:w="1239" w:type="dxa"/>
            <w:vAlign w:val="center"/>
          </w:tcPr>
          <w:p w:rsidR="007E1018" w:rsidRPr="004F0A8F" w:rsidRDefault="007E1018" w:rsidP="00E960F1">
            <w:pPr>
              <w:pStyle w:val="Tabletext"/>
              <w:jc w:val="right"/>
            </w:pPr>
            <w:r w:rsidRPr="004F0A8F">
              <w:t>44 000</w:t>
            </w:r>
          </w:p>
        </w:tc>
        <w:tc>
          <w:tcPr>
            <w:tcW w:w="1150" w:type="dxa"/>
            <w:vAlign w:val="center"/>
          </w:tcPr>
          <w:p w:rsidR="007E1018" w:rsidRPr="004F0A8F" w:rsidRDefault="007E1018" w:rsidP="00E960F1">
            <w:pPr>
              <w:pStyle w:val="Tabletext"/>
              <w:jc w:val="right"/>
            </w:pPr>
            <w:r w:rsidRPr="004F0A8F">
              <w:t>3 000</w:t>
            </w:r>
          </w:p>
        </w:tc>
        <w:tc>
          <w:tcPr>
            <w:tcW w:w="1134" w:type="dxa"/>
            <w:vAlign w:val="center"/>
          </w:tcPr>
          <w:p w:rsidR="007E1018" w:rsidRPr="004F0A8F" w:rsidRDefault="007E1018" w:rsidP="00E960F1">
            <w:pPr>
              <w:pStyle w:val="Tabletext"/>
              <w:jc w:val="right"/>
            </w:pPr>
            <w:r w:rsidRPr="004F0A8F">
              <w:t>47 000</w:t>
            </w:r>
          </w:p>
        </w:tc>
        <w:tc>
          <w:tcPr>
            <w:tcW w:w="1161" w:type="dxa"/>
            <w:vAlign w:val="center"/>
          </w:tcPr>
          <w:p w:rsidR="007E1018" w:rsidRPr="004F0A8F" w:rsidRDefault="007E1018" w:rsidP="00E960F1">
            <w:pPr>
              <w:pStyle w:val="Tabletext"/>
              <w:jc w:val="right"/>
            </w:pPr>
            <w:r w:rsidRPr="004F0A8F">
              <w:t>78 000</w:t>
            </w:r>
          </w:p>
        </w:tc>
        <w:tc>
          <w:tcPr>
            <w:tcW w:w="1150" w:type="dxa"/>
            <w:vAlign w:val="center"/>
          </w:tcPr>
          <w:p w:rsidR="007E1018" w:rsidRPr="004F0A8F" w:rsidRDefault="007E1018" w:rsidP="00E960F1">
            <w:pPr>
              <w:pStyle w:val="Tabletext"/>
              <w:jc w:val="right"/>
            </w:pPr>
            <w:r w:rsidRPr="004F0A8F">
              <w:t>2 000</w:t>
            </w:r>
          </w:p>
        </w:tc>
        <w:tc>
          <w:tcPr>
            <w:tcW w:w="1134" w:type="dxa"/>
            <w:vAlign w:val="center"/>
          </w:tcPr>
          <w:p w:rsidR="007E1018" w:rsidRPr="004F0A8F" w:rsidRDefault="007E1018" w:rsidP="00E960F1">
            <w:pPr>
              <w:pStyle w:val="Tabletext"/>
              <w:jc w:val="right"/>
            </w:pPr>
            <w:r w:rsidRPr="004F0A8F">
              <w:t>79 000</w:t>
            </w:r>
          </w:p>
        </w:tc>
      </w:tr>
      <w:tr w:rsidR="007E1018" w:rsidRPr="004F0A8F" w:rsidTr="00E960F1">
        <w:tc>
          <w:tcPr>
            <w:tcW w:w="3402" w:type="dxa"/>
          </w:tcPr>
          <w:p w:rsidR="007E1018" w:rsidRPr="004F0A8F" w:rsidRDefault="007E1018" w:rsidP="004F0A8F">
            <w:pPr>
              <w:pStyle w:val="Tablerowheadings"/>
            </w:pPr>
            <w:r w:rsidRPr="004F0A8F">
              <w:t>Total</w:t>
            </w:r>
          </w:p>
        </w:tc>
        <w:tc>
          <w:tcPr>
            <w:tcW w:w="1239" w:type="dxa"/>
            <w:vAlign w:val="center"/>
          </w:tcPr>
          <w:p w:rsidR="007E1018" w:rsidRPr="004F0A8F" w:rsidRDefault="007E1018" w:rsidP="00E960F1">
            <w:pPr>
              <w:pStyle w:val="Tabletext"/>
              <w:jc w:val="right"/>
            </w:pPr>
            <w:r w:rsidRPr="004F0A8F">
              <w:t>497 000</w:t>
            </w:r>
          </w:p>
        </w:tc>
        <w:tc>
          <w:tcPr>
            <w:tcW w:w="1150" w:type="dxa"/>
            <w:vAlign w:val="center"/>
          </w:tcPr>
          <w:p w:rsidR="007E1018" w:rsidRPr="004F0A8F" w:rsidRDefault="007E1018" w:rsidP="00E960F1">
            <w:pPr>
              <w:pStyle w:val="Tabletext"/>
              <w:jc w:val="right"/>
            </w:pPr>
            <w:r w:rsidRPr="004F0A8F">
              <w:t>257 000</w:t>
            </w:r>
          </w:p>
        </w:tc>
        <w:tc>
          <w:tcPr>
            <w:tcW w:w="1134" w:type="dxa"/>
            <w:vAlign w:val="center"/>
          </w:tcPr>
          <w:p w:rsidR="007E1018" w:rsidRPr="004F0A8F" w:rsidRDefault="007E1018" w:rsidP="00E960F1">
            <w:pPr>
              <w:pStyle w:val="Tabletext"/>
              <w:jc w:val="right"/>
            </w:pPr>
            <w:r w:rsidRPr="004F0A8F">
              <w:t>754 000</w:t>
            </w:r>
          </w:p>
        </w:tc>
        <w:tc>
          <w:tcPr>
            <w:tcW w:w="1161" w:type="dxa"/>
            <w:vAlign w:val="center"/>
          </w:tcPr>
          <w:p w:rsidR="007E1018" w:rsidRPr="004F0A8F" w:rsidRDefault="007E1018" w:rsidP="00E960F1">
            <w:pPr>
              <w:pStyle w:val="Tabletext"/>
              <w:jc w:val="right"/>
            </w:pPr>
            <w:r w:rsidRPr="004F0A8F">
              <w:t>783 000</w:t>
            </w:r>
          </w:p>
        </w:tc>
        <w:tc>
          <w:tcPr>
            <w:tcW w:w="1150" w:type="dxa"/>
            <w:vAlign w:val="center"/>
          </w:tcPr>
          <w:p w:rsidR="007E1018" w:rsidRPr="004F0A8F" w:rsidRDefault="007E1018" w:rsidP="00E960F1">
            <w:pPr>
              <w:pStyle w:val="Tabletext"/>
              <w:jc w:val="right"/>
            </w:pPr>
            <w:r w:rsidRPr="004F0A8F">
              <w:t>248 000</w:t>
            </w:r>
          </w:p>
        </w:tc>
        <w:tc>
          <w:tcPr>
            <w:tcW w:w="1134" w:type="dxa"/>
            <w:vAlign w:val="center"/>
          </w:tcPr>
          <w:p w:rsidR="007E1018" w:rsidRPr="004F0A8F" w:rsidRDefault="007E1018" w:rsidP="00E960F1">
            <w:pPr>
              <w:pStyle w:val="Tabletext"/>
              <w:jc w:val="right"/>
            </w:pPr>
            <w:r w:rsidRPr="004F0A8F">
              <w:t>1 030 000</w:t>
            </w:r>
          </w:p>
        </w:tc>
      </w:tr>
      <w:tr w:rsidR="007E1018" w:rsidRPr="004F0A8F" w:rsidTr="00E960F1">
        <w:tc>
          <w:tcPr>
            <w:tcW w:w="10370" w:type="dxa"/>
            <w:gridSpan w:val="7"/>
            <w:vAlign w:val="center"/>
          </w:tcPr>
          <w:p w:rsidR="007E1018" w:rsidRPr="004F0A8F" w:rsidRDefault="00775FF2" w:rsidP="00775FF2">
            <w:pPr>
              <w:pStyle w:val="Tabletext"/>
            </w:pPr>
            <w:r>
              <w:t>Percentage</w:t>
            </w:r>
          </w:p>
        </w:tc>
      </w:tr>
      <w:tr w:rsidR="007E1018" w:rsidRPr="004F0A8F" w:rsidTr="00E960F1">
        <w:tc>
          <w:tcPr>
            <w:tcW w:w="3402" w:type="dxa"/>
          </w:tcPr>
          <w:p w:rsidR="007E1018" w:rsidRPr="004F0A8F" w:rsidRDefault="007E1018" w:rsidP="00C94930">
            <w:pPr>
              <w:rPr>
                <w:rFonts w:ascii="Arial" w:hAnsi="Arial" w:cs="Arial"/>
                <w:sz w:val="20"/>
                <w:szCs w:val="20"/>
              </w:rPr>
            </w:pPr>
            <w:r w:rsidRPr="004F0A8F">
              <w:rPr>
                <w:rFonts w:ascii="Arial" w:hAnsi="Arial" w:cs="Arial"/>
                <w:sz w:val="20"/>
                <w:szCs w:val="20"/>
              </w:rPr>
              <w:t>Construction services</w:t>
            </w:r>
          </w:p>
        </w:tc>
        <w:tc>
          <w:tcPr>
            <w:tcW w:w="1239" w:type="dxa"/>
            <w:vAlign w:val="center"/>
          </w:tcPr>
          <w:p w:rsidR="007E1018" w:rsidRPr="004F0A8F" w:rsidRDefault="007E1018" w:rsidP="00E960F1">
            <w:pPr>
              <w:pStyle w:val="Tabletext"/>
              <w:jc w:val="right"/>
            </w:pPr>
            <w:r w:rsidRPr="004F0A8F">
              <w:t>60%</w:t>
            </w:r>
          </w:p>
        </w:tc>
        <w:tc>
          <w:tcPr>
            <w:tcW w:w="1150" w:type="dxa"/>
            <w:vAlign w:val="center"/>
          </w:tcPr>
          <w:p w:rsidR="007E1018" w:rsidRPr="004F0A8F" w:rsidRDefault="007E1018" w:rsidP="00E960F1">
            <w:pPr>
              <w:pStyle w:val="Tabletext"/>
              <w:jc w:val="right"/>
            </w:pPr>
            <w:r w:rsidRPr="004F0A8F">
              <w:t>40%</w:t>
            </w:r>
          </w:p>
        </w:tc>
        <w:tc>
          <w:tcPr>
            <w:tcW w:w="1134" w:type="dxa"/>
            <w:vAlign w:val="center"/>
          </w:tcPr>
          <w:p w:rsidR="007E1018" w:rsidRPr="004F0A8F" w:rsidRDefault="007E1018" w:rsidP="00E960F1">
            <w:pPr>
              <w:pStyle w:val="Tabletext"/>
              <w:jc w:val="right"/>
            </w:pPr>
            <w:r w:rsidRPr="004F0A8F">
              <w:t>100%</w:t>
            </w:r>
          </w:p>
        </w:tc>
        <w:tc>
          <w:tcPr>
            <w:tcW w:w="1161" w:type="dxa"/>
            <w:vAlign w:val="center"/>
          </w:tcPr>
          <w:p w:rsidR="007E1018" w:rsidRPr="004F0A8F" w:rsidRDefault="007E1018" w:rsidP="00E960F1">
            <w:pPr>
              <w:pStyle w:val="Tabletext"/>
              <w:jc w:val="right"/>
            </w:pPr>
            <w:r w:rsidRPr="004F0A8F">
              <w:t>70%</w:t>
            </w:r>
          </w:p>
        </w:tc>
        <w:tc>
          <w:tcPr>
            <w:tcW w:w="1150" w:type="dxa"/>
            <w:vAlign w:val="center"/>
          </w:tcPr>
          <w:p w:rsidR="007E1018" w:rsidRPr="004F0A8F" w:rsidRDefault="007E1018" w:rsidP="00E960F1">
            <w:pPr>
              <w:pStyle w:val="Tabletext"/>
              <w:jc w:val="right"/>
            </w:pPr>
            <w:r w:rsidRPr="004F0A8F">
              <w:t>30%</w:t>
            </w:r>
          </w:p>
        </w:tc>
        <w:tc>
          <w:tcPr>
            <w:tcW w:w="1134" w:type="dxa"/>
            <w:vAlign w:val="center"/>
          </w:tcPr>
          <w:p w:rsidR="007E1018" w:rsidRPr="004F0A8F" w:rsidRDefault="007E1018" w:rsidP="00E960F1">
            <w:pPr>
              <w:pStyle w:val="Tabletext"/>
              <w:jc w:val="right"/>
            </w:pPr>
            <w:r w:rsidRPr="004F0A8F">
              <w:t>100%</w:t>
            </w:r>
          </w:p>
        </w:tc>
      </w:tr>
      <w:tr w:rsidR="007E1018" w:rsidRPr="004F0A8F" w:rsidTr="00E960F1">
        <w:tc>
          <w:tcPr>
            <w:tcW w:w="3402" w:type="dxa"/>
          </w:tcPr>
          <w:p w:rsidR="007E1018" w:rsidRPr="004F0A8F" w:rsidRDefault="007E1018" w:rsidP="00C94930">
            <w:pPr>
              <w:rPr>
                <w:rFonts w:ascii="Arial" w:hAnsi="Arial" w:cs="Arial"/>
                <w:sz w:val="20"/>
                <w:szCs w:val="20"/>
              </w:rPr>
            </w:pPr>
            <w:r w:rsidRPr="004F0A8F">
              <w:rPr>
                <w:rFonts w:ascii="Arial" w:hAnsi="Arial" w:cs="Arial"/>
                <w:sz w:val="20"/>
                <w:szCs w:val="20"/>
              </w:rPr>
              <w:t>Building construction</w:t>
            </w:r>
          </w:p>
        </w:tc>
        <w:tc>
          <w:tcPr>
            <w:tcW w:w="1239" w:type="dxa"/>
            <w:vAlign w:val="center"/>
          </w:tcPr>
          <w:p w:rsidR="007E1018" w:rsidRPr="004F0A8F" w:rsidRDefault="007E1018" w:rsidP="00E960F1">
            <w:pPr>
              <w:pStyle w:val="Tabletext"/>
              <w:jc w:val="right"/>
            </w:pPr>
            <w:r w:rsidRPr="004F0A8F">
              <w:t>76%</w:t>
            </w:r>
          </w:p>
        </w:tc>
        <w:tc>
          <w:tcPr>
            <w:tcW w:w="1150" w:type="dxa"/>
            <w:vAlign w:val="center"/>
          </w:tcPr>
          <w:p w:rsidR="007E1018" w:rsidRPr="004F0A8F" w:rsidRDefault="007E1018" w:rsidP="00E960F1">
            <w:pPr>
              <w:pStyle w:val="Tabletext"/>
              <w:jc w:val="right"/>
            </w:pPr>
            <w:r w:rsidRPr="004F0A8F">
              <w:t>24%</w:t>
            </w:r>
          </w:p>
        </w:tc>
        <w:tc>
          <w:tcPr>
            <w:tcW w:w="1134" w:type="dxa"/>
            <w:vAlign w:val="center"/>
          </w:tcPr>
          <w:p w:rsidR="007E1018" w:rsidRPr="004F0A8F" w:rsidRDefault="007E1018" w:rsidP="00E960F1">
            <w:pPr>
              <w:pStyle w:val="Tabletext"/>
              <w:jc w:val="right"/>
            </w:pPr>
            <w:r w:rsidRPr="004F0A8F">
              <w:t>100%</w:t>
            </w:r>
          </w:p>
        </w:tc>
        <w:tc>
          <w:tcPr>
            <w:tcW w:w="1161" w:type="dxa"/>
            <w:vAlign w:val="center"/>
          </w:tcPr>
          <w:p w:rsidR="007E1018" w:rsidRPr="004F0A8F" w:rsidRDefault="007E1018" w:rsidP="00E960F1">
            <w:pPr>
              <w:pStyle w:val="Tabletext"/>
              <w:jc w:val="right"/>
            </w:pPr>
            <w:r w:rsidRPr="004F0A8F">
              <w:t>86%</w:t>
            </w:r>
          </w:p>
        </w:tc>
        <w:tc>
          <w:tcPr>
            <w:tcW w:w="1150" w:type="dxa"/>
            <w:vAlign w:val="center"/>
          </w:tcPr>
          <w:p w:rsidR="007E1018" w:rsidRPr="004F0A8F" w:rsidRDefault="007E1018" w:rsidP="00E960F1">
            <w:pPr>
              <w:pStyle w:val="Tabletext"/>
              <w:jc w:val="right"/>
            </w:pPr>
            <w:r w:rsidRPr="004F0A8F">
              <w:t>14%</w:t>
            </w:r>
          </w:p>
        </w:tc>
        <w:tc>
          <w:tcPr>
            <w:tcW w:w="1134" w:type="dxa"/>
            <w:vAlign w:val="center"/>
          </w:tcPr>
          <w:p w:rsidR="007E1018" w:rsidRPr="004F0A8F" w:rsidRDefault="007E1018" w:rsidP="00E960F1">
            <w:pPr>
              <w:pStyle w:val="Tabletext"/>
              <w:jc w:val="right"/>
            </w:pPr>
            <w:r w:rsidRPr="004F0A8F">
              <w:t>100%</w:t>
            </w:r>
          </w:p>
        </w:tc>
      </w:tr>
      <w:tr w:rsidR="007E1018" w:rsidRPr="004F0A8F" w:rsidTr="00E960F1">
        <w:tc>
          <w:tcPr>
            <w:tcW w:w="3402" w:type="dxa"/>
          </w:tcPr>
          <w:p w:rsidR="007E1018" w:rsidRPr="004F0A8F" w:rsidRDefault="007E1018" w:rsidP="00C94930">
            <w:pPr>
              <w:rPr>
                <w:rFonts w:ascii="Arial" w:hAnsi="Arial" w:cs="Arial"/>
                <w:sz w:val="20"/>
                <w:szCs w:val="20"/>
              </w:rPr>
            </w:pPr>
            <w:r w:rsidRPr="004F0A8F">
              <w:rPr>
                <w:rFonts w:ascii="Arial" w:hAnsi="Arial" w:cs="Arial"/>
                <w:sz w:val="20"/>
                <w:szCs w:val="20"/>
              </w:rPr>
              <w:t>Heavy &amp; civil engineering construction</w:t>
            </w:r>
          </w:p>
        </w:tc>
        <w:tc>
          <w:tcPr>
            <w:tcW w:w="1239" w:type="dxa"/>
            <w:vAlign w:val="center"/>
          </w:tcPr>
          <w:p w:rsidR="007E1018" w:rsidRPr="004F0A8F" w:rsidRDefault="007E1018" w:rsidP="00E960F1">
            <w:pPr>
              <w:pStyle w:val="Tabletext"/>
              <w:jc w:val="right"/>
            </w:pPr>
            <w:r w:rsidRPr="004F0A8F">
              <w:t>94%</w:t>
            </w:r>
          </w:p>
        </w:tc>
        <w:tc>
          <w:tcPr>
            <w:tcW w:w="1150" w:type="dxa"/>
            <w:vAlign w:val="center"/>
          </w:tcPr>
          <w:p w:rsidR="007E1018" w:rsidRPr="004F0A8F" w:rsidRDefault="007E1018" w:rsidP="00E960F1">
            <w:pPr>
              <w:pStyle w:val="Tabletext"/>
              <w:jc w:val="right"/>
            </w:pPr>
            <w:r w:rsidRPr="004F0A8F">
              <w:t>6%</w:t>
            </w:r>
          </w:p>
        </w:tc>
        <w:tc>
          <w:tcPr>
            <w:tcW w:w="1134" w:type="dxa"/>
            <w:vAlign w:val="center"/>
          </w:tcPr>
          <w:p w:rsidR="007E1018" w:rsidRPr="004F0A8F" w:rsidRDefault="007E1018" w:rsidP="00E960F1">
            <w:pPr>
              <w:pStyle w:val="Tabletext"/>
              <w:jc w:val="right"/>
            </w:pPr>
            <w:r w:rsidRPr="004F0A8F">
              <w:t>100%</w:t>
            </w:r>
          </w:p>
        </w:tc>
        <w:tc>
          <w:tcPr>
            <w:tcW w:w="1161" w:type="dxa"/>
            <w:vAlign w:val="center"/>
          </w:tcPr>
          <w:p w:rsidR="007E1018" w:rsidRPr="004F0A8F" w:rsidRDefault="007E1018" w:rsidP="00E960F1">
            <w:pPr>
              <w:pStyle w:val="Tabletext"/>
              <w:jc w:val="right"/>
            </w:pPr>
            <w:r w:rsidRPr="004F0A8F">
              <w:t>98%</w:t>
            </w:r>
          </w:p>
        </w:tc>
        <w:tc>
          <w:tcPr>
            <w:tcW w:w="1150" w:type="dxa"/>
            <w:vAlign w:val="center"/>
          </w:tcPr>
          <w:p w:rsidR="007E1018" w:rsidRPr="004F0A8F" w:rsidRDefault="007E1018" w:rsidP="00E960F1">
            <w:pPr>
              <w:pStyle w:val="Tabletext"/>
              <w:jc w:val="right"/>
            </w:pPr>
            <w:r w:rsidRPr="004F0A8F">
              <w:t>2%</w:t>
            </w:r>
          </w:p>
        </w:tc>
        <w:tc>
          <w:tcPr>
            <w:tcW w:w="1134" w:type="dxa"/>
            <w:vAlign w:val="center"/>
          </w:tcPr>
          <w:p w:rsidR="007E1018" w:rsidRPr="004F0A8F" w:rsidRDefault="007E1018" w:rsidP="00E960F1">
            <w:pPr>
              <w:pStyle w:val="Tabletext"/>
              <w:jc w:val="right"/>
            </w:pPr>
            <w:r w:rsidRPr="004F0A8F">
              <w:t>100%</w:t>
            </w:r>
          </w:p>
        </w:tc>
      </w:tr>
      <w:tr w:rsidR="007E1018" w:rsidRPr="004F0A8F" w:rsidTr="00E960F1">
        <w:tc>
          <w:tcPr>
            <w:tcW w:w="3402" w:type="dxa"/>
          </w:tcPr>
          <w:p w:rsidR="007E1018" w:rsidRPr="004F0A8F" w:rsidRDefault="007E1018" w:rsidP="004F0A8F">
            <w:pPr>
              <w:pStyle w:val="Tablerowheadings"/>
            </w:pPr>
            <w:r w:rsidRPr="004F0A8F">
              <w:t>Total</w:t>
            </w:r>
          </w:p>
        </w:tc>
        <w:tc>
          <w:tcPr>
            <w:tcW w:w="1239" w:type="dxa"/>
            <w:vAlign w:val="center"/>
          </w:tcPr>
          <w:p w:rsidR="007E1018" w:rsidRPr="004F0A8F" w:rsidRDefault="007E1018" w:rsidP="00E960F1">
            <w:pPr>
              <w:pStyle w:val="Tabletext"/>
              <w:jc w:val="right"/>
            </w:pPr>
            <w:r w:rsidRPr="004F0A8F">
              <w:t>66%</w:t>
            </w:r>
          </w:p>
        </w:tc>
        <w:tc>
          <w:tcPr>
            <w:tcW w:w="1150" w:type="dxa"/>
            <w:vAlign w:val="center"/>
          </w:tcPr>
          <w:p w:rsidR="007E1018" w:rsidRPr="004F0A8F" w:rsidRDefault="007E1018" w:rsidP="00E960F1">
            <w:pPr>
              <w:pStyle w:val="Tabletext"/>
              <w:jc w:val="right"/>
            </w:pPr>
            <w:r w:rsidRPr="004F0A8F">
              <w:t>34%</w:t>
            </w:r>
          </w:p>
        </w:tc>
        <w:tc>
          <w:tcPr>
            <w:tcW w:w="1134" w:type="dxa"/>
            <w:vAlign w:val="center"/>
          </w:tcPr>
          <w:p w:rsidR="007E1018" w:rsidRPr="004F0A8F" w:rsidRDefault="007E1018" w:rsidP="00E960F1">
            <w:pPr>
              <w:pStyle w:val="Tabletext"/>
              <w:jc w:val="right"/>
            </w:pPr>
            <w:r w:rsidRPr="004F0A8F">
              <w:t>100%</w:t>
            </w:r>
          </w:p>
        </w:tc>
        <w:tc>
          <w:tcPr>
            <w:tcW w:w="1161" w:type="dxa"/>
            <w:vAlign w:val="center"/>
          </w:tcPr>
          <w:p w:rsidR="007E1018" w:rsidRPr="004F0A8F" w:rsidRDefault="007E1018" w:rsidP="00E960F1">
            <w:pPr>
              <w:pStyle w:val="Tabletext"/>
              <w:jc w:val="right"/>
            </w:pPr>
            <w:r w:rsidRPr="004F0A8F">
              <w:t>76%</w:t>
            </w:r>
          </w:p>
        </w:tc>
        <w:tc>
          <w:tcPr>
            <w:tcW w:w="1150" w:type="dxa"/>
            <w:vAlign w:val="center"/>
          </w:tcPr>
          <w:p w:rsidR="007E1018" w:rsidRPr="004F0A8F" w:rsidRDefault="007E1018" w:rsidP="00E960F1">
            <w:pPr>
              <w:pStyle w:val="Tabletext"/>
              <w:jc w:val="right"/>
            </w:pPr>
            <w:r w:rsidRPr="004F0A8F">
              <w:t>24%</w:t>
            </w:r>
          </w:p>
        </w:tc>
        <w:tc>
          <w:tcPr>
            <w:tcW w:w="1134" w:type="dxa"/>
            <w:vAlign w:val="center"/>
          </w:tcPr>
          <w:p w:rsidR="007E1018" w:rsidRPr="004F0A8F" w:rsidRDefault="007E1018" w:rsidP="00E960F1">
            <w:pPr>
              <w:pStyle w:val="Tabletext"/>
              <w:jc w:val="right"/>
            </w:pPr>
            <w:r w:rsidRPr="004F0A8F">
              <w:t>100%</w:t>
            </w:r>
          </w:p>
        </w:tc>
      </w:tr>
    </w:tbl>
    <w:p w:rsidR="00F66D81" w:rsidRDefault="00F66D81" w:rsidP="00F66D81">
      <w:pPr>
        <w:pStyle w:val="BasicParagraph"/>
        <w:rPr>
          <w:rFonts w:ascii="Myriad Pro" w:hAnsi="Myriad Pro" w:cs="Myriad Pro"/>
          <w:szCs w:val="22"/>
          <w:lang w:val="en-US"/>
        </w:rPr>
      </w:pPr>
    </w:p>
    <w:p w:rsidR="004F0A8F" w:rsidRDefault="004F0A8F">
      <w:pPr>
        <w:rPr>
          <w:rFonts w:ascii="Arial" w:eastAsiaTheme="majorEastAsia" w:hAnsi="Arial" w:cstheme="majorBidi"/>
          <w:b/>
          <w:bCs/>
          <w:color w:val="0070C0"/>
          <w:sz w:val="36"/>
          <w:szCs w:val="26"/>
        </w:rPr>
      </w:pPr>
      <w:r>
        <w:br w:type="page"/>
      </w:r>
    </w:p>
    <w:p w:rsidR="00F66D81" w:rsidRPr="00736F1C" w:rsidRDefault="00C47A24" w:rsidP="00257F90">
      <w:pPr>
        <w:pStyle w:val="Heading2"/>
      </w:pPr>
      <w:bookmarkStart w:id="8" w:name="_Toc427590839"/>
      <w:r w:rsidRPr="00736F1C">
        <w:t>Worker profile by age</w:t>
      </w:r>
      <w:bookmarkEnd w:id="8"/>
    </w:p>
    <w:p w:rsidR="00C95D45" w:rsidRPr="00C95D45" w:rsidRDefault="00C95D45" w:rsidP="00513A50">
      <w:pPr>
        <w:pStyle w:val="BodyText1"/>
      </w:pPr>
      <w:r w:rsidRPr="00C95D45">
        <w:t>Table 3 shows the increase in employment has been reflected across all age groups with the 65 years &amp; over age group recording the largest percentage increase (167%) followed by the 55–64 years age group (69%). Despite these large increases these age groups only accounted for 2% and 12% of construction workers in 2013 respectively.</w:t>
      </w:r>
    </w:p>
    <w:p w:rsidR="00C95D45" w:rsidRPr="00C95D45" w:rsidRDefault="00C95D45" w:rsidP="00513A50">
      <w:pPr>
        <w:pStyle w:val="BodyText1"/>
      </w:pPr>
      <w:r w:rsidRPr="00C95D45">
        <w:t>The age group with the highest proportion of workers (26%) is the 25–34 years age group. The number of workers in this age group increased 40% over the 2003 to 2013 period.</w:t>
      </w:r>
    </w:p>
    <w:p w:rsidR="00C95D45" w:rsidRDefault="00C95D45" w:rsidP="00EF0177">
      <w:pPr>
        <w:pStyle w:val="Tableheading"/>
      </w:pPr>
      <w:r>
        <w:t>T</w:t>
      </w:r>
      <w:r w:rsidR="00EF0177">
        <w:t>able</w:t>
      </w:r>
      <w:r>
        <w:t xml:space="preserve"> 3: Construction workers: number and percentage by age group, 2003 and 2013</w:t>
      </w:r>
    </w:p>
    <w:tbl>
      <w:tblPr>
        <w:tblStyle w:val="TableGrid"/>
        <w:tblW w:w="0" w:type="auto"/>
        <w:tblLook w:val="04A0" w:firstRow="1" w:lastRow="0" w:firstColumn="1" w:lastColumn="0" w:noHBand="0" w:noVBand="1"/>
        <w:tblCaption w:val="Table 3: Construction workers: number and percentage by age group, 2003 and 2013"/>
        <w:tblDescription w:val="Table 3 shows the increase in employment has been reflected across all age groups with the 65 years &amp; over age group recording the largest percentage increase (167%) followed by the 55–64 years age group (69%)."/>
      </w:tblPr>
      <w:tblGrid>
        <w:gridCol w:w="3118"/>
        <w:gridCol w:w="1335"/>
        <w:gridCol w:w="1335"/>
        <w:gridCol w:w="1335"/>
        <w:gridCol w:w="1335"/>
        <w:gridCol w:w="1336"/>
        <w:gridCol w:w="81"/>
      </w:tblGrid>
      <w:tr w:rsidR="005A1BD9" w:rsidRPr="00EF0177" w:rsidTr="00715413">
        <w:trPr>
          <w:gridAfter w:val="1"/>
          <w:wAfter w:w="81" w:type="dxa"/>
          <w:tblHeader/>
        </w:trPr>
        <w:tc>
          <w:tcPr>
            <w:tcW w:w="3118" w:type="dxa"/>
          </w:tcPr>
          <w:p w:rsidR="005A1BD9" w:rsidRPr="00EF0177" w:rsidRDefault="005A1BD9" w:rsidP="00EF0177">
            <w:pPr>
              <w:pStyle w:val="Tableheaderrow"/>
            </w:pPr>
          </w:p>
        </w:tc>
        <w:tc>
          <w:tcPr>
            <w:tcW w:w="2670" w:type="dxa"/>
            <w:gridSpan w:val="2"/>
            <w:vAlign w:val="bottom"/>
          </w:tcPr>
          <w:p w:rsidR="005A1BD9" w:rsidRPr="00EF0177" w:rsidRDefault="005A1BD9" w:rsidP="00E22A92">
            <w:pPr>
              <w:pStyle w:val="Tableheaderrow"/>
            </w:pPr>
            <w:r>
              <w:t>No. of workers</w:t>
            </w:r>
          </w:p>
        </w:tc>
        <w:tc>
          <w:tcPr>
            <w:tcW w:w="2670" w:type="dxa"/>
            <w:gridSpan w:val="2"/>
            <w:vAlign w:val="bottom"/>
          </w:tcPr>
          <w:p w:rsidR="005A1BD9" w:rsidRPr="00EF0177" w:rsidRDefault="005A1BD9" w:rsidP="00E22A92">
            <w:pPr>
              <w:pStyle w:val="Tableheaderrow"/>
            </w:pPr>
            <w:r>
              <w:t>% of industry</w:t>
            </w:r>
          </w:p>
        </w:tc>
        <w:tc>
          <w:tcPr>
            <w:tcW w:w="1336" w:type="dxa"/>
            <w:vAlign w:val="bottom"/>
          </w:tcPr>
          <w:p w:rsidR="005A1BD9" w:rsidRPr="00EF0177" w:rsidRDefault="005A1BD9" w:rsidP="00E22A92">
            <w:pPr>
              <w:pStyle w:val="Tableheaderrow"/>
              <w:jc w:val="right"/>
            </w:pPr>
            <w:r>
              <w:t>% change</w:t>
            </w:r>
          </w:p>
        </w:tc>
      </w:tr>
      <w:tr w:rsidR="005A1BD9" w:rsidRPr="00EF0177" w:rsidTr="00715413">
        <w:trPr>
          <w:tblHeader/>
        </w:trPr>
        <w:tc>
          <w:tcPr>
            <w:tcW w:w="3118" w:type="dxa"/>
            <w:vAlign w:val="center"/>
          </w:tcPr>
          <w:p w:rsidR="005A1BD9" w:rsidRPr="00EF0177" w:rsidRDefault="005A1BD9" w:rsidP="00EF0177">
            <w:pPr>
              <w:pStyle w:val="Tableheaderrow"/>
              <w:jc w:val="left"/>
            </w:pPr>
            <w:r>
              <w:t>Age group</w:t>
            </w:r>
          </w:p>
        </w:tc>
        <w:tc>
          <w:tcPr>
            <w:tcW w:w="1335" w:type="dxa"/>
            <w:vAlign w:val="center"/>
          </w:tcPr>
          <w:p w:rsidR="005A1BD9" w:rsidRPr="00EF0177" w:rsidRDefault="005A1BD9" w:rsidP="00E960F1">
            <w:pPr>
              <w:pStyle w:val="Tableheaderrow"/>
              <w:jc w:val="right"/>
            </w:pPr>
            <w:r>
              <w:t>2003</w:t>
            </w:r>
          </w:p>
        </w:tc>
        <w:tc>
          <w:tcPr>
            <w:tcW w:w="1335" w:type="dxa"/>
            <w:vAlign w:val="center"/>
          </w:tcPr>
          <w:p w:rsidR="005A1BD9" w:rsidRPr="00EF0177" w:rsidRDefault="005A1BD9" w:rsidP="00E960F1">
            <w:pPr>
              <w:pStyle w:val="Tableheaderrow"/>
              <w:jc w:val="right"/>
            </w:pPr>
            <w:r>
              <w:t>2013</w:t>
            </w:r>
          </w:p>
        </w:tc>
        <w:tc>
          <w:tcPr>
            <w:tcW w:w="1335" w:type="dxa"/>
            <w:vAlign w:val="center"/>
          </w:tcPr>
          <w:p w:rsidR="005A1BD9" w:rsidRPr="00EF0177" w:rsidRDefault="005A1BD9" w:rsidP="00E960F1">
            <w:pPr>
              <w:pStyle w:val="Tableheaderrow"/>
              <w:jc w:val="right"/>
            </w:pPr>
            <w:r>
              <w:t>2003</w:t>
            </w:r>
          </w:p>
        </w:tc>
        <w:tc>
          <w:tcPr>
            <w:tcW w:w="1335" w:type="dxa"/>
            <w:vAlign w:val="center"/>
          </w:tcPr>
          <w:p w:rsidR="005A1BD9" w:rsidRPr="00EF0177" w:rsidRDefault="005A1BD9" w:rsidP="00E960F1">
            <w:pPr>
              <w:pStyle w:val="Tableheaderrow"/>
              <w:jc w:val="right"/>
            </w:pPr>
            <w:r>
              <w:t>2013</w:t>
            </w:r>
          </w:p>
        </w:tc>
        <w:tc>
          <w:tcPr>
            <w:tcW w:w="1417" w:type="dxa"/>
            <w:gridSpan w:val="2"/>
            <w:vAlign w:val="center"/>
          </w:tcPr>
          <w:p w:rsidR="005A1BD9" w:rsidRPr="00EF0177" w:rsidRDefault="005A1BD9" w:rsidP="00E960F1">
            <w:pPr>
              <w:pStyle w:val="Tableheaderrow"/>
              <w:jc w:val="right"/>
            </w:pPr>
            <w:r>
              <w:t xml:space="preserve">2003 to </w:t>
            </w:r>
            <w:r w:rsidR="007E1018">
              <w:t>20</w:t>
            </w:r>
            <w:r>
              <w:t>13</w:t>
            </w:r>
          </w:p>
        </w:tc>
      </w:tr>
      <w:tr w:rsidR="005A1BD9" w:rsidRPr="00E22A92" w:rsidTr="00E960F1">
        <w:tc>
          <w:tcPr>
            <w:tcW w:w="3118" w:type="dxa"/>
          </w:tcPr>
          <w:p w:rsidR="005A1BD9" w:rsidRPr="00E22A92" w:rsidRDefault="005A1BD9" w:rsidP="00E22A92">
            <w:pPr>
              <w:pStyle w:val="Tabletext"/>
            </w:pPr>
            <w:r w:rsidRPr="00E22A92">
              <w:t>Under 25 years</w:t>
            </w:r>
          </w:p>
        </w:tc>
        <w:tc>
          <w:tcPr>
            <w:tcW w:w="1335" w:type="dxa"/>
            <w:vAlign w:val="center"/>
          </w:tcPr>
          <w:p w:rsidR="005A1BD9" w:rsidRPr="00E22A92" w:rsidRDefault="005A1BD9" w:rsidP="00E960F1">
            <w:pPr>
              <w:pStyle w:val="Tabletext"/>
              <w:jc w:val="right"/>
            </w:pPr>
            <w:r w:rsidRPr="00E22A92">
              <w:t>130 000</w:t>
            </w:r>
          </w:p>
        </w:tc>
        <w:tc>
          <w:tcPr>
            <w:tcW w:w="1335" w:type="dxa"/>
            <w:vAlign w:val="center"/>
          </w:tcPr>
          <w:p w:rsidR="005A1BD9" w:rsidRPr="00E22A92" w:rsidRDefault="005A1BD9" w:rsidP="00E960F1">
            <w:pPr>
              <w:pStyle w:val="Tabletext"/>
              <w:jc w:val="right"/>
            </w:pPr>
            <w:r w:rsidRPr="00E22A92">
              <w:t>176 000</w:t>
            </w:r>
          </w:p>
        </w:tc>
        <w:tc>
          <w:tcPr>
            <w:tcW w:w="1335" w:type="dxa"/>
            <w:vAlign w:val="center"/>
          </w:tcPr>
          <w:p w:rsidR="005A1BD9" w:rsidRPr="00E22A92" w:rsidRDefault="005A1BD9" w:rsidP="00E960F1">
            <w:pPr>
              <w:pStyle w:val="Tabletext"/>
              <w:jc w:val="right"/>
            </w:pPr>
            <w:r w:rsidRPr="00E22A92">
              <w:t>17%</w:t>
            </w:r>
          </w:p>
        </w:tc>
        <w:tc>
          <w:tcPr>
            <w:tcW w:w="1335" w:type="dxa"/>
            <w:vAlign w:val="center"/>
          </w:tcPr>
          <w:p w:rsidR="005A1BD9" w:rsidRPr="00E22A92" w:rsidRDefault="005A1BD9" w:rsidP="00E960F1">
            <w:pPr>
              <w:pStyle w:val="Tabletext"/>
              <w:jc w:val="right"/>
            </w:pPr>
            <w:r w:rsidRPr="00E22A92">
              <w:t>17%</w:t>
            </w:r>
          </w:p>
        </w:tc>
        <w:tc>
          <w:tcPr>
            <w:tcW w:w="1417" w:type="dxa"/>
            <w:gridSpan w:val="2"/>
            <w:vAlign w:val="center"/>
          </w:tcPr>
          <w:p w:rsidR="005A1BD9" w:rsidRPr="00E22A92" w:rsidRDefault="005A1BD9" w:rsidP="00E960F1">
            <w:pPr>
              <w:pStyle w:val="Tabletext"/>
              <w:jc w:val="right"/>
            </w:pPr>
            <w:r w:rsidRPr="00E22A92">
              <w:t>35%</w:t>
            </w:r>
          </w:p>
        </w:tc>
      </w:tr>
      <w:tr w:rsidR="005A1BD9" w:rsidRPr="00E22A92" w:rsidTr="00E960F1">
        <w:tc>
          <w:tcPr>
            <w:tcW w:w="3118" w:type="dxa"/>
          </w:tcPr>
          <w:p w:rsidR="005A1BD9" w:rsidRPr="00E22A92" w:rsidRDefault="005A1BD9" w:rsidP="00E22A92">
            <w:pPr>
              <w:pStyle w:val="Tabletext"/>
            </w:pPr>
            <w:r w:rsidRPr="00E22A92">
              <w:t>25 – 34 years</w:t>
            </w:r>
          </w:p>
        </w:tc>
        <w:tc>
          <w:tcPr>
            <w:tcW w:w="1335" w:type="dxa"/>
            <w:vAlign w:val="center"/>
          </w:tcPr>
          <w:p w:rsidR="005A1BD9" w:rsidRPr="00E22A92" w:rsidRDefault="005A1BD9" w:rsidP="00E960F1">
            <w:pPr>
              <w:pStyle w:val="Tabletext"/>
              <w:jc w:val="right"/>
            </w:pPr>
            <w:r w:rsidRPr="00E22A92">
              <w:t>191 000</w:t>
            </w:r>
          </w:p>
        </w:tc>
        <w:tc>
          <w:tcPr>
            <w:tcW w:w="1335" w:type="dxa"/>
            <w:vAlign w:val="center"/>
          </w:tcPr>
          <w:p w:rsidR="005A1BD9" w:rsidRPr="00E22A92" w:rsidRDefault="005A1BD9" w:rsidP="00E960F1">
            <w:pPr>
              <w:pStyle w:val="Tabletext"/>
              <w:jc w:val="right"/>
            </w:pPr>
            <w:r w:rsidRPr="00E22A92">
              <w:t>267 000</w:t>
            </w:r>
          </w:p>
        </w:tc>
        <w:tc>
          <w:tcPr>
            <w:tcW w:w="1335" w:type="dxa"/>
            <w:vAlign w:val="center"/>
          </w:tcPr>
          <w:p w:rsidR="005A1BD9" w:rsidRPr="00E22A92" w:rsidRDefault="005A1BD9" w:rsidP="00E960F1">
            <w:pPr>
              <w:pStyle w:val="Tabletext"/>
              <w:jc w:val="right"/>
            </w:pPr>
            <w:r w:rsidRPr="00E22A92">
              <w:t>25%</w:t>
            </w:r>
          </w:p>
        </w:tc>
        <w:tc>
          <w:tcPr>
            <w:tcW w:w="1335" w:type="dxa"/>
            <w:vAlign w:val="center"/>
          </w:tcPr>
          <w:p w:rsidR="005A1BD9" w:rsidRPr="00E22A92" w:rsidRDefault="005A1BD9" w:rsidP="00E960F1">
            <w:pPr>
              <w:pStyle w:val="Tabletext"/>
              <w:jc w:val="right"/>
            </w:pPr>
            <w:r w:rsidRPr="00E22A92">
              <w:t>26%</w:t>
            </w:r>
          </w:p>
        </w:tc>
        <w:tc>
          <w:tcPr>
            <w:tcW w:w="1417" w:type="dxa"/>
            <w:gridSpan w:val="2"/>
            <w:vAlign w:val="center"/>
          </w:tcPr>
          <w:p w:rsidR="005A1BD9" w:rsidRPr="00E22A92" w:rsidRDefault="005A1BD9" w:rsidP="00E960F1">
            <w:pPr>
              <w:pStyle w:val="Tabletext"/>
              <w:jc w:val="right"/>
            </w:pPr>
            <w:r w:rsidRPr="00E22A92">
              <w:t>40%</w:t>
            </w:r>
          </w:p>
        </w:tc>
      </w:tr>
      <w:tr w:rsidR="005A1BD9" w:rsidRPr="00E22A92" w:rsidTr="00E960F1">
        <w:tc>
          <w:tcPr>
            <w:tcW w:w="3118" w:type="dxa"/>
          </w:tcPr>
          <w:p w:rsidR="005A1BD9" w:rsidRPr="00E22A92" w:rsidRDefault="005A1BD9" w:rsidP="00E22A92">
            <w:pPr>
              <w:pStyle w:val="Tabletext"/>
            </w:pPr>
            <w:r w:rsidRPr="00E22A92">
              <w:t>35 – 44 years</w:t>
            </w:r>
          </w:p>
        </w:tc>
        <w:tc>
          <w:tcPr>
            <w:tcW w:w="1335" w:type="dxa"/>
            <w:vAlign w:val="center"/>
          </w:tcPr>
          <w:p w:rsidR="005A1BD9" w:rsidRPr="00E22A92" w:rsidRDefault="005A1BD9" w:rsidP="00E960F1">
            <w:pPr>
              <w:pStyle w:val="Tabletext"/>
              <w:jc w:val="right"/>
            </w:pPr>
            <w:r w:rsidRPr="00E22A92">
              <w:t>196 000</w:t>
            </w:r>
          </w:p>
        </w:tc>
        <w:tc>
          <w:tcPr>
            <w:tcW w:w="1335" w:type="dxa"/>
            <w:vAlign w:val="center"/>
          </w:tcPr>
          <w:p w:rsidR="005A1BD9" w:rsidRPr="00E22A92" w:rsidRDefault="005A1BD9" w:rsidP="00E960F1">
            <w:pPr>
              <w:pStyle w:val="Tabletext"/>
              <w:jc w:val="right"/>
            </w:pPr>
            <w:r w:rsidRPr="00E22A92">
              <w:t>236 000</w:t>
            </w:r>
          </w:p>
        </w:tc>
        <w:tc>
          <w:tcPr>
            <w:tcW w:w="1335" w:type="dxa"/>
            <w:vAlign w:val="center"/>
          </w:tcPr>
          <w:p w:rsidR="005A1BD9" w:rsidRPr="00E22A92" w:rsidRDefault="005A1BD9" w:rsidP="00E960F1">
            <w:pPr>
              <w:pStyle w:val="Tabletext"/>
              <w:jc w:val="right"/>
            </w:pPr>
            <w:r w:rsidRPr="00E22A92">
              <w:t>26%</w:t>
            </w:r>
          </w:p>
        </w:tc>
        <w:tc>
          <w:tcPr>
            <w:tcW w:w="1335" w:type="dxa"/>
            <w:vAlign w:val="center"/>
          </w:tcPr>
          <w:p w:rsidR="005A1BD9" w:rsidRPr="00E22A92" w:rsidRDefault="005A1BD9" w:rsidP="00E960F1">
            <w:pPr>
              <w:pStyle w:val="Tabletext"/>
              <w:jc w:val="right"/>
            </w:pPr>
            <w:r w:rsidRPr="00E22A92">
              <w:t>23%</w:t>
            </w:r>
          </w:p>
        </w:tc>
        <w:tc>
          <w:tcPr>
            <w:tcW w:w="1417" w:type="dxa"/>
            <w:gridSpan w:val="2"/>
            <w:vAlign w:val="center"/>
          </w:tcPr>
          <w:p w:rsidR="005A1BD9" w:rsidRPr="00E22A92" w:rsidRDefault="005A1BD9" w:rsidP="00E960F1">
            <w:pPr>
              <w:pStyle w:val="Tabletext"/>
              <w:jc w:val="right"/>
            </w:pPr>
            <w:r w:rsidRPr="00E22A92">
              <w:t>20%</w:t>
            </w:r>
          </w:p>
        </w:tc>
      </w:tr>
      <w:tr w:rsidR="005A1BD9" w:rsidRPr="00E22A92" w:rsidTr="00E960F1">
        <w:tc>
          <w:tcPr>
            <w:tcW w:w="3118" w:type="dxa"/>
          </w:tcPr>
          <w:p w:rsidR="005A1BD9" w:rsidRPr="00E22A92" w:rsidRDefault="005A1BD9" w:rsidP="00E22A92">
            <w:pPr>
              <w:pStyle w:val="Tabletext"/>
            </w:pPr>
            <w:r w:rsidRPr="00E22A92">
              <w:t>45 – 54 years</w:t>
            </w:r>
          </w:p>
        </w:tc>
        <w:tc>
          <w:tcPr>
            <w:tcW w:w="1335" w:type="dxa"/>
            <w:vAlign w:val="center"/>
          </w:tcPr>
          <w:p w:rsidR="005A1BD9" w:rsidRPr="00E22A92" w:rsidRDefault="005A1BD9" w:rsidP="00E960F1">
            <w:pPr>
              <w:pStyle w:val="Tabletext"/>
              <w:jc w:val="right"/>
            </w:pPr>
            <w:r w:rsidRPr="00E22A92">
              <w:t>153 000</w:t>
            </w:r>
          </w:p>
        </w:tc>
        <w:tc>
          <w:tcPr>
            <w:tcW w:w="1335" w:type="dxa"/>
            <w:vAlign w:val="center"/>
          </w:tcPr>
          <w:p w:rsidR="005A1BD9" w:rsidRPr="00E22A92" w:rsidRDefault="005A1BD9" w:rsidP="00E960F1">
            <w:pPr>
              <w:pStyle w:val="Tabletext"/>
              <w:jc w:val="right"/>
            </w:pPr>
            <w:r w:rsidRPr="00E22A92">
              <w:t>201 000</w:t>
            </w:r>
          </w:p>
        </w:tc>
        <w:tc>
          <w:tcPr>
            <w:tcW w:w="1335" w:type="dxa"/>
            <w:vAlign w:val="center"/>
          </w:tcPr>
          <w:p w:rsidR="005A1BD9" w:rsidRPr="00E22A92" w:rsidRDefault="005A1BD9" w:rsidP="00E960F1">
            <w:pPr>
              <w:pStyle w:val="Tabletext"/>
              <w:jc w:val="right"/>
            </w:pPr>
            <w:r w:rsidRPr="00E22A92">
              <w:t>20%</w:t>
            </w:r>
          </w:p>
        </w:tc>
        <w:tc>
          <w:tcPr>
            <w:tcW w:w="1335" w:type="dxa"/>
            <w:vAlign w:val="center"/>
          </w:tcPr>
          <w:p w:rsidR="005A1BD9" w:rsidRPr="00E22A92" w:rsidRDefault="005A1BD9" w:rsidP="00E960F1">
            <w:pPr>
              <w:pStyle w:val="Tabletext"/>
              <w:jc w:val="right"/>
            </w:pPr>
            <w:r w:rsidRPr="00E22A92">
              <w:t>20%</w:t>
            </w:r>
          </w:p>
        </w:tc>
        <w:tc>
          <w:tcPr>
            <w:tcW w:w="1417" w:type="dxa"/>
            <w:gridSpan w:val="2"/>
            <w:vAlign w:val="center"/>
          </w:tcPr>
          <w:p w:rsidR="005A1BD9" w:rsidRPr="00E22A92" w:rsidRDefault="005A1BD9" w:rsidP="00E960F1">
            <w:pPr>
              <w:pStyle w:val="Tabletext"/>
              <w:jc w:val="right"/>
            </w:pPr>
            <w:r w:rsidRPr="00E22A92">
              <w:t>31%</w:t>
            </w:r>
          </w:p>
        </w:tc>
      </w:tr>
      <w:tr w:rsidR="005A1BD9" w:rsidRPr="00E22A92" w:rsidTr="00E960F1">
        <w:tc>
          <w:tcPr>
            <w:tcW w:w="3118" w:type="dxa"/>
          </w:tcPr>
          <w:p w:rsidR="005A1BD9" w:rsidRPr="00E22A92" w:rsidRDefault="005A1BD9" w:rsidP="00E22A92">
            <w:pPr>
              <w:pStyle w:val="Tabletext"/>
            </w:pPr>
            <w:r w:rsidRPr="00E22A92">
              <w:t>55 – 64 years</w:t>
            </w:r>
          </w:p>
        </w:tc>
        <w:tc>
          <w:tcPr>
            <w:tcW w:w="1335" w:type="dxa"/>
            <w:vAlign w:val="center"/>
          </w:tcPr>
          <w:p w:rsidR="005A1BD9" w:rsidRPr="00E22A92" w:rsidRDefault="005A1BD9" w:rsidP="00E960F1">
            <w:pPr>
              <w:pStyle w:val="Tabletext"/>
              <w:jc w:val="right"/>
            </w:pPr>
            <w:r w:rsidRPr="00E22A92">
              <w:t>74 000</w:t>
            </w:r>
          </w:p>
        </w:tc>
        <w:tc>
          <w:tcPr>
            <w:tcW w:w="1335" w:type="dxa"/>
            <w:vAlign w:val="center"/>
          </w:tcPr>
          <w:p w:rsidR="005A1BD9" w:rsidRPr="00E22A92" w:rsidRDefault="005A1BD9" w:rsidP="00E960F1">
            <w:pPr>
              <w:pStyle w:val="Tabletext"/>
              <w:jc w:val="right"/>
            </w:pPr>
            <w:r w:rsidRPr="00E22A92">
              <w:t>125 000</w:t>
            </w:r>
          </w:p>
        </w:tc>
        <w:tc>
          <w:tcPr>
            <w:tcW w:w="1335" w:type="dxa"/>
            <w:vAlign w:val="center"/>
          </w:tcPr>
          <w:p w:rsidR="005A1BD9" w:rsidRPr="00E22A92" w:rsidRDefault="005A1BD9" w:rsidP="00E960F1">
            <w:pPr>
              <w:pStyle w:val="Tabletext"/>
              <w:jc w:val="right"/>
            </w:pPr>
            <w:r w:rsidRPr="00E22A92">
              <w:t>10%</w:t>
            </w:r>
          </w:p>
        </w:tc>
        <w:tc>
          <w:tcPr>
            <w:tcW w:w="1335" w:type="dxa"/>
            <w:vAlign w:val="center"/>
          </w:tcPr>
          <w:p w:rsidR="005A1BD9" w:rsidRPr="00E22A92" w:rsidRDefault="005A1BD9" w:rsidP="00E960F1">
            <w:pPr>
              <w:pStyle w:val="Tabletext"/>
              <w:jc w:val="right"/>
            </w:pPr>
            <w:r w:rsidRPr="00E22A92">
              <w:t>12%</w:t>
            </w:r>
          </w:p>
        </w:tc>
        <w:tc>
          <w:tcPr>
            <w:tcW w:w="1417" w:type="dxa"/>
            <w:gridSpan w:val="2"/>
            <w:vAlign w:val="center"/>
          </w:tcPr>
          <w:p w:rsidR="005A1BD9" w:rsidRPr="00E22A92" w:rsidRDefault="005A1BD9" w:rsidP="00E960F1">
            <w:pPr>
              <w:pStyle w:val="Tabletext"/>
              <w:jc w:val="right"/>
            </w:pPr>
            <w:r w:rsidRPr="00E22A92">
              <w:t>69%</w:t>
            </w:r>
          </w:p>
        </w:tc>
      </w:tr>
      <w:tr w:rsidR="005A1BD9" w:rsidRPr="00E22A92" w:rsidTr="00E960F1">
        <w:tc>
          <w:tcPr>
            <w:tcW w:w="3118" w:type="dxa"/>
          </w:tcPr>
          <w:p w:rsidR="005A1BD9" w:rsidRPr="00E22A92" w:rsidRDefault="005A1BD9" w:rsidP="00E22A92">
            <w:pPr>
              <w:pStyle w:val="Tabletext"/>
            </w:pPr>
            <w:r w:rsidRPr="00E22A92">
              <w:t>65 years &amp; over</w:t>
            </w:r>
          </w:p>
        </w:tc>
        <w:tc>
          <w:tcPr>
            <w:tcW w:w="1335" w:type="dxa"/>
            <w:vAlign w:val="center"/>
          </w:tcPr>
          <w:p w:rsidR="005A1BD9" w:rsidRPr="00E22A92" w:rsidRDefault="005A1BD9" w:rsidP="00E960F1">
            <w:pPr>
              <w:pStyle w:val="Tabletext"/>
              <w:jc w:val="right"/>
            </w:pPr>
            <w:r w:rsidRPr="00E22A92">
              <w:t>9 000</w:t>
            </w:r>
          </w:p>
        </w:tc>
        <w:tc>
          <w:tcPr>
            <w:tcW w:w="1335" w:type="dxa"/>
            <w:vAlign w:val="center"/>
          </w:tcPr>
          <w:p w:rsidR="005A1BD9" w:rsidRPr="00E22A92" w:rsidRDefault="005A1BD9" w:rsidP="00E960F1">
            <w:pPr>
              <w:pStyle w:val="Tabletext"/>
              <w:jc w:val="right"/>
            </w:pPr>
            <w:r w:rsidRPr="00E22A92">
              <w:t>24 000</w:t>
            </w:r>
          </w:p>
        </w:tc>
        <w:tc>
          <w:tcPr>
            <w:tcW w:w="1335" w:type="dxa"/>
            <w:vAlign w:val="center"/>
          </w:tcPr>
          <w:p w:rsidR="005A1BD9" w:rsidRPr="00E22A92" w:rsidRDefault="005A1BD9" w:rsidP="00E960F1">
            <w:pPr>
              <w:pStyle w:val="Tabletext"/>
              <w:jc w:val="right"/>
            </w:pPr>
            <w:r w:rsidRPr="00E22A92">
              <w:t>1%</w:t>
            </w:r>
          </w:p>
        </w:tc>
        <w:tc>
          <w:tcPr>
            <w:tcW w:w="1335" w:type="dxa"/>
            <w:vAlign w:val="center"/>
          </w:tcPr>
          <w:p w:rsidR="005A1BD9" w:rsidRPr="00E22A92" w:rsidRDefault="005A1BD9" w:rsidP="00E960F1">
            <w:pPr>
              <w:pStyle w:val="Tabletext"/>
              <w:jc w:val="right"/>
            </w:pPr>
            <w:r w:rsidRPr="00E22A92">
              <w:t>2%</w:t>
            </w:r>
          </w:p>
        </w:tc>
        <w:tc>
          <w:tcPr>
            <w:tcW w:w="1417" w:type="dxa"/>
            <w:gridSpan w:val="2"/>
            <w:vAlign w:val="center"/>
          </w:tcPr>
          <w:p w:rsidR="005A1BD9" w:rsidRPr="00E22A92" w:rsidRDefault="005A1BD9" w:rsidP="00E960F1">
            <w:pPr>
              <w:pStyle w:val="Tabletext"/>
              <w:jc w:val="right"/>
            </w:pPr>
            <w:r w:rsidRPr="00E22A92">
              <w:t>167%</w:t>
            </w:r>
          </w:p>
        </w:tc>
      </w:tr>
      <w:tr w:rsidR="005A1BD9" w:rsidRPr="00E22A92" w:rsidTr="00E960F1">
        <w:tc>
          <w:tcPr>
            <w:tcW w:w="3118" w:type="dxa"/>
          </w:tcPr>
          <w:p w:rsidR="005A1BD9" w:rsidRPr="00E22A92" w:rsidRDefault="005A1BD9" w:rsidP="009926F2">
            <w:pPr>
              <w:pStyle w:val="Tablerowheadings"/>
            </w:pPr>
            <w:r w:rsidRPr="00E22A92">
              <w:t>Total</w:t>
            </w:r>
          </w:p>
        </w:tc>
        <w:tc>
          <w:tcPr>
            <w:tcW w:w="1335" w:type="dxa"/>
            <w:vAlign w:val="center"/>
          </w:tcPr>
          <w:p w:rsidR="005A1BD9" w:rsidRPr="00E22A92" w:rsidRDefault="005A1BD9" w:rsidP="00E960F1">
            <w:pPr>
              <w:pStyle w:val="Tablerowheadings"/>
              <w:jc w:val="right"/>
            </w:pPr>
            <w:r w:rsidRPr="00E22A92">
              <w:t>753 000</w:t>
            </w:r>
          </w:p>
        </w:tc>
        <w:tc>
          <w:tcPr>
            <w:tcW w:w="1335" w:type="dxa"/>
            <w:vAlign w:val="center"/>
          </w:tcPr>
          <w:p w:rsidR="005A1BD9" w:rsidRPr="00E22A92" w:rsidRDefault="005A1BD9" w:rsidP="00E960F1">
            <w:pPr>
              <w:pStyle w:val="Tablerowheadings"/>
              <w:jc w:val="right"/>
            </w:pPr>
            <w:r w:rsidRPr="00E22A92">
              <w:t>1 030 000</w:t>
            </w:r>
          </w:p>
        </w:tc>
        <w:tc>
          <w:tcPr>
            <w:tcW w:w="1335" w:type="dxa"/>
            <w:vAlign w:val="center"/>
          </w:tcPr>
          <w:p w:rsidR="005A1BD9" w:rsidRPr="00E22A92" w:rsidRDefault="005A1BD9" w:rsidP="00E960F1">
            <w:pPr>
              <w:pStyle w:val="Tablerowheadings"/>
              <w:jc w:val="right"/>
            </w:pPr>
            <w:r w:rsidRPr="00E22A92">
              <w:t>100%</w:t>
            </w:r>
          </w:p>
        </w:tc>
        <w:tc>
          <w:tcPr>
            <w:tcW w:w="1335" w:type="dxa"/>
            <w:vAlign w:val="center"/>
          </w:tcPr>
          <w:p w:rsidR="005A1BD9" w:rsidRPr="00E22A92" w:rsidRDefault="005A1BD9" w:rsidP="00E960F1">
            <w:pPr>
              <w:pStyle w:val="Tablerowheadings"/>
              <w:jc w:val="right"/>
            </w:pPr>
            <w:r w:rsidRPr="00E22A92">
              <w:t>100%</w:t>
            </w:r>
          </w:p>
        </w:tc>
        <w:tc>
          <w:tcPr>
            <w:tcW w:w="1417" w:type="dxa"/>
            <w:gridSpan w:val="2"/>
            <w:vAlign w:val="center"/>
          </w:tcPr>
          <w:p w:rsidR="005A1BD9" w:rsidRPr="00E22A92" w:rsidRDefault="005A1BD9" w:rsidP="00E960F1">
            <w:pPr>
              <w:pStyle w:val="Tablerowheadings"/>
              <w:jc w:val="right"/>
            </w:pPr>
            <w:r w:rsidRPr="00E22A92">
              <w:t>37%</w:t>
            </w:r>
          </w:p>
        </w:tc>
      </w:tr>
    </w:tbl>
    <w:p w:rsidR="00C95D45" w:rsidRDefault="00C95D45" w:rsidP="00E22A92">
      <w:pPr>
        <w:jc w:val="right"/>
      </w:pPr>
    </w:p>
    <w:p w:rsidR="00C95D45" w:rsidRPr="00E22A92" w:rsidRDefault="00EF0177" w:rsidP="00E22A92">
      <w:pPr>
        <w:pStyle w:val="Heading3"/>
      </w:pPr>
      <w:bookmarkStart w:id="9" w:name="_Toc427590840"/>
      <w:r w:rsidRPr="00E22A92">
        <w:t>Age by employment status</w:t>
      </w:r>
      <w:bookmarkEnd w:id="9"/>
    </w:p>
    <w:p w:rsidR="00C95D45" w:rsidRPr="00C95D45" w:rsidRDefault="00C95D45" w:rsidP="00513A50">
      <w:pPr>
        <w:pStyle w:val="BodyText1"/>
      </w:pPr>
      <w:r w:rsidRPr="00C95D45">
        <w:t xml:space="preserve">Table 4 shows self-employed workers have an older age profile than employees. In 2013, 21% of employees were aged less than 25 years but the proportion for self-employed workers was just 6%. At the other end of the age scale, 19% of self-employed workers were aged </w:t>
      </w:r>
      <w:r w:rsidRPr="00C95D45">
        <w:br/>
        <w:t>55–64 years compared to 10% of employees.</w:t>
      </w:r>
    </w:p>
    <w:p w:rsidR="00C95D45" w:rsidRDefault="00E22A92" w:rsidP="00E22A92">
      <w:pPr>
        <w:pStyle w:val="Tableheading"/>
      </w:pPr>
      <w:r>
        <w:t>Table</w:t>
      </w:r>
      <w:r w:rsidR="00C95D45">
        <w:t xml:space="preserve"> 4: Construction workers: percentage by age group and employment status, 2003 and 2013</w:t>
      </w:r>
    </w:p>
    <w:tbl>
      <w:tblPr>
        <w:tblStyle w:val="TableGrid"/>
        <w:tblW w:w="0" w:type="auto"/>
        <w:tblLook w:val="04A0" w:firstRow="1" w:lastRow="0" w:firstColumn="1" w:lastColumn="0" w:noHBand="0" w:noVBand="1"/>
        <w:tblCaption w:val="Table 4: Construction workers: percentage by age group and employment status, 2003 and 2013"/>
        <w:tblDescription w:val="Table 4 shows self-employed workers have an older age profile than employees. "/>
      </w:tblPr>
      <w:tblGrid>
        <w:gridCol w:w="3232"/>
        <w:gridCol w:w="1780"/>
        <w:gridCol w:w="1701"/>
        <w:gridCol w:w="1701"/>
        <w:gridCol w:w="1701"/>
      </w:tblGrid>
      <w:tr w:rsidR="005A1BD9" w:rsidRPr="009926F2" w:rsidTr="00715413">
        <w:trPr>
          <w:tblHeader/>
        </w:trPr>
        <w:tc>
          <w:tcPr>
            <w:tcW w:w="3232" w:type="dxa"/>
          </w:tcPr>
          <w:p w:rsidR="005A1BD9" w:rsidRPr="009926F2" w:rsidRDefault="005A1BD9">
            <w:pPr>
              <w:rPr>
                <w:rFonts w:ascii="Arial" w:hAnsi="Arial" w:cs="Arial"/>
                <w:sz w:val="20"/>
                <w:szCs w:val="20"/>
              </w:rPr>
            </w:pPr>
          </w:p>
        </w:tc>
        <w:tc>
          <w:tcPr>
            <w:tcW w:w="3481" w:type="dxa"/>
            <w:gridSpan w:val="2"/>
            <w:vAlign w:val="center"/>
          </w:tcPr>
          <w:p w:rsidR="005A1BD9" w:rsidRPr="009926F2" w:rsidRDefault="005A1BD9" w:rsidP="00835CD3">
            <w:pPr>
              <w:pStyle w:val="Tableheaderrow"/>
            </w:pPr>
            <w:r w:rsidRPr="009926F2">
              <w:t>2003</w:t>
            </w:r>
          </w:p>
        </w:tc>
        <w:tc>
          <w:tcPr>
            <w:tcW w:w="3402" w:type="dxa"/>
            <w:gridSpan w:val="2"/>
            <w:vAlign w:val="center"/>
          </w:tcPr>
          <w:p w:rsidR="005A1BD9" w:rsidRPr="009926F2" w:rsidRDefault="005A1BD9" w:rsidP="00835CD3">
            <w:pPr>
              <w:pStyle w:val="Tableheaderrow"/>
            </w:pPr>
            <w:r w:rsidRPr="009926F2">
              <w:t>2013</w:t>
            </w:r>
          </w:p>
        </w:tc>
      </w:tr>
      <w:tr w:rsidR="005A1BD9" w:rsidRPr="009926F2" w:rsidTr="00715413">
        <w:trPr>
          <w:tblHeader/>
        </w:trPr>
        <w:tc>
          <w:tcPr>
            <w:tcW w:w="3232" w:type="dxa"/>
          </w:tcPr>
          <w:p w:rsidR="005A1BD9" w:rsidRPr="009926F2" w:rsidRDefault="005A1BD9">
            <w:pPr>
              <w:rPr>
                <w:rFonts w:ascii="Arial" w:hAnsi="Arial" w:cs="Arial"/>
                <w:b/>
                <w:sz w:val="20"/>
                <w:szCs w:val="20"/>
              </w:rPr>
            </w:pPr>
            <w:r w:rsidRPr="009926F2">
              <w:rPr>
                <w:rFonts w:ascii="Arial" w:hAnsi="Arial" w:cs="Arial"/>
                <w:b/>
                <w:sz w:val="20"/>
                <w:szCs w:val="20"/>
              </w:rPr>
              <w:t>Age group</w:t>
            </w:r>
          </w:p>
        </w:tc>
        <w:tc>
          <w:tcPr>
            <w:tcW w:w="1780" w:type="dxa"/>
            <w:vAlign w:val="center"/>
          </w:tcPr>
          <w:p w:rsidR="005A1BD9" w:rsidRPr="009926F2" w:rsidRDefault="005A1BD9" w:rsidP="00E960F1">
            <w:pPr>
              <w:pStyle w:val="Tableheaderrow"/>
              <w:jc w:val="right"/>
            </w:pPr>
            <w:r w:rsidRPr="009926F2">
              <w:t>Employees</w:t>
            </w:r>
          </w:p>
        </w:tc>
        <w:tc>
          <w:tcPr>
            <w:tcW w:w="1701" w:type="dxa"/>
            <w:vAlign w:val="center"/>
          </w:tcPr>
          <w:p w:rsidR="005A1BD9" w:rsidRPr="009926F2" w:rsidRDefault="005A1BD9" w:rsidP="00E960F1">
            <w:pPr>
              <w:pStyle w:val="Tableheaderrow"/>
              <w:jc w:val="right"/>
            </w:pPr>
            <w:r w:rsidRPr="009926F2">
              <w:t>Self-employed</w:t>
            </w:r>
          </w:p>
        </w:tc>
        <w:tc>
          <w:tcPr>
            <w:tcW w:w="1701" w:type="dxa"/>
            <w:vAlign w:val="center"/>
          </w:tcPr>
          <w:p w:rsidR="005A1BD9" w:rsidRPr="009926F2" w:rsidRDefault="005A1BD9" w:rsidP="00E960F1">
            <w:pPr>
              <w:pStyle w:val="Tableheaderrow"/>
              <w:jc w:val="right"/>
            </w:pPr>
            <w:r w:rsidRPr="009926F2">
              <w:t>Employees</w:t>
            </w:r>
          </w:p>
        </w:tc>
        <w:tc>
          <w:tcPr>
            <w:tcW w:w="1701" w:type="dxa"/>
            <w:vAlign w:val="center"/>
          </w:tcPr>
          <w:p w:rsidR="005A1BD9" w:rsidRPr="009926F2" w:rsidRDefault="005A1BD9" w:rsidP="00E960F1">
            <w:pPr>
              <w:pStyle w:val="Tableheaderrow"/>
              <w:jc w:val="right"/>
            </w:pPr>
            <w:r w:rsidRPr="009926F2">
              <w:t>Self-employed</w:t>
            </w:r>
          </w:p>
        </w:tc>
      </w:tr>
      <w:tr w:rsidR="005A1BD9" w:rsidTr="00E960F1">
        <w:tc>
          <w:tcPr>
            <w:tcW w:w="3232" w:type="dxa"/>
          </w:tcPr>
          <w:p w:rsidR="005A1BD9" w:rsidRPr="00E22A92" w:rsidRDefault="005A1BD9" w:rsidP="009926F2">
            <w:pPr>
              <w:pStyle w:val="Tabletext"/>
            </w:pPr>
            <w:r w:rsidRPr="00E22A92">
              <w:t>Under 25 years</w:t>
            </w:r>
          </w:p>
        </w:tc>
        <w:tc>
          <w:tcPr>
            <w:tcW w:w="1780" w:type="dxa"/>
            <w:vAlign w:val="center"/>
          </w:tcPr>
          <w:p w:rsidR="005A1BD9" w:rsidRPr="00AD2E3D" w:rsidRDefault="005A1BD9" w:rsidP="00E960F1">
            <w:pPr>
              <w:jc w:val="right"/>
            </w:pPr>
            <w:r w:rsidRPr="00AD2E3D">
              <w:t>23%</w:t>
            </w:r>
          </w:p>
        </w:tc>
        <w:tc>
          <w:tcPr>
            <w:tcW w:w="1701" w:type="dxa"/>
            <w:vAlign w:val="center"/>
          </w:tcPr>
          <w:p w:rsidR="005A1BD9" w:rsidRPr="00AD2E3D" w:rsidRDefault="005A1BD9" w:rsidP="00E960F1">
            <w:pPr>
              <w:jc w:val="right"/>
            </w:pPr>
            <w:r w:rsidRPr="00AD2E3D">
              <w:t>6%</w:t>
            </w:r>
          </w:p>
        </w:tc>
        <w:tc>
          <w:tcPr>
            <w:tcW w:w="1701" w:type="dxa"/>
            <w:vAlign w:val="center"/>
          </w:tcPr>
          <w:p w:rsidR="005A1BD9" w:rsidRPr="00AD2E3D" w:rsidRDefault="005A1BD9" w:rsidP="00E960F1">
            <w:pPr>
              <w:jc w:val="right"/>
            </w:pPr>
            <w:r w:rsidRPr="00AD2E3D">
              <w:t>21%</w:t>
            </w:r>
          </w:p>
        </w:tc>
        <w:tc>
          <w:tcPr>
            <w:tcW w:w="1701" w:type="dxa"/>
            <w:vAlign w:val="center"/>
          </w:tcPr>
          <w:p w:rsidR="005A1BD9" w:rsidRPr="00AD2E3D" w:rsidRDefault="005A1BD9" w:rsidP="00E960F1">
            <w:pPr>
              <w:jc w:val="right"/>
            </w:pPr>
            <w:r w:rsidRPr="00AD2E3D">
              <w:t>6%</w:t>
            </w:r>
          </w:p>
        </w:tc>
      </w:tr>
      <w:tr w:rsidR="005A1BD9" w:rsidTr="00E960F1">
        <w:tc>
          <w:tcPr>
            <w:tcW w:w="3232" w:type="dxa"/>
          </w:tcPr>
          <w:p w:rsidR="005A1BD9" w:rsidRPr="00E22A92" w:rsidRDefault="005A1BD9" w:rsidP="009926F2">
            <w:pPr>
              <w:pStyle w:val="Tabletext"/>
            </w:pPr>
            <w:r w:rsidRPr="00E22A92">
              <w:t>25 – 34 years</w:t>
            </w:r>
          </w:p>
        </w:tc>
        <w:tc>
          <w:tcPr>
            <w:tcW w:w="1780" w:type="dxa"/>
            <w:vAlign w:val="center"/>
          </w:tcPr>
          <w:p w:rsidR="005A1BD9" w:rsidRPr="00AD2E3D" w:rsidRDefault="005A1BD9" w:rsidP="00E960F1">
            <w:pPr>
              <w:jc w:val="right"/>
            </w:pPr>
            <w:r w:rsidRPr="00AD2E3D">
              <w:t>26%</w:t>
            </w:r>
          </w:p>
        </w:tc>
        <w:tc>
          <w:tcPr>
            <w:tcW w:w="1701" w:type="dxa"/>
            <w:vAlign w:val="center"/>
          </w:tcPr>
          <w:p w:rsidR="005A1BD9" w:rsidRPr="00AD2E3D" w:rsidRDefault="005A1BD9" w:rsidP="00E960F1">
            <w:pPr>
              <w:jc w:val="right"/>
            </w:pPr>
            <w:r w:rsidRPr="00AD2E3D">
              <w:t>25%</w:t>
            </w:r>
          </w:p>
        </w:tc>
        <w:tc>
          <w:tcPr>
            <w:tcW w:w="1701" w:type="dxa"/>
            <w:vAlign w:val="center"/>
          </w:tcPr>
          <w:p w:rsidR="005A1BD9" w:rsidRPr="00AD2E3D" w:rsidRDefault="005A1BD9" w:rsidP="00E960F1">
            <w:pPr>
              <w:jc w:val="right"/>
            </w:pPr>
            <w:r w:rsidRPr="00AD2E3D">
              <w:t>27%</w:t>
            </w:r>
          </w:p>
        </w:tc>
        <w:tc>
          <w:tcPr>
            <w:tcW w:w="1701" w:type="dxa"/>
            <w:vAlign w:val="center"/>
          </w:tcPr>
          <w:p w:rsidR="005A1BD9" w:rsidRPr="00AD2E3D" w:rsidRDefault="005A1BD9" w:rsidP="00E960F1">
            <w:pPr>
              <w:jc w:val="right"/>
            </w:pPr>
            <w:r w:rsidRPr="00AD2E3D">
              <w:t>23%</w:t>
            </w:r>
          </w:p>
        </w:tc>
      </w:tr>
      <w:tr w:rsidR="005A1BD9" w:rsidTr="00E960F1">
        <w:tc>
          <w:tcPr>
            <w:tcW w:w="3232" w:type="dxa"/>
          </w:tcPr>
          <w:p w:rsidR="005A1BD9" w:rsidRPr="00E22A92" w:rsidRDefault="005A1BD9" w:rsidP="009926F2">
            <w:pPr>
              <w:pStyle w:val="Tabletext"/>
            </w:pPr>
            <w:r w:rsidRPr="00E22A92">
              <w:t>35 – 44 years</w:t>
            </w:r>
          </w:p>
        </w:tc>
        <w:tc>
          <w:tcPr>
            <w:tcW w:w="1780" w:type="dxa"/>
            <w:vAlign w:val="center"/>
          </w:tcPr>
          <w:p w:rsidR="005A1BD9" w:rsidRPr="00AD2E3D" w:rsidRDefault="005A1BD9" w:rsidP="00E960F1">
            <w:pPr>
              <w:jc w:val="right"/>
            </w:pPr>
            <w:r w:rsidRPr="00AD2E3D">
              <w:t>24%</w:t>
            </w:r>
          </w:p>
        </w:tc>
        <w:tc>
          <w:tcPr>
            <w:tcW w:w="1701" w:type="dxa"/>
            <w:vAlign w:val="center"/>
          </w:tcPr>
          <w:p w:rsidR="005A1BD9" w:rsidRPr="00AD2E3D" w:rsidRDefault="005A1BD9" w:rsidP="00E960F1">
            <w:pPr>
              <w:jc w:val="right"/>
            </w:pPr>
            <w:r w:rsidRPr="00AD2E3D">
              <w:t>31%</w:t>
            </w:r>
          </w:p>
        </w:tc>
        <w:tc>
          <w:tcPr>
            <w:tcW w:w="1701" w:type="dxa"/>
            <w:vAlign w:val="center"/>
          </w:tcPr>
          <w:p w:rsidR="005A1BD9" w:rsidRPr="00AD2E3D" w:rsidRDefault="005A1BD9" w:rsidP="00E960F1">
            <w:pPr>
              <w:jc w:val="right"/>
            </w:pPr>
            <w:r w:rsidRPr="00AD2E3D">
              <w:t>22%</w:t>
            </w:r>
          </w:p>
        </w:tc>
        <w:tc>
          <w:tcPr>
            <w:tcW w:w="1701" w:type="dxa"/>
            <w:vAlign w:val="center"/>
          </w:tcPr>
          <w:p w:rsidR="005A1BD9" w:rsidRPr="00AD2E3D" w:rsidRDefault="005A1BD9" w:rsidP="00E960F1">
            <w:pPr>
              <w:jc w:val="right"/>
            </w:pPr>
            <w:r w:rsidRPr="00AD2E3D">
              <w:t>24%</w:t>
            </w:r>
          </w:p>
        </w:tc>
      </w:tr>
      <w:tr w:rsidR="005A1BD9" w:rsidTr="00E960F1">
        <w:tc>
          <w:tcPr>
            <w:tcW w:w="3232" w:type="dxa"/>
          </w:tcPr>
          <w:p w:rsidR="005A1BD9" w:rsidRPr="00E22A92" w:rsidRDefault="005A1BD9" w:rsidP="009926F2">
            <w:pPr>
              <w:pStyle w:val="Tabletext"/>
            </w:pPr>
            <w:r w:rsidRPr="00E22A92">
              <w:t>45 – 54 years</w:t>
            </w:r>
          </w:p>
        </w:tc>
        <w:tc>
          <w:tcPr>
            <w:tcW w:w="1780" w:type="dxa"/>
            <w:vAlign w:val="center"/>
          </w:tcPr>
          <w:p w:rsidR="005A1BD9" w:rsidRPr="00AD2E3D" w:rsidRDefault="005A1BD9" w:rsidP="00E960F1">
            <w:pPr>
              <w:jc w:val="right"/>
            </w:pPr>
            <w:r w:rsidRPr="00AD2E3D">
              <w:t>19%</w:t>
            </w:r>
          </w:p>
        </w:tc>
        <w:tc>
          <w:tcPr>
            <w:tcW w:w="1701" w:type="dxa"/>
            <w:vAlign w:val="center"/>
          </w:tcPr>
          <w:p w:rsidR="005A1BD9" w:rsidRPr="00AD2E3D" w:rsidRDefault="005A1BD9" w:rsidP="00E960F1">
            <w:pPr>
              <w:jc w:val="right"/>
            </w:pPr>
            <w:r w:rsidRPr="00AD2E3D">
              <w:t>23%</w:t>
            </w:r>
          </w:p>
        </w:tc>
        <w:tc>
          <w:tcPr>
            <w:tcW w:w="1701" w:type="dxa"/>
            <w:vAlign w:val="center"/>
          </w:tcPr>
          <w:p w:rsidR="005A1BD9" w:rsidRPr="00AD2E3D" w:rsidRDefault="005A1BD9" w:rsidP="00E960F1">
            <w:pPr>
              <w:jc w:val="right"/>
            </w:pPr>
            <w:r w:rsidRPr="00AD2E3D">
              <w:t>18%</w:t>
            </w:r>
          </w:p>
        </w:tc>
        <w:tc>
          <w:tcPr>
            <w:tcW w:w="1701" w:type="dxa"/>
            <w:vAlign w:val="center"/>
          </w:tcPr>
          <w:p w:rsidR="005A1BD9" w:rsidRPr="00AD2E3D" w:rsidRDefault="005A1BD9" w:rsidP="00E960F1">
            <w:pPr>
              <w:jc w:val="right"/>
            </w:pPr>
            <w:r w:rsidRPr="00AD2E3D">
              <w:t>23%</w:t>
            </w:r>
          </w:p>
        </w:tc>
      </w:tr>
      <w:tr w:rsidR="005A1BD9" w:rsidTr="00E960F1">
        <w:tc>
          <w:tcPr>
            <w:tcW w:w="3232" w:type="dxa"/>
          </w:tcPr>
          <w:p w:rsidR="005A1BD9" w:rsidRPr="00E22A92" w:rsidRDefault="005A1BD9" w:rsidP="009926F2">
            <w:pPr>
              <w:pStyle w:val="Tabletext"/>
            </w:pPr>
            <w:r w:rsidRPr="00E22A92">
              <w:t>55 – 64 years</w:t>
            </w:r>
          </w:p>
        </w:tc>
        <w:tc>
          <w:tcPr>
            <w:tcW w:w="1780" w:type="dxa"/>
            <w:vAlign w:val="center"/>
          </w:tcPr>
          <w:p w:rsidR="005A1BD9" w:rsidRPr="00AD2E3D" w:rsidRDefault="005A1BD9" w:rsidP="00E960F1">
            <w:pPr>
              <w:jc w:val="right"/>
            </w:pPr>
            <w:r w:rsidRPr="00AD2E3D">
              <w:t>8%</w:t>
            </w:r>
          </w:p>
        </w:tc>
        <w:tc>
          <w:tcPr>
            <w:tcW w:w="1701" w:type="dxa"/>
            <w:vAlign w:val="center"/>
          </w:tcPr>
          <w:p w:rsidR="005A1BD9" w:rsidRPr="00AD2E3D" w:rsidRDefault="005A1BD9" w:rsidP="00E960F1">
            <w:pPr>
              <w:jc w:val="right"/>
            </w:pPr>
            <w:r w:rsidRPr="00AD2E3D">
              <w:t>13%</w:t>
            </w:r>
          </w:p>
        </w:tc>
        <w:tc>
          <w:tcPr>
            <w:tcW w:w="1701" w:type="dxa"/>
            <w:vAlign w:val="center"/>
          </w:tcPr>
          <w:p w:rsidR="005A1BD9" w:rsidRPr="00AD2E3D" w:rsidRDefault="005A1BD9" w:rsidP="00E960F1">
            <w:pPr>
              <w:jc w:val="right"/>
            </w:pPr>
            <w:r w:rsidRPr="00AD2E3D">
              <w:t>10%</w:t>
            </w:r>
          </w:p>
        </w:tc>
        <w:tc>
          <w:tcPr>
            <w:tcW w:w="1701" w:type="dxa"/>
            <w:vAlign w:val="center"/>
          </w:tcPr>
          <w:p w:rsidR="005A1BD9" w:rsidRPr="00AD2E3D" w:rsidRDefault="005A1BD9" w:rsidP="00E960F1">
            <w:pPr>
              <w:jc w:val="right"/>
            </w:pPr>
            <w:r w:rsidRPr="00AD2E3D">
              <w:t>19%</w:t>
            </w:r>
          </w:p>
        </w:tc>
      </w:tr>
      <w:tr w:rsidR="005A1BD9" w:rsidTr="00E960F1">
        <w:tc>
          <w:tcPr>
            <w:tcW w:w="3232" w:type="dxa"/>
          </w:tcPr>
          <w:p w:rsidR="005A1BD9" w:rsidRPr="00E22A92" w:rsidRDefault="005A1BD9" w:rsidP="009926F2">
            <w:pPr>
              <w:pStyle w:val="Tabletext"/>
            </w:pPr>
            <w:r w:rsidRPr="00E22A92">
              <w:t>65 years &amp; over</w:t>
            </w:r>
          </w:p>
        </w:tc>
        <w:tc>
          <w:tcPr>
            <w:tcW w:w="1780" w:type="dxa"/>
            <w:vAlign w:val="center"/>
          </w:tcPr>
          <w:p w:rsidR="005A1BD9" w:rsidRPr="00AD2E3D" w:rsidRDefault="005A1BD9" w:rsidP="00E960F1">
            <w:pPr>
              <w:jc w:val="right"/>
            </w:pPr>
            <w:r w:rsidRPr="00AD2E3D">
              <w:t>1%</w:t>
            </w:r>
          </w:p>
        </w:tc>
        <w:tc>
          <w:tcPr>
            <w:tcW w:w="1701" w:type="dxa"/>
            <w:vAlign w:val="center"/>
          </w:tcPr>
          <w:p w:rsidR="005A1BD9" w:rsidRPr="00AD2E3D" w:rsidRDefault="005A1BD9" w:rsidP="00E960F1">
            <w:pPr>
              <w:jc w:val="right"/>
            </w:pPr>
            <w:r w:rsidRPr="00AD2E3D">
              <w:t>2%</w:t>
            </w:r>
          </w:p>
        </w:tc>
        <w:tc>
          <w:tcPr>
            <w:tcW w:w="1701" w:type="dxa"/>
            <w:vAlign w:val="center"/>
          </w:tcPr>
          <w:p w:rsidR="005A1BD9" w:rsidRPr="00AD2E3D" w:rsidRDefault="005A1BD9" w:rsidP="00E960F1">
            <w:pPr>
              <w:jc w:val="right"/>
            </w:pPr>
            <w:r w:rsidRPr="00AD2E3D">
              <w:t>2%</w:t>
            </w:r>
          </w:p>
        </w:tc>
        <w:tc>
          <w:tcPr>
            <w:tcW w:w="1701" w:type="dxa"/>
            <w:vAlign w:val="center"/>
          </w:tcPr>
          <w:p w:rsidR="005A1BD9" w:rsidRPr="00AD2E3D" w:rsidRDefault="005A1BD9" w:rsidP="00E960F1">
            <w:pPr>
              <w:jc w:val="right"/>
            </w:pPr>
            <w:r w:rsidRPr="00AD2E3D">
              <w:t>4%</w:t>
            </w:r>
          </w:p>
        </w:tc>
      </w:tr>
      <w:tr w:rsidR="005A1BD9" w:rsidTr="00E960F1">
        <w:tc>
          <w:tcPr>
            <w:tcW w:w="3232" w:type="dxa"/>
          </w:tcPr>
          <w:p w:rsidR="005A1BD9" w:rsidRPr="00E22A92" w:rsidRDefault="005A1BD9" w:rsidP="009926F2">
            <w:pPr>
              <w:pStyle w:val="Tablerowheadings"/>
            </w:pPr>
            <w:r w:rsidRPr="00E22A92">
              <w:t>Total</w:t>
            </w:r>
          </w:p>
        </w:tc>
        <w:tc>
          <w:tcPr>
            <w:tcW w:w="1780" w:type="dxa"/>
            <w:vAlign w:val="center"/>
          </w:tcPr>
          <w:p w:rsidR="005A1BD9" w:rsidRPr="00AD2E3D" w:rsidRDefault="005A1BD9" w:rsidP="00E960F1">
            <w:pPr>
              <w:jc w:val="right"/>
            </w:pPr>
            <w:r w:rsidRPr="00AD2E3D">
              <w:t>100%</w:t>
            </w:r>
          </w:p>
        </w:tc>
        <w:tc>
          <w:tcPr>
            <w:tcW w:w="1701" w:type="dxa"/>
            <w:vAlign w:val="center"/>
          </w:tcPr>
          <w:p w:rsidR="005A1BD9" w:rsidRPr="00AD2E3D" w:rsidRDefault="005A1BD9" w:rsidP="00E960F1">
            <w:pPr>
              <w:jc w:val="right"/>
            </w:pPr>
            <w:r w:rsidRPr="00AD2E3D">
              <w:t>100%</w:t>
            </w:r>
          </w:p>
        </w:tc>
        <w:tc>
          <w:tcPr>
            <w:tcW w:w="1701" w:type="dxa"/>
            <w:vAlign w:val="center"/>
          </w:tcPr>
          <w:p w:rsidR="005A1BD9" w:rsidRPr="00AD2E3D" w:rsidRDefault="005A1BD9" w:rsidP="00E960F1">
            <w:pPr>
              <w:jc w:val="right"/>
            </w:pPr>
            <w:r w:rsidRPr="00AD2E3D">
              <w:t>100%</w:t>
            </w:r>
          </w:p>
        </w:tc>
        <w:tc>
          <w:tcPr>
            <w:tcW w:w="1701" w:type="dxa"/>
            <w:vAlign w:val="center"/>
          </w:tcPr>
          <w:p w:rsidR="005A1BD9" w:rsidRDefault="005A1BD9" w:rsidP="00E960F1">
            <w:pPr>
              <w:jc w:val="right"/>
            </w:pPr>
            <w:r w:rsidRPr="00AD2E3D">
              <w:t>100%</w:t>
            </w:r>
          </w:p>
        </w:tc>
      </w:tr>
    </w:tbl>
    <w:p w:rsidR="00D16FCF" w:rsidRDefault="00D16FCF"/>
    <w:p w:rsidR="008D72B2" w:rsidRDefault="008D72B2">
      <w:pPr>
        <w:rPr>
          <w:rFonts w:ascii="Arial" w:eastAsiaTheme="majorEastAsia" w:hAnsi="Arial" w:cs="Arial"/>
          <w:b/>
          <w:bCs/>
          <w:color w:val="0070C0"/>
          <w:sz w:val="36"/>
          <w:szCs w:val="26"/>
          <w:lang w:val="en-US"/>
        </w:rPr>
      </w:pPr>
      <w:r>
        <w:br w:type="page"/>
      </w:r>
    </w:p>
    <w:p w:rsidR="00C95D45" w:rsidRPr="00E22A92" w:rsidRDefault="00E22A92" w:rsidP="00257F90">
      <w:pPr>
        <w:pStyle w:val="Heading2"/>
      </w:pPr>
      <w:bookmarkStart w:id="10" w:name="_Toc427590841"/>
      <w:r w:rsidRPr="00E22A92">
        <w:t>Worker profile by state or territory</w:t>
      </w:r>
      <w:bookmarkEnd w:id="10"/>
    </w:p>
    <w:p w:rsidR="00C95D45" w:rsidRDefault="00C95D45" w:rsidP="00513A50">
      <w:pPr>
        <w:pStyle w:val="BodyText1"/>
      </w:pPr>
      <w:r w:rsidRPr="00C95D45">
        <w:t xml:space="preserve">All states and territories recorded increases in the number of construction workers over the 2003–13 </w:t>
      </w:r>
      <w:proofErr w:type="gramStart"/>
      <w:r w:rsidRPr="00C95D45">
        <w:t>period</w:t>
      </w:r>
      <w:proofErr w:type="gramEnd"/>
      <w:r w:rsidRPr="00C95D45">
        <w:t>. Table 5 shows the Northern Territory recorded the greatest percentage increase (114%) with the number of workers in the construction industry more than doubling from 7000 in 2003 to 15 000 in 2013. This number represents 1% of construction workers nationally.</w:t>
      </w:r>
    </w:p>
    <w:p w:rsidR="00C95D45" w:rsidRDefault="00C95D45" w:rsidP="00513A50">
      <w:pPr>
        <w:pStyle w:val="Tableheaderrow"/>
        <w:jc w:val="left"/>
      </w:pPr>
      <w:r>
        <w:t>Table 5: Construction workers: number and percentage by state or territory, 2003 and 2013</w:t>
      </w:r>
    </w:p>
    <w:tbl>
      <w:tblPr>
        <w:tblStyle w:val="TableGrid"/>
        <w:tblW w:w="0" w:type="auto"/>
        <w:tblLook w:val="04A0" w:firstRow="1" w:lastRow="0" w:firstColumn="1" w:lastColumn="0" w:noHBand="0" w:noVBand="1"/>
        <w:tblCaption w:val="Table 5: Construction workers: number and percentage by state or territory, 2003 and 2013"/>
        <w:tblDescription w:val="Table 5 shows the Northern Territory recorded the greatest percentage increase (114%) with the number of workers in the construction industry more than doubling from 7000 in 2003 to 15 000 in 2013. "/>
      </w:tblPr>
      <w:tblGrid>
        <w:gridCol w:w="3175"/>
        <w:gridCol w:w="1335"/>
        <w:gridCol w:w="1335"/>
        <w:gridCol w:w="1335"/>
        <w:gridCol w:w="1335"/>
        <w:gridCol w:w="1336"/>
      </w:tblGrid>
      <w:tr w:rsidR="005A1BD9" w:rsidTr="00715413">
        <w:trPr>
          <w:tblHeader/>
        </w:trPr>
        <w:tc>
          <w:tcPr>
            <w:tcW w:w="3175" w:type="dxa"/>
          </w:tcPr>
          <w:p w:rsidR="005A1BD9" w:rsidRDefault="005A1BD9" w:rsidP="00C95D45"/>
        </w:tc>
        <w:tc>
          <w:tcPr>
            <w:tcW w:w="2670" w:type="dxa"/>
            <w:gridSpan w:val="2"/>
          </w:tcPr>
          <w:p w:rsidR="005A1BD9" w:rsidRDefault="005A1BD9" w:rsidP="00835CD3">
            <w:pPr>
              <w:pStyle w:val="Tableheaderrow"/>
            </w:pPr>
            <w:r>
              <w:t>No. of workers</w:t>
            </w:r>
          </w:p>
        </w:tc>
        <w:tc>
          <w:tcPr>
            <w:tcW w:w="2670" w:type="dxa"/>
            <w:gridSpan w:val="2"/>
          </w:tcPr>
          <w:p w:rsidR="005A1BD9" w:rsidRDefault="005A1BD9" w:rsidP="00835CD3">
            <w:pPr>
              <w:pStyle w:val="Tableheaderrow"/>
            </w:pPr>
            <w:r>
              <w:t>% of industry</w:t>
            </w:r>
          </w:p>
        </w:tc>
        <w:tc>
          <w:tcPr>
            <w:tcW w:w="1336" w:type="dxa"/>
          </w:tcPr>
          <w:p w:rsidR="005A1BD9" w:rsidRDefault="005A1BD9" w:rsidP="00835CD3">
            <w:pPr>
              <w:pStyle w:val="Tableheaderrow"/>
            </w:pPr>
            <w:r>
              <w:t>% change</w:t>
            </w:r>
          </w:p>
        </w:tc>
      </w:tr>
      <w:tr w:rsidR="005A1BD9" w:rsidTr="00715413">
        <w:trPr>
          <w:tblHeader/>
        </w:trPr>
        <w:tc>
          <w:tcPr>
            <w:tcW w:w="3175" w:type="dxa"/>
          </w:tcPr>
          <w:p w:rsidR="005A1BD9" w:rsidRDefault="005A1BD9" w:rsidP="00835CD3">
            <w:pPr>
              <w:pStyle w:val="Tableheaderrow"/>
              <w:jc w:val="left"/>
            </w:pPr>
            <w:r>
              <w:t>State/territory</w:t>
            </w:r>
          </w:p>
        </w:tc>
        <w:tc>
          <w:tcPr>
            <w:tcW w:w="1335" w:type="dxa"/>
            <w:vAlign w:val="center"/>
          </w:tcPr>
          <w:p w:rsidR="005A1BD9" w:rsidRDefault="005A1BD9" w:rsidP="00E960F1">
            <w:pPr>
              <w:pStyle w:val="Tableheaderrow"/>
              <w:jc w:val="right"/>
            </w:pPr>
            <w:r>
              <w:t>2003</w:t>
            </w:r>
          </w:p>
        </w:tc>
        <w:tc>
          <w:tcPr>
            <w:tcW w:w="1335" w:type="dxa"/>
            <w:vAlign w:val="center"/>
          </w:tcPr>
          <w:p w:rsidR="005A1BD9" w:rsidRDefault="005A1BD9" w:rsidP="00E960F1">
            <w:pPr>
              <w:pStyle w:val="Tableheaderrow"/>
              <w:jc w:val="right"/>
            </w:pPr>
            <w:r>
              <w:t>2013</w:t>
            </w:r>
          </w:p>
        </w:tc>
        <w:tc>
          <w:tcPr>
            <w:tcW w:w="1335" w:type="dxa"/>
            <w:vAlign w:val="center"/>
          </w:tcPr>
          <w:p w:rsidR="005A1BD9" w:rsidRDefault="005A1BD9" w:rsidP="00E960F1">
            <w:pPr>
              <w:pStyle w:val="Tableheaderrow"/>
              <w:jc w:val="right"/>
            </w:pPr>
            <w:r>
              <w:t>2003</w:t>
            </w:r>
          </w:p>
        </w:tc>
        <w:tc>
          <w:tcPr>
            <w:tcW w:w="1335" w:type="dxa"/>
            <w:vAlign w:val="center"/>
          </w:tcPr>
          <w:p w:rsidR="005A1BD9" w:rsidRDefault="005A1BD9" w:rsidP="00E960F1">
            <w:pPr>
              <w:pStyle w:val="Tableheaderrow"/>
              <w:jc w:val="right"/>
            </w:pPr>
            <w:r>
              <w:t>2013</w:t>
            </w:r>
          </w:p>
        </w:tc>
        <w:tc>
          <w:tcPr>
            <w:tcW w:w="1336" w:type="dxa"/>
            <w:vAlign w:val="center"/>
          </w:tcPr>
          <w:p w:rsidR="005A1BD9" w:rsidRDefault="005A1BD9" w:rsidP="00E960F1">
            <w:pPr>
              <w:pStyle w:val="Tableheaderrow"/>
              <w:jc w:val="right"/>
            </w:pPr>
          </w:p>
        </w:tc>
      </w:tr>
      <w:tr w:rsidR="005A1BD9" w:rsidTr="00E960F1">
        <w:tc>
          <w:tcPr>
            <w:tcW w:w="3175" w:type="dxa"/>
          </w:tcPr>
          <w:p w:rsidR="005A1BD9" w:rsidRDefault="005A1BD9" w:rsidP="00C95D45">
            <w:r>
              <w:t>New South Wales</w:t>
            </w:r>
          </w:p>
        </w:tc>
        <w:tc>
          <w:tcPr>
            <w:tcW w:w="1335" w:type="dxa"/>
            <w:vAlign w:val="center"/>
          </w:tcPr>
          <w:p w:rsidR="005A1BD9" w:rsidRDefault="005A1BD9" w:rsidP="00E960F1">
            <w:pPr>
              <w:pStyle w:val="TableNumberTableformating"/>
            </w:pPr>
            <w:r>
              <w:t>255 000</w:t>
            </w:r>
          </w:p>
        </w:tc>
        <w:tc>
          <w:tcPr>
            <w:tcW w:w="1335" w:type="dxa"/>
            <w:vAlign w:val="center"/>
          </w:tcPr>
          <w:p w:rsidR="005A1BD9" w:rsidRDefault="005A1BD9" w:rsidP="00E960F1">
            <w:pPr>
              <w:pStyle w:val="TableNumberTableformating"/>
            </w:pPr>
            <w:r>
              <w:t>285 000</w:t>
            </w:r>
          </w:p>
        </w:tc>
        <w:tc>
          <w:tcPr>
            <w:tcW w:w="1335" w:type="dxa"/>
            <w:vAlign w:val="center"/>
          </w:tcPr>
          <w:p w:rsidR="005A1BD9" w:rsidRDefault="005A1BD9" w:rsidP="00E960F1">
            <w:pPr>
              <w:pStyle w:val="TableNumberTableformating"/>
            </w:pPr>
            <w:r>
              <w:t>34%</w:t>
            </w:r>
          </w:p>
        </w:tc>
        <w:tc>
          <w:tcPr>
            <w:tcW w:w="1335" w:type="dxa"/>
            <w:vAlign w:val="center"/>
          </w:tcPr>
          <w:p w:rsidR="005A1BD9" w:rsidRDefault="005A1BD9" w:rsidP="00E960F1">
            <w:pPr>
              <w:pStyle w:val="TableNumberTableformating"/>
            </w:pPr>
            <w:r>
              <w:t>28%</w:t>
            </w:r>
          </w:p>
        </w:tc>
        <w:tc>
          <w:tcPr>
            <w:tcW w:w="1336" w:type="dxa"/>
            <w:vAlign w:val="center"/>
          </w:tcPr>
          <w:p w:rsidR="005A1BD9" w:rsidRDefault="005A1BD9" w:rsidP="00E960F1">
            <w:pPr>
              <w:pStyle w:val="TableNumberTableformating"/>
            </w:pPr>
            <w:r>
              <w:t>12%</w:t>
            </w:r>
          </w:p>
        </w:tc>
      </w:tr>
      <w:tr w:rsidR="005A1BD9" w:rsidTr="00E960F1">
        <w:tc>
          <w:tcPr>
            <w:tcW w:w="3175" w:type="dxa"/>
          </w:tcPr>
          <w:p w:rsidR="005A1BD9" w:rsidRDefault="005A1BD9" w:rsidP="00C95D45">
            <w:r>
              <w:t>Victoria</w:t>
            </w:r>
          </w:p>
        </w:tc>
        <w:tc>
          <w:tcPr>
            <w:tcW w:w="1335" w:type="dxa"/>
            <w:vAlign w:val="center"/>
          </w:tcPr>
          <w:p w:rsidR="005A1BD9" w:rsidRDefault="005A1BD9" w:rsidP="00E960F1">
            <w:pPr>
              <w:pStyle w:val="TableNumberTableformating"/>
            </w:pPr>
            <w:r>
              <w:t>180 000</w:t>
            </w:r>
          </w:p>
        </w:tc>
        <w:tc>
          <w:tcPr>
            <w:tcW w:w="1335" w:type="dxa"/>
            <w:vAlign w:val="center"/>
          </w:tcPr>
          <w:p w:rsidR="005A1BD9" w:rsidRDefault="005A1BD9" w:rsidP="00E960F1">
            <w:pPr>
              <w:pStyle w:val="TableNumberTableformating"/>
            </w:pPr>
            <w:r>
              <w:t>250 000</w:t>
            </w:r>
          </w:p>
        </w:tc>
        <w:tc>
          <w:tcPr>
            <w:tcW w:w="1335" w:type="dxa"/>
            <w:vAlign w:val="center"/>
          </w:tcPr>
          <w:p w:rsidR="005A1BD9" w:rsidRDefault="005A1BD9" w:rsidP="00E960F1">
            <w:pPr>
              <w:pStyle w:val="TableNumberTableformating"/>
            </w:pPr>
            <w:r>
              <w:t>24%</w:t>
            </w:r>
          </w:p>
        </w:tc>
        <w:tc>
          <w:tcPr>
            <w:tcW w:w="1335" w:type="dxa"/>
            <w:vAlign w:val="center"/>
          </w:tcPr>
          <w:p w:rsidR="005A1BD9" w:rsidRDefault="005A1BD9" w:rsidP="00E960F1">
            <w:pPr>
              <w:pStyle w:val="TableNumberTableformating"/>
            </w:pPr>
            <w:r>
              <w:t>24%</w:t>
            </w:r>
          </w:p>
        </w:tc>
        <w:tc>
          <w:tcPr>
            <w:tcW w:w="1336" w:type="dxa"/>
            <w:vAlign w:val="center"/>
          </w:tcPr>
          <w:p w:rsidR="005A1BD9" w:rsidRDefault="005A1BD9" w:rsidP="00E960F1">
            <w:pPr>
              <w:pStyle w:val="TableNumberTableformating"/>
            </w:pPr>
            <w:r>
              <w:t>39%</w:t>
            </w:r>
          </w:p>
        </w:tc>
      </w:tr>
      <w:tr w:rsidR="005A1BD9" w:rsidTr="00E960F1">
        <w:tc>
          <w:tcPr>
            <w:tcW w:w="3175" w:type="dxa"/>
          </w:tcPr>
          <w:p w:rsidR="005A1BD9" w:rsidRDefault="005A1BD9" w:rsidP="00C95D45">
            <w:r>
              <w:t>Queensland</w:t>
            </w:r>
          </w:p>
        </w:tc>
        <w:tc>
          <w:tcPr>
            <w:tcW w:w="1335" w:type="dxa"/>
            <w:vAlign w:val="center"/>
          </w:tcPr>
          <w:p w:rsidR="005A1BD9" w:rsidRDefault="005A1BD9" w:rsidP="00E960F1">
            <w:pPr>
              <w:pStyle w:val="TableNumberTableformating"/>
            </w:pPr>
            <w:r>
              <w:t>156 000</w:t>
            </w:r>
          </w:p>
        </w:tc>
        <w:tc>
          <w:tcPr>
            <w:tcW w:w="1335" w:type="dxa"/>
            <w:vAlign w:val="center"/>
          </w:tcPr>
          <w:p w:rsidR="005A1BD9" w:rsidRDefault="005A1BD9" w:rsidP="00E960F1">
            <w:pPr>
              <w:pStyle w:val="TableNumberTableformating"/>
            </w:pPr>
            <w:r>
              <w:t>241 000</w:t>
            </w:r>
          </w:p>
        </w:tc>
        <w:tc>
          <w:tcPr>
            <w:tcW w:w="1335" w:type="dxa"/>
            <w:vAlign w:val="center"/>
          </w:tcPr>
          <w:p w:rsidR="005A1BD9" w:rsidRDefault="005A1BD9" w:rsidP="00E960F1">
            <w:pPr>
              <w:pStyle w:val="TableNumberTableformating"/>
            </w:pPr>
            <w:r>
              <w:t>21%</w:t>
            </w:r>
          </w:p>
        </w:tc>
        <w:tc>
          <w:tcPr>
            <w:tcW w:w="1335" w:type="dxa"/>
            <w:vAlign w:val="center"/>
          </w:tcPr>
          <w:p w:rsidR="005A1BD9" w:rsidRDefault="005A1BD9" w:rsidP="00E960F1">
            <w:pPr>
              <w:pStyle w:val="TableNumberTableformating"/>
            </w:pPr>
            <w:r>
              <w:t>23%</w:t>
            </w:r>
          </w:p>
        </w:tc>
        <w:tc>
          <w:tcPr>
            <w:tcW w:w="1336" w:type="dxa"/>
            <w:vAlign w:val="center"/>
          </w:tcPr>
          <w:p w:rsidR="005A1BD9" w:rsidRDefault="005A1BD9" w:rsidP="00E960F1">
            <w:pPr>
              <w:pStyle w:val="TableNumberTableformating"/>
            </w:pPr>
            <w:r>
              <w:t>54%</w:t>
            </w:r>
          </w:p>
        </w:tc>
      </w:tr>
      <w:tr w:rsidR="005A1BD9" w:rsidTr="00E960F1">
        <w:tc>
          <w:tcPr>
            <w:tcW w:w="3175" w:type="dxa"/>
          </w:tcPr>
          <w:p w:rsidR="005A1BD9" w:rsidRDefault="005A1BD9" w:rsidP="00C95D45">
            <w:r>
              <w:t>Western Australia</w:t>
            </w:r>
          </w:p>
        </w:tc>
        <w:tc>
          <w:tcPr>
            <w:tcW w:w="1335" w:type="dxa"/>
            <w:vAlign w:val="center"/>
          </w:tcPr>
          <w:p w:rsidR="005A1BD9" w:rsidRDefault="005A1BD9" w:rsidP="00E960F1">
            <w:pPr>
              <w:pStyle w:val="TableNumberTableformating"/>
            </w:pPr>
            <w:r>
              <w:t>82 000</w:t>
            </w:r>
          </w:p>
        </w:tc>
        <w:tc>
          <w:tcPr>
            <w:tcW w:w="1335" w:type="dxa"/>
            <w:vAlign w:val="center"/>
          </w:tcPr>
          <w:p w:rsidR="005A1BD9" w:rsidRDefault="005A1BD9" w:rsidP="00E960F1">
            <w:pPr>
              <w:pStyle w:val="TableNumberTableformating"/>
            </w:pPr>
            <w:r>
              <w:t>139 000</w:t>
            </w:r>
          </w:p>
        </w:tc>
        <w:tc>
          <w:tcPr>
            <w:tcW w:w="1335" w:type="dxa"/>
            <w:vAlign w:val="center"/>
          </w:tcPr>
          <w:p w:rsidR="005A1BD9" w:rsidRDefault="005A1BD9" w:rsidP="00E960F1">
            <w:pPr>
              <w:pStyle w:val="TableNumberTableformating"/>
            </w:pPr>
            <w:r>
              <w:t>11%</w:t>
            </w:r>
          </w:p>
        </w:tc>
        <w:tc>
          <w:tcPr>
            <w:tcW w:w="1335" w:type="dxa"/>
            <w:vAlign w:val="center"/>
          </w:tcPr>
          <w:p w:rsidR="005A1BD9" w:rsidRDefault="005A1BD9" w:rsidP="00E960F1">
            <w:pPr>
              <w:pStyle w:val="TableNumberTableformating"/>
            </w:pPr>
            <w:r>
              <w:t>13%</w:t>
            </w:r>
          </w:p>
        </w:tc>
        <w:tc>
          <w:tcPr>
            <w:tcW w:w="1336" w:type="dxa"/>
            <w:vAlign w:val="center"/>
          </w:tcPr>
          <w:p w:rsidR="005A1BD9" w:rsidRDefault="005A1BD9" w:rsidP="00E960F1">
            <w:pPr>
              <w:pStyle w:val="TableNumberTableformating"/>
            </w:pPr>
            <w:r>
              <w:t>70%</w:t>
            </w:r>
          </w:p>
        </w:tc>
      </w:tr>
      <w:tr w:rsidR="005A1BD9" w:rsidTr="00E960F1">
        <w:tc>
          <w:tcPr>
            <w:tcW w:w="3175" w:type="dxa"/>
          </w:tcPr>
          <w:p w:rsidR="005A1BD9" w:rsidRDefault="005A1BD9" w:rsidP="00C95D45">
            <w:r>
              <w:t>South Australia</w:t>
            </w:r>
          </w:p>
        </w:tc>
        <w:tc>
          <w:tcPr>
            <w:tcW w:w="1335" w:type="dxa"/>
            <w:vAlign w:val="center"/>
          </w:tcPr>
          <w:p w:rsidR="005A1BD9" w:rsidRDefault="005A1BD9" w:rsidP="00E960F1">
            <w:pPr>
              <w:pStyle w:val="TableNumberTableformating"/>
            </w:pPr>
            <w:r>
              <w:t>50 000</w:t>
            </w:r>
          </w:p>
        </w:tc>
        <w:tc>
          <w:tcPr>
            <w:tcW w:w="1335" w:type="dxa"/>
            <w:vAlign w:val="center"/>
          </w:tcPr>
          <w:p w:rsidR="005A1BD9" w:rsidRDefault="005A1BD9" w:rsidP="00E960F1">
            <w:pPr>
              <w:pStyle w:val="TableNumberTableformating"/>
            </w:pPr>
            <w:r>
              <w:t>69 000</w:t>
            </w:r>
          </w:p>
        </w:tc>
        <w:tc>
          <w:tcPr>
            <w:tcW w:w="1335" w:type="dxa"/>
            <w:vAlign w:val="center"/>
          </w:tcPr>
          <w:p w:rsidR="005A1BD9" w:rsidRDefault="005A1BD9" w:rsidP="00E960F1">
            <w:pPr>
              <w:pStyle w:val="TableNumberTableformating"/>
            </w:pPr>
            <w:r>
              <w:t>7%</w:t>
            </w:r>
          </w:p>
        </w:tc>
        <w:tc>
          <w:tcPr>
            <w:tcW w:w="1335" w:type="dxa"/>
            <w:vAlign w:val="center"/>
          </w:tcPr>
          <w:p w:rsidR="005A1BD9" w:rsidRDefault="005A1BD9" w:rsidP="00E960F1">
            <w:pPr>
              <w:pStyle w:val="TableNumberTableformating"/>
            </w:pPr>
            <w:r>
              <w:t>7%</w:t>
            </w:r>
          </w:p>
        </w:tc>
        <w:tc>
          <w:tcPr>
            <w:tcW w:w="1336" w:type="dxa"/>
            <w:vAlign w:val="center"/>
          </w:tcPr>
          <w:p w:rsidR="005A1BD9" w:rsidRDefault="005A1BD9" w:rsidP="00E960F1">
            <w:pPr>
              <w:pStyle w:val="TableNumberTableformating"/>
            </w:pPr>
            <w:r>
              <w:t>38%</w:t>
            </w:r>
          </w:p>
        </w:tc>
      </w:tr>
      <w:tr w:rsidR="005A1BD9" w:rsidTr="00E960F1">
        <w:tc>
          <w:tcPr>
            <w:tcW w:w="3175" w:type="dxa"/>
          </w:tcPr>
          <w:p w:rsidR="005A1BD9" w:rsidRDefault="005A1BD9" w:rsidP="00C95D45">
            <w:r>
              <w:t>Tasmania</w:t>
            </w:r>
          </w:p>
        </w:tc>
        <w:tc>
          <w:tcPr>
            <w:tcW w:w="1335" w:type="dxa"/>
            <w:vAlign w:val="center"/>
          </w:tcPr>
          <w:p w:rsidR="005A1BD9" w:rsidRDefault="005A1BD9" w:rsidP="00E960F1">
            <w:pPr>
              <w:pStyle w:val="TableNumberTableformating"/>
            </w:pPr>
            <w:r>
              <w:t>12 000</w:t>
            </w:r>
          </w:p>
        </w:tc>
        <w:tc>
          <w:tcPr>
            <w:tcW w:w="1335" w:type="dxa"/>
            <w:vAlign w:val="center"/>
          </w:tcPr>
          <w:p w:rsidR="005A1BD9" w:rsidRDefault="005A1BD9" w:rsidP="00E960F1">
            <w:pPr>
              <w:pStyle w:val="TableNumberTableformating"/>
            </w:pPr>
            <w:r>
              <w:t>18 000</w:t>
            </w:r>
          </w:p>
        </w:tc>
        <w:tc>
          <w:tcPr>
            <w:tcW w:w="1335" w:type="dxa"/>
            <w:vAlign w:val="center"/>
          </w:tcPr>
          <w:p w:rsidR="005A1BD9" w:rsidRDefault="005A1BD9" w:rsidP="00E960F1">
            <w:pPr>
              <w:pStyle w:val="TableNumberTableformating"/>
            </w:pPr>
            <w:r>
              <w:t>2%</w:t>
            </w:r>
          </w:p>
        </w:tc>
        <w:tc>
          <w:tcPr>
            <w:tcW w:w="1335" w:type="dxa"/>
            <w:vAlign w:val="center"/>
          </w:tcPr>
          <w:p w:rsidR="005A1BD9" w:rsidRDefault="005A1BD9" w:rsidP="00E960F1">
            <w:pPr>
              <w:pStyle w:val="TableNumberTableformating"/>
            </w:pPr>
            <w:r>
              <w:t>2%</w:t>
            </w:r>
          </w:p>
        </w:tc>
        <w:tc>
          <w:tcPr>
            <w:tcW w:w="1336" w:type="dxa"/>
            <w:vAlign w:val="center"/>
          </w:tcPr>
          <w:p w:rsidR="005A1BD9" w:rsidRDefault="005A1BD9" w:rsidP="00E960F1">
            <w:pPr>
              <w:pStyle w:val="TableNumberTableformating"/>
            </w:pPr>
            <w:r>
              <w:t>50%</w:t>
            </w:r>
          </w:p>
        </w:tc>
      </w:tr>
      <w:tr w:rsidR="005A1BD9" w:rsidTr="00E960F1">
        <w:tc>
          <w:tcPr>
            <w:tcW w:w="3175" w:type="dxa"/>
          </w:tcPr>
          <w:p w:rsidR="005A1BD9" w:rsidRDefault="005A1BD9" w:rsidP="00C95D45">
            <w:r>
              <w:t>Northern Territory</w:t>
            </w:r>
          </w:p>
        </w:tc>
        <w:tc>
          <w:tcPr>
            <w:tcW w:w="1335" w:type="dxa"/>
            <w:vAlign w:val="center"/>
          </w:tcPr>
          <w:p w:rsidR="005A1BD9" w:rsidRDefault="005A1BD9" w:rsidP="00E960F1">
            <w:pPr>
              <w:pStyle w:val="TableNumberTableformating"/>
            </w:pPr>
            <w:r>
              <w:t>7 000</w:t>
            </w:r>
          </w:p>
        </w:tc>
        <w:tc>
          <w:tcPr>
            <w:tcW w:w="1335" w:type="dxa"/>
            <w:vAlign w:val="center"/>
          </w:tcPr>
          <w:p w:rsidR="005A1BD9" w:rsidRDefault="005A1BD9" w:rsidP="00E960F1">
            <w:pPr>
              <w:pStyle w:val="TableNumberTableformating"/>
            </w:pPr>
            <w:r>
              <w:t>15 000</w:t>
            </w:r>
          </w:p>
        </w:tc>
        <w:tc>
          <w:tcPr>
            <w:tcW w:w="1335" w:type="dxa"/>
            <w:vAlign w:val="center"/>
          </w:tcPr>
          <w:p w:rsidR="005A1BD9" w:rsidRDefault="005A1BD9" w:rsidP="00E960F1">
            <w:pPr>
              <w:pStyle w:val="TableNumberTableformating"/>
            </w:pPr>
            <w:r>
              <w:t>1%</w:t>
            </w:r>
          </w:p>
        </w:tc>
        <w:tc>
          <w:tcPr>
            <w:tcW w:w="1335" w:type="dxa"/>
            <w:vAlign w:val="center"/>
          </w:tcPr>
          <w:p w:rsidR="005A1BD9" w:rsidRDefault="005A1BD9" w:rsidP="00E960F1">
            <w:pPr>
              <w:pStyle w:val="TableNumberTableformating"/>
            </w:pPr>
            <w:r>
              <w:t>1%</w:t>
            </w:r>
          </w:p>
        </w:tc>
        <w:tc>
          <w:tcPr>
            <w:tcW w:w="1336" w:type="dxa"/>
            <w:vAlign w:val="center"/>
          </w:tcPr>
          <w:p w:rsidR="005A1BD9" w:rsidRDefault="005A1BD9" w:rsidP="00E960F1">
            <w:pPr>
              <w:pStyle w:val="TableNumberTableformating"/>
            </w:pPr>
            <w:r>
              <w:t>114%</w:t>
            </w:r>
          </w:p>
        </w:tc>
      </w:tr>
      <w:tr w:rsidR="005A1BD9" w:rsidTr="007E1018">
        <w:tc>
          <w:tcPr>
            <w:tcW w:w="3175" w:type="dxa"/>
          </w:tcPr>
          <w:p w:rsidR="005A1BD9" w:rsidRDefault="005A1BD9" w:rsidP="00C95D45">
            <w:r>
              <w:t>Australian Capital Territory</w:t>
            </w:r>
          </w:p>
        </w:tc>
        <w:tc>
          <w:tcPr>
            <w:tcW w:w="1335" w:type="dxa"/>
            <w:vAlign w:val="center"/>
          </w:tcPr>
          <w:p w:rsidR="005A1BD9" w:rsidRDefault="005A1BD9" w:rsidP="00513A50">
            <w:pPr>
              <w:pStyle w:val="TableNumberTableformating"/>
            </w:pPr>
            <w:r>
              <w:t>10 000</w:t>
            </w:r>
          </w:p>
        </w:tc>
        <w:tc>
          <w:tcPr>
            <w:tcW w:w="1335" w:type="dxa"/>
            <w:vAlign w:val="center"/>
          </w:tcPr>
          <w:p w:rsidR="005A1BD9" w:rsidRDefault="005A1BD9" w:rsidP="00513A50">
            <w:pPr>
              <w:pStyle w:val="TableNumberTableformating"/>
            </w:pPr>
            <w:r>
              <w:t>14 000</w:t>
            </w:r>
          </w:p>
        </w:tc>
        <w:tc>
          <w:tcPr>
            <w:tcW w:w="1335" w:type="dxa"/>
            <w:vAlign w:val="center"/>
          </w:tcPr>
          <w:p w:rsidR="005A1BD9" w:rsidRDefault="005A1BD9" w:rsidP="00513A50">
            <w:pPr>
              <w:pStyle w:val="TableNumberTableformating"/>
            </w:pPr>
            <w:r>
              <w:t>1%</w:t>
            </w:r>
          </w:p>
        </w:tc>
        <w:tc>
          <w:tcPr>
            <w:tcW w:w="1335" w:type="dxa"/>
            <w:vAlign w:val="center"/>
          </w:tcPr>
          <w:p w:rsidR="005A1BD9" w:rsidRDefault="005A1BD9" w:rsidP="00513A50">
            <w:pPr>
              <w:pStyle w:val="TableNumberTableformating"/>
            </w:pPr>
            <w:r>
              <w:t>1%</w:t>
            </w:r>
          </w:p>
        </w:tc>
        <w:tc>
          <w:tcPr>
            <w:tcW w:w="1336" w:type="dxa"/>
            <w:vAlign w:val="center"/>
          </w:tcPr>
          <w:p w:rsidR="005A1BD9" w:rsidRDefault="005A1BD9" w:rsidP="00513A50">
            <w:pPr>
              <w:pStyle w:val="TableNumberTableformating"/>
            </w:pPr>
            <w:r>
              <w:t>40%</w:t>
            </w:r>
          </w:p>
        </w:tc>
      </w:tr>
      <w:tr w:rsidR="005A1BD9" w:rsidTr="007E1018">
        <w:tc>
          <w:tcPr>
            <w:tcW w:w="3175" w:type="dxa"/>
          </w:tcPr>
          <w:p w:rsidR="005A1BD9" w:rsidRDefault="005A1BD9" w:rsidP="00C95D45">
            <w:r>
              <w:t>Total</w:t>
            </w:r>
          </w:p>
        </w:tc>
        <w:tc>
          <w:tcPr>
            <w:tcW w:w="1335" w:type="dxa"/>
            <w:vAlign w:val="center"/>
          </w:tcPr>
          <w:p w:rsidR="005A1BD9" w:rsidRDefault="005A1BD9" w:rsidP="00513A50">
            <w:pPr>
              <w:pStyle w:val="TableNumberBoldTableformating"/>
            </w:pPr>
            <w:r>
              <w:t>753 000</w:t>
            </w:r>
          </w:p>
        </w:tc>
        <w:tc>
          <w:tcPr>
            <w:tcW w:w="1335" w:type="dxa"/>
            <w:vAlign w:val="center"/>
          </w:tcPr>
          <w:p w:rsidR="005A1BD9" w:rsidRDefault="005A1BD9" w:rsidP="00513A50">
            <w:pPr>
              <w:pStyle w:val="TableNumberBoldTableformating"/>
            </w:pPr>
            <w:r>
              <w:t>1 030 000</w:t>
            </w:r>
          </w:p>
        </w:tc>
        <w:tc>
          <w:tcPr>
            <w:tcW w:w="1335" w:type="dxa"/>
            <w:vAlign w:val="center"/>
          </w:tcPr>
          <w:p w:rsidR="005A1BD9" w:rsidRDefault="005A1BD9" w:rsidP="00513A50">
            <w:pPr>
              <w:pStyle w:val="TableNumberBoldTableformating"/>
            </w:pPr>
            <w:r>
              <w:t>100%</w:t>
            </w:r>
          </w:p>
        </w:tc>
        <w:tc>
          <w:tcPr>
            <w:tcW w:w="1335" w:type="dxa"/>
            <w:vAlign w:val="center"/>
          </w:tcPr>
          <w:p w:rsidR="005A1BD9" w:rsidRDefault="005A1BD9" w:rsidP="00513A50">
            <w:pPr>
              <w:pStyle w:val="TableNumberBoldTableformating"/>
            </w:pPr>
            <w:r>
              <w:t>100%</w:t>
            </w:r>
          </w:p>
        </w:tc>
        <w:tc>
          <w:tcPr>
            <w:tcW w:w="1336" w:type="dxa"/>
            <w:vAlign w:val="center"/>
          </w:tcPr>
          <w:p w:rsidR="005A1BD9" w:rsidRDefault="005A1BD9" w:rsidP="00513A50">
            <w:pPr>
              <w:pStyle w:val="TableNumberBoldTableformating"/>
            </w:pPr>
            <w:r>
              <w:t>37%</w:t>
            </w:r>
          </w:p>
        </w:tc>
      </w:tr>
    </w:tbl>
    <w:p w:rsidR="00C95D45" w:rsidRDefault="00C95D45" w:rsidP="00C95D45"/>
    <w:p w:rsidR="00C95D45" w:rsidRDefault="00C95D45" w:rsidP="00513A50">
      <w:pPr>
        <w:pStyle w:val="BodyText1"/>
      </w:pPr>
      <w:r w:rsidRPr="00C95D45">
        <w:t>There was also a difference in the proportion of workers in each state or territory who were self-employed. South Australia and Tasmania have the highest proportions of all the states and territories that are self-employed. Table 6 shows overall the proportion of construction workers who are employees has increased by 15% between 2003 and 2013.</w:t>
      </w:r>
    </w:p>
    <w:p w:rsidR="00C95D45" w:rsidRPr="00C95D45" w:rsidRDefault="00C95D45" w:rsidP="00C95D45">
      <w:pPr>
        <w:rPr>
          <w:rFonts w:ascii="Arial" w:hAnsi="Arial" w:cs="Arial"/>
          <w:color w:val="000000"/>
          <w:szCs w:val="22"/>
          <w:lang w:val="en-US"/>
        </w:rPr>
      </w:pPr>
    </w:p>
    <w:p w:rsidR="00C95D45" w:rsidRDefault="00C95D45" w:rsidP="00E22A92">
      <w:pPr>
        <w:pStyle w:val="Tableheading"/>
      </w:pPr>
      <w:r>
        <w:t>Table 6: Construction workers: percentage by state or territory and employment status, 2003 and 2013</w:t>
      </w:r>
    </w:p>
    <w:tbl>
      <w:tblPr>
        <w:tblStyle w:val="TableGrid"/>
        <w:tblW w:w="10092" w:type="dxa"/>
        <w:tblLook w:val="04A0" w:firstRow="1" w:lastRow="0" w:firstColumn="1" w:lastColumn="0" w:noHBand="0" w:noVBand="1"/>
        <w:tblCaption w:val="Table 6: Construction workers: percentage by state or territory and employment status, 2003 and 2013"/>
        <w:tblDescription w:val="Table 6 shows overall the proportion of construction workers who are employees has increased by 15% between 2003 and 2013."/>
      </w:tblPr>
      <w:tblGrid>
        <w:gridCol w:w="3288"/>
        <w:gridCol w:w="1701"/>
        <w:gridCol w:w="1701"/>
        <w:gridCol w:w="1701"/>
        <w:gridCol w:w="1701"/>
      </w:tblGrid>
      <w:tr w:rsidR="007E1018" w:rsidTr="00715413">
        <w:trPr>
          <w:tblHeader/>
        </w:trPr>
        <w:tc>
          <w:tcPr>
            <w:tcW w:w="3288" w:type="dxa"/>
          </w:tcPr>
          <w:p w:rsidR="007E1018" w:rsidRDefault="007E1018" w:rsidP="008C4D45"/>
        </w:tc>
        <w:tc>
          <w:tcPr>
            <w:tcW w:w="3402" w:type="dxa"/>
            <w:gridSpan w:val="2"/>
          </w:tcPr>
          <w:p w:rsidR="007E1018" w:rsidRDefault="007E1018" w:rsidP="008C4D45">
            <w:pPr>
              <w:pStyle w:val="Tableheaderrow"/>
            </w:pPr>
            <w:r>
              <w:t>2003</w:t>
            </w:r>
          </w:p>
        </w:tc>
        <w:tc>
          <w:tcPr>
            <w:tcW w:w="3402" w:type="dxa"/>
            <w:gridSpan w:val="2"/>
          </w:tcPr>
          <w:p w:rsidR="007E1018" w:rsidRDefault="007E1018" w:rsidP="008C4D45">
            <w:pPr>
              <w:pStyle w:val="Tableheaderrow"/>
            </w:pPr>
            <w:r>
              <w:t>2013</w:t>
            </w:r>
          </w:p>
        </w:tc>
      </w:tr>
      <w:tr w:rsidR="007E1018" w:rsidTr="00715413">
        <w:trPr>
          <w:tblHeader/>
        </w:trPr>
        <w:tc>
          <w:tcPr>
            <w:tcW w:w="3288" w:type="dxa"/>
          </w:tcPr>
          <w:p w:rsidR="007E1018" w:rsidRDefault="007E1018" w:rsidP="008C4D45">
            <w:pPr>
              <w:pStyle w:val="Tableheaderrow"/>
              <w:jc w:val="left"/>
            </w:pPr>
            <w:r>
              <w:t>State/territory</w:t>
            </w:r>
          </w:p>
        </w:tc>
        <w:tc>
          <w:tcPr>
            <w:tcW w:w="1701" w:type="dxa"/>
            <w:vAlign w:val="center"/>
          </w:tcPr>
          <w:p w:rsidR="007E1018" w:rsidRDefault="007E1018" w:rsidP="00E960F1">
            <w:pPr>
              <w:pStyle w:val="Tableheaderrow"/>
              <w:jc w:val="right"/>
            </w:pPr>
            <w:r>
              <w:t>Employee</w:t>
            </w:r>
          </w:p>
        </w:tc>
        <w:tc>
          <w:tcPr>
            <w:tcW w:w="1701" w:type="dxa"/>
            <w:vAlign w:val="center"/>
          </w:tcPr>
          <w:p w:rsidR="007E1018" w:rsidRPr="009926F2" w:rsidRDefault="007E1018" w:rsidP="00E960F1">
            <w:pPr>
              <w:pStyle w:val="Tableheaderrow"/>
              <w:jc w:val="right"/>
            </w:pPr>
            <w:r w:rsidRPr="009926F2">
              <w:t>Self-employed</w:t>
            </w:r>
          </w:p>
        </w:tc>
        <w:tc>
          <w:tcPr>
            <w:tcW w:w="1701" w:type="dxa"/>
            <w:vAlign w:val="center"/>
          </w:tcPr>
          <w:p w:rsidR="007E1018" w:rsidRPr="009926F2" w:rsidRDefault="007E1018" w:rsidP="00E960F1">
            <w:pPr>
              <w:pStyle w:val="Tableheaderrow"/>
              <w:jc w:val="right"/>
            </w:pPr>
            <w:r w:rsidRPr="009926F2">
              <w:t>Employees</w:t>
            </w:r>
          </w:p>
        </w:tc>
        <w:tc>
          <w:tcPr>
            <w:tcW w:w="1701" w:type="dxa"/>
            <w:vAlign w:val="center"/>
          </w:tcPr>
          <w:p w:rsidR="007E1018" w:rsidRPr="009926F2" w:rsidRDefault="007E1018" w:rsidP="00E960F1">
            <w:pPr>
              <w:pStyle w:val="Tableheaderrow"/>
              <w:jc w:val="right"/>
            </w:pPr>
            <w:r w:rsidRPr="009926F2">
              <w:t>Self-employed</w:t>
            </w:r>
          </w:p>
        </w:tc>
      </w:tr>
      <w:tr w:rsidR="007E1018" w:rsidTr="00E960F1">
        <w:tc>
          <w:tcPr>
            <w:tcW w:w="3288" w:type="dxa"/>
            <w:vAlign w:val="center"/>
          </w:tcPr>
          <w:p w:rsidR="007E1018" w:rsidRDefault="007E1018">
            <w:pPr>
              <w:pStyle w:val="TableStubsTableformating"/>
            </w:pPr>
            <w:r>
              <w:t>New South Wales</w:t>
            </w:r>
          </w:p>
        </w:tc>
        <w:tc>
          <w:tcPr>
            <w:tcW w:w="1701" w:type="dxa"/>
            <w:vAlign w:val="center"/>
          </w:tcPr>
          <w:p w:rsidR="007E1018" w:rsidRDefault="007E1018" w:rsidP="00E960F1">
            <w:pPr>
              <w:pStyle w:val="TableNumberTableformating"/>
            </w:pPr>
            <w:r>
              <w:t>68%</w:t>
            </w:r>
          </w:p>
        </w:tc>
        <w:tc>
          <w:tcPr>
            <w:tcW w:w="1701" w:type="dxa"/>
            <w:vAlign w:val="center"/>
          </w:tcPr>
          <w:p w:rsidR="007E1018" w:rsidRDefault="007E1018" w:rsidP="00E960F1">
            <w:pPr>
              <w:pStyle w:val="TableNumberTableformating"/>
            </w:pPr>
            <w:r>
              <w:t>32%</w:t>
            </w:r>
          </w:p>
        </w:tc>
        <w:tc>
          <w:tcPr>
            <w:tcW w:w="1701" w:type="dxa"/>
            <w:vAlign w:val="center"/>
          </w:tcPr>
          <w:p w:rsidR="007E1018" w:rsidRDefault="007E1018" w:rsidP="00E960F1">
            <w:pPr>
              <w:pStyle w:val="TableNumberTableformating"/>
            </w:pPr>
            <w:r>
              <w:t>75%</w:t>
            </w:r>
          </w:p>
        </w:tc>
        <w:tc>
          <w:tcPr>
            <w:tcW w:w="1701" w:type="dxa"/>
            <w:vAlign w:val="center"/>
          </w:tcPr>
          <w:p w:rsidR="007E1018" w:rsidRDefault="007E1018" w:rsidP="00E960F1">
            <w:pPr>
              <w:pStyle w:val="TableNumberTableformating"/>
            </w:pPr>
            <w:r>
              <w:t>25%</w:t>
            </w:r>
          </w:p>
        </w:tc>
      </w:tr>
      <w:tr w:rsidR="007E1018" w:rsidTr="00E960F1">
        <w:tc>
          <w:tcPr>
            <w:tcW w:w="3288" w:type="dxa"/>
            <w:vAlign w:val="center"/>
          </w:tcPr>
          <w:p w:rsidR="007E1018" w:rsidRDefault="007E1018">
            <w:pPr>
              <w:pStyle w:val="TableStubsTableformating"/>
            </w:pPr>
            <w:r>
              <w:t>Victoria</w:t>
            </w:r>
          </w:p>
        </w:tc>
        <w:tc>
          <w:tcPr>
            <w:tcW w:w="1701" w:type="dxa"/>
            <w:vAlign w:val="center"/>
          </w:tcPr>
          <w:p w:rsidR="007E1018" w:rsidRDefault="007E1018" w:rsidP="00E960F1">
            <w:pPr>
              <w:pStyle w:val="TableNumberTableformating"/>
            </w:pPr>
            <w:r>
              <w:t>69%</w:t>
            </w:r>
          </w:p>
        </w:tc>
        <w:tc>
          <w:tcPr>
            <w:tcW w:w="1701" w:type="dxa"/>
            <w:vAlign w:val="center"/>
          </w:tcPr>
          <w:p w:rsidR="007E1018" w:rsidRDefault="007E1018" w:rsidP="00E960F1">
            <w:pPr>
              <w:pStyle w:val="TableNumberTableformating"/>
            </w:pPr>
            <w:r>
              <w:t>31%</w:t>
            </w:r>
          </w:p>
        </w:tc>
        <w:tc>
          <w:tcPr>
            <w:tcW w:w="1701" w:type="dxa"/>
            <w:vAlign w:val="center"/>
          </w:tcPr>
          <w:p w:rsidR="007E1018" w:rsidRDefault="007E1018" w:rsidP="00E960F1">
            <w:pPr>
              <w:pStyle w:val="TableNumberTableformating"/>
            </w:pPr>
            <w:r>
              <w:t>76%</w:t>
            </w:r>
          </w:p>
        </w:tc>
        <w:tc>
          <w:tcPr>
            <w:tcW w:w="1701" w:type="dxa"/>
            <w:vAlign w:val="center"/>
          </w:tcPr>
          <w:p w:rsidR="007E1018" w:rsidRDefault="007E1018" w:rsidP="00E960F1">
            <w:pPr>
              <w:pStyle w:val="TableNumberTableformating"/>
            </w:pPr>
            <w:r>
              <w:t>24%</w:t>
            </w:r>
          </w:p>
        </w:tc>
      </w:tr>
      <w:tr w:rsidR="007E1018" w:rsidTr="00E960F1">
        <w:tc>
          <w:tcPr>
            <w:tcW w:w="3288" w:type="dxa"/>
            <w:vAlign w:val="center"/>
          </w:tcPr>
          <w:p w:rsidR="007E1018" w:rsidRDefault="007E1018">
            <w:pPr>
              <w:pStyle w:val="TableStubsTableformating"/>
            </w:pPr>
            <w:r>
              <w:t>Queensland</w:t>
            </w:r>
          </w:p>
        </w:tc>
        <w:tc>
          <w:tcPr>
            <w:tcW w:w="1701" w:type="dxa"/>
            <w:vAlign w:val="center"/>
          </w:tcPr>
          <w:p w:rsidR="007E1018" w:rsidRDefault="007E1018" w:rsidP="00E960F1">
            <w:pPr>
              <w:pStyle w:val="TableNumberTableformating"/>
            </w:pPr>
            <w:r>
              <w:t>64%</w:t>
            </w:r>
          </w:p>
        </w:tc>
        <w:tc>
          <w:tcPr>
            <w:tcW w:w="1701" w:type="dxa"/>
            <w:vAlign w:val="center"/>
          </w:tcPr>
          <w:p w:rsidR="007E1018" w:rsidRDefault="007E1018" w:rsidP="00E960F1">
            <w:pPr>
              <w:pStyle w:val="TableNumberTableformating"/>
            </w:pPr>
            <w:r>
              <w:t>36%</w:t>
            </w:r>
          </w:p>
        </w:tc>
        <w:tc>
          <w:tcPr>
            <w:tcW w:w="1701" w:type="dxa"/>
            <w:vAlign w:val="center"/>
          </w:tcPr>
          <w:p w:rsidR="007E1018" w:rsidRDefault="007E1018" w:rsidP="00E960F1">
            <w:pPr>
              <w:pStyle w:val="TableNumberTableformating"/>
            </w:pPr>
            <w:r>
              <w:t>78%</w:t>
            </w:r>
          </w:p>
        </w:tc>
        <w:tc>
          <w:tcPr>
            <w:tcW w:w="1701" w:type="dxa"/>
            <w:vAlign w:val="center"/>
          </w:tcPr>
          <w:p w:rsidR="007E1018" w:rsidRDefault="007E1018" w:rsidP="00E960F1">
            <w:pPr>
              <w:pStyle w:val="TableNumberTableformating"/>
            </w:pPr>
            <w:r>
              <w:t>22%</w:t>
            </w:r>
          </w:p>
        </w:tc>
      </w:tr>
      <w:tr w:rsidR="007E1018" w:rsidTr="00E960F1">
        <w:tc>
          <w:tcPr>
            <w:tcW w:w="3288" w:type="dxa"/>
            <w:vAlign w:val="center"/>
          </w:tcPr>
          <w:p w:rsidR="007E1018" w:rsidRDefault="007E1018">
            <w:pPr>
              <w:pStyle w:val="TableStubsTableformating"/>
            </w:pPr>
            <w:r>
              <w:t>South Australia</w:t>
            </w:r>
          </w:p>
        </w:tc>
        <w:tc>
          <w:tcPr>
            <w:tcW w:w="1701" w:type="dxa"/>
            <w:vAlign w:val="center"/>
          </w:tcPr>
          <w:p w:rsidR="007E1018" w:rsidRDefault="007E1018" w:rsidP="00E960F1">
            <w:pPr>
              <w:pStyle w:val="TableNumberTableformating"/>
            </w:pPr>
            <w:r>
              <w:t>59%</w:t>
            </w:r>
          </w:p>
        </w:tc>
        <w:tc>
          <w:tcPr>
            <w:tcW w:w="1701" w:type="dxa"/>
            <w:vAlign w:val="center"/>
          </w:tcPr>
          <w:p w:rsidR="007E1018" w:rsidRDefault="007E1018" w:rsidP="00E960F1">
            <w:pPr>
              <w:pStyle w:val="TableNumberTableformating"/>
            </w:pPr>
            <w:r>
              <w:t>41%</w:t>
            </w:r>
          </w:p>
        </w:tc>
        <w:tc>
          <w:tcPr>
            <w:tcW w:w="1701" w:type="dxa"/>
            <w:vAlign w:val="center"/>
          </w:tcPr>
          <w:p w:rsidR="007E1018" w:rsidRDefault="007E1018" w:rsidP="00E960F1">
            <w:pPr>
              <w:pStyle w:val="TableNumberTableformating"/>
            </w:pPr>
            <w:r>
              <w:t>70%</w:t>
            </w:r>
          </w:p>
        </w:tc>
        <w:tc>
          <w:tcPr>
            <w:tcW w:w="1701" w:type="dxa"/>
            <w:vAlign w:val="center"/>
          </w:tcPr>
          <w:p w:rsidR="007E1018" w:rsidRDefault="007E1018" w:rsidP="00E960F1">
            <w:pPr>
              <w:pStyle w:val="TableNumberTableformating"/>
            </w:pPr>
            <w:r>
              <w:t>30%</w:t>
            </w:r>
          </w:p>
        </w:tc>
      </w:tr>
      <w:tr w:rsidR="007E1018" w:rsidTr="00E960F1">
        <w:tc>
          <w:tcPr>
            <w:tcW w:w="3288" w:type="dxa"/>
            <w:vAlign w:val="center"/>
          </w:tcPr>
          <w:p w:rsidR="007E1018" w:rsidRDefault="007E1018">
            <w:pPr>
              <w:pStyle w:val="TableStubsTableformating"/>
            </w:pPr>
            <w:r>
              <w:t>Western Australia</w:t>
            </w:r>
          </w:p>
        </w:tc>
        <w:tc>
          <w:tcPr>
            <w:tcW w:w="1701" w:type="dxa"/>
            <w:vAlign w:val="center"/>
          </w:tcPr>
          <w:p w:rsidR="007E1018" w:rsidRDefault="007E1018" w:rsidP="00E960F1">
            <w:pPr>
              <w:pStyle w:val="TableNumberTableformating"/>
            </w:pPr>
            <w:r>
              <w:t>62%</w:t>
            </w:r>
          </w:p>
        </w:tc>
        <w:tc>
          <w:tcPr>
            <w:tcW w:w="1701" w:type="dxa"/>
            <w:vAlign w:val="center"/>
          </w:tcPr>
          <w:p w:rsidR="007E1018" w:rsidRDefault="007E1018" w:rsidP="00E960F1">
            <w:pPr>
              <w:pStyle w:val="TableNumberTableformating"/>
            </w:pPr>
            <w:r>
              <w:t>38%</w:t>
            </w:r>
          </w:p>
        </w:tc>
        <w:tc>
          <w:tcPr>
            <w:tcW w:w="1701" w:type="dxa"/>
            <w:vAlign w:val="center"/>
          </w:tcPr>
          <w:p w:rsidR="007E1018" w:rsidRDefault="007E1018" w:rsidP="00E960F1">
            <w:pPr>
              <w:pStyle w:val="TableNumberTableformating"/>
            </w:pPr>
            <w:r>
              <w:t>78%</w:t>
            </w:r>
          </w:p>
        </w:tc>
        <w:tc>
          <w:tcPr>
            <w:tcW w:w="1701" w:type="dxa"/>
            <w:vAlign w:val="center"/>
          </w:tcPr>
          <w:p w:rsidR="007E1018" w:rsidRDefault="007E1018" w:rsidP="00E960F1">
            <w:pPr>
              <w:pStyle w:val="TableNumberTableformating"/>
            </w:pPr>
            <w:r>
              <w:t>22%</w:t>
            </w:r>
          </w:p>
        </w:tc>
      </w:tr>
      <w:tr w:rsidR="007E1018" w:rsidTr="00E960F1">
        <w:tc>
          <w:tcPr>
            <w:tcW w:w="3288" w:type="dxa"/>
            <w:vAlign w:val="center"/>
          </w:tcPr>
          <w:p w:rsidR="007E1018" w:rsidRDefault="007E1018">
            <w:pPr>
              <w:pStyle w:val="TableStubsTableformating"/>
            </w:pPr>
            <w:r>
              <w:t>Tasmania</w:t>
            </w:r>
          </w:p>
        </w:tc>
        <w:tc>
          <w:tcPr>
            <w:tcW w:w="1701" w:type="dxa"/>
            <w:vAlign w:val="center"/>
          </w:tcPr>
          <w:p w:rsidR="007E1018" w:rsidRDefault="007E1018" w:rsidP="00E960F1">
            <w:pPr>
              <w:pStyle w:val="TableNumberTableformating"/>
            </w:pPr>
            <w:r>
              <w:t>59%</w:t>
            </w:r>
          </w:p>
        </w:tc>
        <w:tc>
          <w:tcPr>
            <w:tcW w:w="1701" w:type="dxa"/>
            <w:vAlign w:val="center"/>
          </w:tcPr>
          <w:p w:rsidR="007E1018" w:rsidRDefault="007E1018" w:rsidP="00E960F1">
            <w:pPr>
              <w:pStyle w:val="TableNumberTableformating"/>
            </w:pPr>
            <w:r>
              <w:t>41%</w:t>
            </w:r>
          </w:p>
        </w:tc>
        <w:tc>
          <w:tcPr>
            <w:tcW w:w="1701" w:type="dxa"/>
            <w:vAlign w:val="center"/>
          </w:tcPr>
          <w:p w:rsidR="007E1018" w:rsidRDefault="007E1018" w:rsidP="00E960F1">
            <w:pPr>
              <w:pStyle w:val="TableNumberTableformating"/>
            </w:pPr>
            <w:r>
              <w:t>70%</w:t>
            </w:r>
          </w:p>
        </w:tc>
        <w:tc>
          <w:tcPr>
            <w:tcW w:w="1701" w:type="dxa"/>
            <w:vAlign w:val="center"/>
          </w:tcPr>
          <w:p w:rsidR="007E1018" w:rsidRDefault="007E1018" w:rsidP="00E960F1">
            <w:pPr>
              <w:pStyle w:val="TableNumberTableformating"/>
            </w:pPr>
            <w:r>
              <w:t>30%</w:t>
            </w:r>
          </w:p>
        </w:tc>
      </w:tr>
      <w:tr w:rsidR="007E1018" w:rsidTr="00E960F1">
        <w:tc>
          <w:tcPr>
            <w:tcW w:w="3288" w:type="dxa"/>
            <w:vAlign w:val="center"/>
          </w:tcPr>
          <w:p w:rsidR="007E1018" w:rsidRDefault="007E1018">
            <w:pPr>
              <w:pStyle w:val="TableStubsTableformating"/>
            </w:pPr>
            <w:r>
              <w:t>Northern Territory</w:t>
            </w:r>
          </w:p>
        </w:tc>
        <w:tc>
          <w:tcPr>
            <w:tcW w:w="1701" w:type="dxa"/>
            <w:vAlign w:val="center"/>
          </w:tcPr>
          <w:p w:rsidR="007E1018" w:rsidRDefault="007E1018" w:rsidP="00E960F1">
            <w:pPr>
              <w:pStyle w:val="TableNumberTableformating"/>
            </w:pPr>
            <w:r>
              <w:t>66%</w:t>
            </w:r>
          </w:p>
        </w:tc>
        <w:tc>
          <w:tcPr>
            <w:tcW w:w="1701" w:type="dxa"/>
            <w:vAlign w:val="center"/>
          </w:tcPr>
          <w:p w:rsidR="007E1018" w:rsidRDefault="007E1018" w:rsidP="00E960F1">
            <w:pPr>
              <w:pStyle w:val="TableNumberTableformating"/>
            </w:pPr>
            <w:r>
              <w:t>34%</w:t>
            </w:r>
          </w:p>
        </w:tc>
        <w:tc>
          <w:tcPr>
            <w:tcW w:w="1701" w:type="dxa"/>
            <w:vAlign w:val="center"/>
          </w:tcPr>
          <w:p w:rsidR="007E1018" w:rsidRDefault="007E1018" w:rsidP="00E960F1">
            <w:pPr>
              <w:pStyle w:val="TableNumberTableformating"/>
            </w:pPr>
            <w:r>
              <w:t>80%</w:t>
            </w:r>
          </w:p>
        </w:tc>
        <w:tc>
          <w:tcPr>
            <w:tcW w:w="1701" w:type="dxa"/>
            <w:vAlign w:val="center"/>
          </w:tcPr>
          <w:p w:rsidR="007E1018" w:rsidRDefault="007E1018" w:rsidP="00E960F1">
            <w:pPr>
              <w:pStyle w:val="TableNumberTableformating"/>
            </w:pPr>
            <w:r>
              <w:t>20%</w:t>
            </w:r>
          </w:p>
        </w:tc>
      </w:tr>
      <w:tr w:rsidR="007E1018" w:rsidTr="00E960F1">
        <w:tc>
          <w:tcPr>
            <w:tcW w:w="3288" w:type="dxa"/>
            <w:vAlign w:val="center"/>
          </w:tcPr>
          <w:p w:rsidR="007E1018" w:rsidRDefault="007E1018">
            <w:pPr>
              <w:pStyle w:val="TableStubsTableformating"/>
            </w:pPr>
            <w:r>
              <w:t>Australian Capital Territory</w:t>
            </w:r>
          </w:p>
        </w:tc>
        <w:tc>
          <w:tcPr>
            <w:tcW w:w="1701" w:type="dxa"/>
            <w:vAlign w:val="center"/>
          </w:tcPr>
          <w:p w:rsidR="007E1018" w:rsidRDefault="007E1018" w:rsidP="00E960F1">
            <w:pPr>
              <w:pStyle w:val="TableNumberTableformating"/>
            </w:pPr>
            <w:r>
              <w:t>62%</w:t>
            </w:r>
          </w:p>
        </w:tc>
        <w:tc>
          <w:tcPr>
            <w:tcW w:w="1701" w:type="dxa"/>
            <w:vAlign w:val="center"/>
          </w:tcPr>
          <w:p w:rsidR="007E1018" w:rsidRDefault="007E1018" w:rsidP="00E960F1">
            <w:pPr>
              <w:pStyle w:val="TableNumberTableformating"/>
            </w:pPr>
            <w:r>
              <w:t>38%</w:t>
            </w:r>
          </w:p>
        </w:tc>
        <w:tc>
          <w:tcPr>
            <w:tcW w:w="1701" w:type="dxa"/>
            <w:vAlign w:val="center"/>
          </w:tcPr>
          <w:p w:rsidR="007E1018" w:rsidRDefault="007E1018" w:rsidP="00E960F1">
            <w:pPr>
              <w:pStyle w:val="TableNumberTableformating"/>
            </w:pPr>
            <w:r>
              <w:t>83%</w:t>
            </w:r>
          </w:p>
        </w:tc>
        <w:tc>
          <w:tcPr>
            <w:tcW w:w="1701" w:type="dxa"/>
            <w:vAlign w:val="center"/>
          </w:tcPr>
          <w:p w:rsidR="007E1018" w:rsidRDefault="007E1018" w:rsidP="00E960F1">
            <w:pPr>
              <w:pStyle w:val="TableNumberTableformating"/>
            </w:pPr>
            <w:r>
              <w:t>17%</w:t>
            </w:r>
          </w:p>
        </w:tc>
      </w:tr>
      <w:tr w:rsidR="007E1018" w:rsidTr="00E960F1">
        <w:tc>
          <w:tcPr>
            <w:tcW w:w="3288" w:type="dxa"/>
            <w:vAlign w:val="center"/>
          </w:tcPr>
          <w:p w:rsidR="007E1018" w:rsidRDefault="007E1018">
            <w:pPr>
              <w:pStyle w:val="TableStubsBoldTableformating"/>
            </w:pPr>
            <w:r>
              <w:t>Total</w:t>
            </w:r>
          </w:p>
        </w:tc>
        <w:tc>
          <w:tcPr>
            <w:tcW w:w="1701" w:type="dxa"/>
            <w:vAlign w:val="center"/>
          </w:tcPr>
          <w:p w:rsidR="007E1018" w:rsidRDefault="007E1018" w:rsidP="00E960F1">
            <w:pPr>
              <w:pStyle w:val="TableNumberBoldTableformating"/>
            </w:pPr>
            <w:r>
              <w:t>66%</w:t>
            </w:r>
          </w:p>
        </w:tc>
        <w:tc>
          <w:tcPr>
            <w:tcW w:w="1701" w:type="dxa"/>
            <w:vAlign w:val="center"/>
          </w:tcPr>
          <w:p w:rsidR="007E1018" w:rsidRDefault="007E1018" w:rsidP="00E960F1">
            <w:pPr>
              <w:pStyle w:val="TableNumberBoldTableformating"/>
            </w:pPr>
            <w:r>
              <w:t>34%</w:t>
            </w:r>
          </w:p>
        </w:tc>
        <w:tc>
          <w:tcPr>
            <w:tcW w:w="1701" w:type="dxa"/>
            <w:vAlign w:val="center"/>
          </w:tcPr>
          <w:p w:rsidR="007E1018" w:rsidRDefault="007E1018" w:rsidP="00E960F1">
            <w:pPr>
              <w:pStyle w:val="TableNumberBoldTableformating"/>
            </w:pPr>
            <w:r>
              <w:t>76%</w:t>
            </w:r>
          </w:p>
        </w:tc>
        <w:tc>
          <w:tcPr>
            <w:tcW w:w="1701" w:type="dxa"/>
            <w:vAlign w:val="center"/>
          </w:tcPr>
          <w:p w:rsidR="007E1018" w:rsidRDefault="007E1018" w:rsidP="00E960F1">
            <w:pPr>
              <w:pStyle w:val="TableNumberBoldTableformating"/>
            </w:pPr>
            <w:r>
              <w:t>24%</w:t>
            </w:r>
          </w:p>
        </w:tc>
      </w:tr>
    </w:tbl>
    <w:p w:rsidR="00905D87" w:rsidRDefault="00905D87">
      <w:pPr>
        <w:rPr>
          <w:lang w:val="en-US"/>
        </w:rPr>
      </w:pPr>
      <w:r>
        <w:rPr>
          <w:lang w:val="en-US"/>
        </w:rPr>
        <w:br w:type="page"/>
      </w:r>
    </w:p>
    <w:p w:rsidR="00C95D45" w:rsidRDefault="00982F9F" w:rsidP="001F42A8">
      <w:pPr>
        <w:pStyle w:val="Heading1"/>
      </w:pPr>
      <w:bookmarkStart w:id="11" w:name="_Toc427590842"/>
      <w:r>
        <w:t>Worker fatalities in construction</w:t>
      </w:r>
      <w:bookmarkEnd w:id="11"/>
    </w:p>
    <w:p w:rsidR="00C95D45" w:rsidRDefault="00C95D45"/>
    <w:p w:rsidR="00C95D45" w:rsidRPr="00C95D45" w:rsidRDefault="00C95D45" w:rsidP="00513A50">
      <w:pPr>
        <w:pStyle w:val="BodyText1"/>
      </w:pPr>
      <w:r w:rsidRPr="00C95D45">
        <w:t>Over the period 2003 to 2013, 401 workers employed in the construction industry died from injuries sustained at work. This equates to 36</w:t>
      </w:r>
      <w:r w:rsidRPr="00C95D45">
        <w:rPr>
          <w:color w:val="BB2145"/>
        </w:rPr>
        <w:t xml:space="preserve"> </w:t>
      </w:r>
      <w:r w:rsidRPr="00C95D45">
        <w:t>workers per year and is 15% of all worker fatalities. All but four of these workers were men.</w:t>
      </w:r>
    </w:p>
    <w:p w:rsidR="00C95D45" w:rsidRDefault="00C95D45" w:rsidP="00513A50">
      <w:pPr>
        <w:pStyle w:val="BodyText1"/>
      </w:pPr>
      <w:r w:rsidRPr="00C95D45">
        <w:t>Figure 3 shows there has been a downward trend in both the number of fatalities and the fatality rate though the figures are quite volatile. These data show 2013 recorded the lowest number of fatalities in the time series. The 19 fatalities recorded in 2013 is 37% lower than in 2012 when 30 fatalities were recorded and 59% lower than the series high of 46 fatalities recorded in 2007.</w:t>
      </w:r>
    </w:p>
    <w:p w:rsidR="00C95D45" w:rsidRDefault="00C95D45" w:rsidP="00E22A92">
      <w:pPr>
        <w:pStyle w:val="Figureheadings"/>
      </w:pPr>
      <w:r>
        <w:t>Figure 3: Worker fatalities in the construction industry: number and fatality rate, 2003 to 2013</w:t>
      </w:r>
    </w:p>
    <w:p w:rsidR="00C95D45" w:rsidRDefault="004336E2" w:rsidP="00C95D45">
      <w:r>
        <w:rPr>
          <w:noProof/>
        </w:rPr>
        <w:drawing>
          <wp:inline distT="0" distB="0" distL="0" distR="0" wp14:anchorId="471FB22D" wp14:editId="26033B72">
            <wp:extent cx="4680000" cy="2160000"/>
            <wp:effectExtent l="0" t="0" r="6350" b="0"/>
            <wp:docPr id="3" name="Chart 3" descr="Graph of Worker fatalities by number and incidence rate" title="Figure 3: Worker fatalities in the construction industry: number and fatality rate, 2003 to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5D45" w:rsidRDefault="00C95D45" w:rsidP="00C95D45"/>
    <w:p w:rsidR="00C95D45" w:rsidRDefault="00E22A92" w:rsidP="00257F90">
      <w:pPr>
        <w:pStyle w:val="Heading2"/>
      </w:pPr>
      <w:bookmarkStart w:id="12" w:name="_Toc427590843"/>
      <w:r>
        <w:t>Fatalities by industry sector</w:t>
      </w:r>
      <w:bookmarkEnd w:id="12"/>
    </w:p>
    <w:p w:rsidR="00C95D45" w:rsidRDefault="00C95D45" w:rsidP="00C95D45"/>
    <w:p w:rsidR="00C95D45" w:rsidRPr="00C95D45" w:rsidRDefault="00C95D45" w:rsidP="00513A50">
      <w:pPr>
        <w:pStyle w:val="BodyText1"/>
      </w:pPr>
      <w:r w:rsidRPr="00C95D45">
        <w:t>Figure 4 shows over the 2003–13 period, 69% of fatalities in the construction industry involved workers in the construction services industry sub-division. The remainder involved workers in heavy &amp; civil engineering construction (19%) and building construction (12%).</w:t>
      </w:r>
    </w:p>
    <w:p w:rsidR="00C95D45" w:rsidRDefault="00C95D45" w:rsidP="00E22A92">
      <w:pPr>
        <w:pStyle w:val="Figureheadings"/>
      </w:pPr>
      <w:r>
        <w:t>Figure 4: Worker fatalities in the construction industry: number by industry sub-division, 2003 to 2013</w:t>
      </w:r>
    </w:p>
    <w:p w:rsidR="00C95D45" w:rsidRDefault="004336E2" w:rsidP="00C95D45">
      <w:r>
        <w:rPr>
          <w:noProof/>
        </w:rPr>
        <w:drawing>
          <wp:inline distT="0" distB="0" distL="0" distR="0" wp14:anchorId="650C48BF" wp14:editId="234FBA67">
            <wp:extent cx="5076000" cy="2340000"/>
            <wp:effectExtent l="0" t="0" r="0" b="3175"/>
            <wp:docPr id="4" name="Chart 4" descr="Figure 4 shows over the 2003–13 period, 69% of fatalities in the construction industry involved workers in the construction services industry sub-division. " title="Figure 4: Worker fatalities in the construction industry: number by industry sub-division, 2003 to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95D45" w:rsidRDefault="00C95D45" w:rsidP="00C95D45"/>
    <w:p w:rsidR="00C95D45" w:rsidRPr="00C95D45" w:rsidRDefault="00C95D45" w:rsidP="00513A50">
      <w:pPr>
        <w:pStyle w:val="BodyText1"/>
      </w:pPr>
      <w:r w:rsidRPr="00C95D45">
        <w:t xml:space="preserve">Table 7 shows despite the relatively high number of fatalities in the construction services sector, the higher employment in this sector means that its fatality rate is only slightly above the industry as a whole. </w:t>
      </w:r>
    </w:p>
    <w:p w:rsidR="008D72B2" w:rsidRDefault="008D72B2">
      <w:pPr>
        <w:rPr>
          <w:rFonts w:ascii="Arial" w:hAnsi="Arial" w:cs="Arial"/>
          <w:color w:val="FF0000"/>
          <w:lang w:val="en-US"/>
        </w:rPr>
      </w:pPr>
      <w:r>
        <w:br w:type="page"/>
      </w:r>
    </w:p>
    <w:p w:rsidR="00C95D45" w:rsidRDefault="00C95D45" w:rsidP="00E22A92">
      <w:pPr>
        <w:pStyle w:val="Tableheading"/>
      </w:pPr>
      <w:r>
        <w:t>Table 7:</w:t>
      </w:r>
      <w:r w:rsidRPr="00C95D45">
        <w:t xml:space="preserve"> </w:t>
      </w:r>
      <w:r>
        <w:t>Worker fatalities in the construction industry: number and fatality rate by industry sectors, 2003–07 and 2009–13</w:t>
      </w:r>
    </w:p>
    <w:tbl>
      <w:tblPr>
        <w:tblStyle w:val="TableGrid"/>
        <w:tblW w:w="0" w:type="auto"/>
        <w:tblLook w:val="04A0" w:firstRow="1" w:lastRow="0" w:firstColumn="1" w:lastColumn="0" w:noHBand="0" w:noVBand="1"/>
        <w:tblCaption w:val="Table 7: Worker fatalities in the construction industry: number and fatality rate by industry sectors, 2003–07 and 2009–13"/>
        <w:tblDescription w:val="Table 7 shows despite the relatively high number of fatalities in the construction services sector, the higher employment in this sector means that its fatality rate is only slightly above the industry as a whole."/>
      </w:tblPr>
      <w:tblGrid>
        <w:gridCol w:w="3345"/>
        <w:gridCol w:w="1417"/>
        <w:gridCol w:w="1134"/>
        <w:gridCol w:w="1526"/>
        <w:gridCol w:w="1134"/>
        <w:gridCol w:w="1191"/>
      </w:tblGrid>
      <w:tr w:rsidR="005A1BD9" w:rsidRPr="004336E2" w:rsidTr="00715413">
        <w:trPr>
          <w:tblHeader/>
        </w:trPr>
        <w:tc>
          <w:tcPr>
            <w:tcW w:w="3345" w:type="dxa"/>
            <w:vAlign w:val="center"/>
          </w:tcPr>
          <w:p w:rsidR="005A1BD9" w:rsidRPr="004336E2" w:rsidRDefault="005A1BD9" w:rsidP="004336E2">
            <w:pPr>
              <w:pStyle w:val="Tableheaderrow"/>
            </w:pPr>
          </w:p>
        </w:tc>
        <w:tc>
          <w:tcPr>
            <w:tcW w:w="2551" w:type="dxa"/>
            <w:gridSpan w:val="2"/>
            <w:vAlign w:val="center"/>
          </w:tcPr>
          <w:p w:rsidR="005A1BD9" w:rsidRPr="008E4662" w:rsidRDefault="00A12336" w:rsidP="00A12336">
            <w:pPr>
              <w:pStyle w:val="Tableheaderrow"/>
            </w:pPr>
            <w:r>
              <w:t>Number of</w:t>
            </w:r>
            <w:r w:rsidR="005A1BD9" w:rsidRPr="008E4662">
              <w:t xml:space="preserve"> fatalities</w:t>
            </w:r>
          </w:p>
        </w:tc>
        <w:tc>
          <w:tcPr>
            <w:tcW w:w="3851" w:type="dxa"/>
            <w:gridSpan w:val="3"/>
            <w:vAlign w:val="center"/>
          </w:tcPr>
          <w:p w:rsidR="005A1BD9" w:rsidRPr="008E4662" w:rsidRDefault="005A1BD9" w:rsidP="008E4662">
            <w:pPr>
              <w:pStyle w:val="Tableheaderrow"/>
            </w:pPr>
            <w:r w:rsidRPr="008E4662">
              <w:t>Fatality rate</w:t>
            </w:r>
          </w:p>
        </w:tc>
      </w:tr>
      <w:tr w:rsidR="005A1BD9" w:rsidRPr="004336E2" w:rsidTr="00715413">
        <w:trPr>
          <w:tblHeader/>
        </w:trPr>
        <w:tc>
          <w:tcPr>
            <w:tcW w:w="3345" w:type="dxa"/>
            <w:vAlign w:val="center"/>
          </w:tcPr>
          <w:p w:rsidR="005A1BD9" w:rsidRPr="004336E2" w:rsidRDefault="005A1BD9" w:rsidP="004336E2">
            <w:pPr>
              <w:pStyle w:val="Tableheaderrow"/>
              <w:jc w:val="left"/>
            </w:pPr>
          </w:p>
        </w:tc>
        <w:tc>
          <w:tcPr>
            <w:tcW w:w="1417" w:type="dxa"/>
            <w:vAlign w:val="center"/>
          </w:tcPr>
          <w:p w:rsidR="005A1BD9" w:rsidRPr="008E4662" w:rsidRDefault="005A1BD9" w:rsidP="008E4662">
            <w:pPr>
              <w:pStyle w:val="Tableheaderrow"/>
            </w:pPr>
            <w:r w:rsidRPr="008E4662">
              <w:t>2003-07</w:t>
            </w:r>
          </w:p>
        </w:tc>
        <w:tc>
          <w:tcPr>
            <w:tcW w:w="1134" w:type="dxa"/>
            <w:vAlign w:val="center"/>
          </w:tcPr>
          <w:p w:rsidR="005A1BD9" w:rsidRPr="008E4662" w:rsidRDefault="005A1BD9" w:rsidP="008E4662">
            <w:pPr>
              <w:pStyle w:val="Tableheaderrow"/>
            </w:pPr>
            <w:r w:rsidRPr="008E4662">
              <w:t>2009-13</w:t>
            </w:r>
          </w:p>
        </w:tc>
        <w:tc>
          <w:tcPr>
            <w:tcW w:w="1526" w:type="dxa"/>
            <w:vAlign w:val="center"/>
          </w:tcPr>
          <w:p w:rsidR="005A1BD9" w:rsidRPr="008E4662" w:rsidRDefault="005A1BD9" w:rsidP="008E4662">
            <w:pPr>
              <w:pStyle w:val="Tableheaderrow"/>
            </w:pPr>
            <w:r w:rsidRPr="008E4662">
              <w:t>2003-07</w:t>
            </w:r>
          </w:p>
        </w:tc>
        <w:tc>
          <w:tcPr>
            <w:tcW w:w="1134" w:type="dxa"/>
            <w:vAlign w:val="center"/>
          </w:tcPr>
          <w:p w:rsidR="005A1BD9" w:rsidRPr="008E4662" w:rsidRDefault="005A1BD9" w:rsidP="008E4662">
            <w:pPr>
              <w:pStyle w:val="Tableheaderrow"/>
            </w:pPr>
            <w:r w:rsidRPr="008E4662">
              <w:t>2009-13</w:t>
            </w:r>
          </w:p>
        </w:tc>
        <w:tc>
          <w:tcPr>
            <w:tcW w:w="1191" w:type="dxa"/>
            <w:vAlign w:val="center"/>
          </w:tcPr>
          <w:p w:rsidR="005A1BD9" w:rsidRPr="008E4662" w:rsidRDefault="005A1BD9" w:rsidP="008E4662">
            <w:pPr>
              <w:pStyle w:val="Tableheaderrow"/>
            </w:pPr>
            <w:r w:rsidRPr="008E4662">
              <w:t>% change</w:t>
            </w:r>
          </w:p>
        </w:tc>
      </w:tr>
      <w:tr w:rsidR="005A1BD9" w:rsidRPr="008E4662" w:rsidTr="00E960F1">
        <w:tc>
          <w:tcPr>
            <w:tcW w:w="3345" w:type="dxa"/>
          </w:tcPr>
          <w:p w:rsidR="005A1BD9" w:rsidRPr="008E4662" w:rsidRDefault="005A1BD9" w:rsidP="008E4662">
            <w:pPr>
              <w:pStyle w:val="Tablerowheadings"/>
            </w:pPr>
            <w:r w:rsidRPr="008E4662">
              <w:t>Construction services</w:t>
            </w:r>
          </w:p>
        </w:tc>
        <w:tc>
          <w:tcPr>
            <w:tcW w:w="1417" w:type="dxa"/>
            <w:vAlign w:val="center"/>
          </w:tcPr>
          <w:p w:rsidR="005A1BD9" w:rsidRPr="008E4662" w:rsidRDefault="005A1BD9" w:rsidP="00E960F1">
            <w:pPr>
              <w:pStyle w:val="Tablerowheadings"/>
              <w:jc w:val="right"/>
            </w:pPr>
            <w:r w:rsidRPr="008E4662">
              <w:t>138</w:t>
            </w:r>
          </w:p>
        </w:tc>
        <w:tc>
          <w:tcPr>
            <w:tcW w:w="1134" w:type="dxa"/>
            <w:vAlign w:val="center"/>
          </w:tcPr>
          <w:p w:rsidR="005A1BD9" w:rsidRPr="008E4662" w:rsidRDefault="005A1BD9" w:rsidP="00E960F1">
            <w:pPr>
              <w:pStyle w:val="Tablerowheadings"/>
              <w:jc w:val="right"/>
            </w:pPr>
            <w:r w:rsidRPr="008E4662">
              <w:t>119</w:t>
            </w:r>
          </w:p>
        </w:tc>
        <w:tc>
          <w:tcPr>
            <w:tcW w:w="1526" w:type="dxa"/>
            <w:vAlign w:val="center"/>
          </w:tcPr>
          <w:p w:rsidR="005A1BD9" w:rsidRPr="008E4662" w:rsidRDefault="005A1BD9" w:rsidP="00E960F1">
            <w:pPr>
              <w:pStyle w:val="Tablerowheadings"/>
              <w:jc w:val="right"/>
            </w:pPr>
            <w:r w:rsidRPr="008E4662">
              <w:t>4.69</w:t>
            </w:r>
          </w:p>
        </w:tc>
        <w:tc>
          <w:tcPr>
            <w:tcW w:w="1134" w:type="dxa"/>
            <w:vAlign w:val="center"/>
          </w:tcPr>
          <w:p w:rsidR="005A1BD9" w:rsidRPr="008E4662" w:rsidRDefault="005A1BD9" w:rsidP="00E960F1">
            <w:pPr>
              <w:pStyle w:val="Tablerowheadings"/>
              <w:jc w:val="right"/>
            </w:pPr>
            <w:r w:rsidRPr="008E4662">
              <w:t>3.38</w:t>
            </w:r>
          </w:p>
        </w:tc>
        <w:tc>
          <w:tcPr>
            <w:tcW w:w="1191" w:type="dxa"/>
            <w:vAlign w:val="center"/>
          </w:tcPr>
          <w:p w:rsidR="005A1BD9" w:rsidRPr="008E4662" w:rsidRDefault="005A1BD9" w:rsidP="00E960F1">
            <w:pPr>
              <w:pStyle w:val="Tablerowheadings"/>
              <w:jc w:val="right"/>
            </w:pPr>
            <w:r w:rsidRPr="008E4662">
              <w:t>-28%</w:t>
            </w:r>
          </w:p>
        </w:tc>
      </w:tr>
      <w:tr w:rsidR="005A1BD9" w:rsidRPr="008E4662" w:rsidTr="00E960F1">
        <w:tc>
          <w:tcPr>
            <w:tcW w:w="3345" w:type="dxa"/>
          </w:tcPr>
          <w:p w:rsidR="005A1BD9" w:rsidRPr="008E4662" w:rsidRDefault="005A1BD9" w:rsidP="008E4662">
            <w:pPr>
              <w:pStyle w:val="Tabletext"/>
            </w:pPr>
            <w:r w:rsidRPr="008E4662">
              <w:t>Building installation services</w:t>
            </w:r>
          </w:p>
        </w:tc>
        <w:tc>
          <w:tcPr>
            <w:tcW w:w="1417" w:type="dxa"/>
            <w:vAlign w:val="center"/>
          </w:tcPr>
          <w:p w:rsidR="005A1BD9" w:rsidRPr="008E4662" w:rsidRDefault="005A1BD9" w:rsidP="00E960F1">
            <w:pPr>
              <w:pStyle w:val="Tabletext"/>
              <w:jc w:val="right"/>
            </w:pPr>
            <w:r w:rsidRPr="008E4662">
              <w:t>44</w:t>
            </w:r>
          </w:p>
        </w:tc>
        <w:tc>
          <w:tcPr>
            <w:tcW w:w="1134" w:type="dxa"/>
            <w:vAlign w:val="center"/>
          </w:tcPr>
          <w:p w:rsidR="005A1BD9" w:rsidRPr="008E4662" w:rsidRDefault="005A1BD9" w:rsidP="00E960F1">
            <w:pPr>
              <w:pStyle w:val="Tabletext"/>
              <w:jc w:val="right"/>
            </w:pPr>
            <w:r w:rsidRPr="008E4662">
              <w:t>43</w:t>
            </w:r>
          </w:p>
        </w:tc>
        <w:tc>
          <w:tcPr>
            <w:tcW w:w="1526" w:type="dxa"/>
            <w:vAlign w:val="center"/>
          </w:tcPr>
          <w:p w:rsidR="005A1BD9" w:rsidRPr="008E4662" w:rsidRDefault="005A1BD9" w:rsidP="00E960F1">
            <w:pPr>
              <w:pStyle w:val="Tabletext"/>
              <w:jc w:val="right"/>
            </w:pPr>
            <w:r w:rsidRPr="008E4662">
              <w:t>4.75</w:t>
            </w:r>
          </w:p>
        </w:tc>
        <w:tc>
          <w:tcPr>
            <w:tcW w:w="1134" w:type="dxa"/>
            <w:vAlign w:val="center"/>
          </w:tcPr>
          <w:p w:rsidR="005A1BD9" w:rsidRPr="008E4662" w:rsidRDefault="005A1BD9" w:rsidP="00E960F1">
            <w:pPr>
              <w:pStyle w:val="Tabletext"/>
              <w:jc w:val="right"/>
            </w:pPr>
            <w:r w:rsidRPr="008E4662">
              <w:t>3.42</w:t>
            </w:r>
          </w:p>
        </w:tc>
        <w:tc>
          <w:tcPr>
            <w:tcW w:w="1191" w:type="dxa"/>
            <w:vAlign w:val="center"/>
          </w:tcPr>
          <w:p w:rsidR="005A1BD9" w:rsidRPr="008E4662" w:rsidRDefault="005A1BD9" w:rsidP="00E960F1">
            <w:pPr>
              <w:pStyle w:val="Tabletext"/>
              <w:jc w:val="right"/>
            </w:pPr>
            <w:r w:rsidRPr="008E4662">
              <w:t>-28%</w:t>
            </w:r>
          </w:p>
        </w:tc>
      </w:tr>
      <w:tr w:rsidR="005A1BD9" w:rsidRPr="008E4662" w:rsidTr="00E960F1">
        <w:tc>
          <w:tcPr>
            <w:tcW w:w="3345" w:type="dxa"/>
          </w:tcPr>
          <w:p w:rsidR="005A1BD9" w:rsidRPr="008E4662" w:rsidRDefault="005A1BD9" w:rsidP="008E4662">
            <w:pPr>
              <w:pStyle w:val="Tabletext"/>
            </w:pPr>
            <w:r w:rsidRPr="008E4662">
              <w:t>Land development &amp; site preparation services</w:t>
            </w:r>
          </w:p>
        </w:tc>
        <w:tc>
          <w:tcPr>
            <w:tcW w:w="1417" w:type="dxa"/>
            <w:vAlign w:val="center"/>
          </w:tcPr>
          <w:p w:rsidR="005A1BD9" w:rsidRPr="008E4662" w:rsidRDefault="005A1BD9" w:rsidP="00E960F1">
            <w:pPr>
              <w:pStyle w:val="Tabletext"/>
              <w:jc w:val="right"/>
            </w:pPr>
            <w:r w:rsidRPr="008E4662">
              <w:t>34</w:t>
            </w:r>
          </w:p>
        </w:tc>
        <w:tc>
          <w:tcPr>
            <w:tcW w:w="1134" w:type="dxa"/>
            <w:vAlign w:val="center"/>
          </w:tcPr>
          <w:p w:rsidR="005A1BD9" w:rsidRPr="008E4662" w:rsidRDefault="005A1BD9" w:rsidP="00E960F1">
            <w:pPr>
              <w:pStyle w:val="Tabletext"/>
              <w:jc w:val="right"/>
            </w:pPr>
            <w:r w:rsidRPr="008E4662">
              <w:t>28</w:t>
            </w:r>
          </w:p>
        </w:tc>
        <w:tc>
          <w:tcPr>
            <w:tcW w:w="1526" w:type="dxa"/>
            <w:vAlign w:val="center"/>
          </w:tcPr>
          <w:p w:rsidR="005A1BD9" w:rsidRPr="008E4662" w:rsidRDefault="005A1BD9" w:rsidP="00E960F1">
            <w:pPr>
              <w:pStyle w:val="Tabletext"/>
              <w:jc w:val="right"/>
            </w:pPr>
            <w:r w:rsidRPr="008E4662">
              <w:t>15.32</w:t>
            </w:r>
          </w:p>
        </w:tc>
        <w:tc>
          <w:tcPr>
            <w:tcW w:w="1134" w:type="dxa"/>
            <w:vAlign w:val="center"/>
          </w:tcPr>
          <w:p w:rsidR="005A1BD9" w:rsidRPr="008E4662" w:rsidRDefault="005A1BD9" w:rsidP="00E960F1">
            <w:pPr>
              <w:pStyle w:val="Tabletext"/>
              <w:jc w:val="right"/>
            </w:pPr>
            <w:r w:rsidRPr="008E4662">
              <w:t>9.94</w:t>
            </w:r>
          </w:p>
        </w:tc>
        <w:tc>
          <w:tcPr>
            <w:tcW w:w="1191" w:type="dxa"/>
            <w:vAlign w:val="center"/>
          </w:tcPr>
          <w:p w:rsidR="005A1BD9" w:rsidRPr="008E4662" w:rsidRDefault="005A1BD9" w:rsidP="00E960F1">
            <w:pPr>
              <w:pStyle w:val="Tabletext"/>
              <w:jc w:val="right"/>
            </w:pPr>
            <w:r w:rsidRPr="008E4662">
              <w:t>-35%</w:t>
            </w:r>
          </w:p>
        </w:tc>
      </w:tr>
      <w:tr w:rsidR="005A1BD9" w:rsidRPr="008E4662" w:rsidTr="00E960F1">
        <w:tc>
          <w:tcPr>
            <w:tcW w:w="3345" w:type="dxa"/>
          </w:tcPr>
          <w:p w:rsidR="005A1BD9" w:rsidRPr="008E4662" w:rsidRDefault="005A1BD9" w:rsidP="008E4662">
            <w:pPr>
              <w:pStyle w:val="Tabletext"/>
            </w:pPr>
            <w:r w:rsidRPr="008E4662">
              <w:t>Building completion services</w:t>
            </w:r>
          </w:p>
        </w:tc>
        <w:tc>
          <w:tcPr>
            <w:tcW w:w="1417" w:type="dxa"/>
            <w:vAlign w:val="center"/>
          </w:tcPr>
          <w:p w:rsidR="005A1BD9" w:rsidRPr="008E4662" w:rsidRDefault="005A1BD9" w:rsidP="00E960F1">
            <w:pPr>
              <w:pStyle w:val="Tabletext"/>
              <w:jc w:val="right"/>
            </w:pPr>
            <w:r w:rsidRPr="008E4662">
              <w:t>13</w:t>
            </w:r>
          </w:p>
        </w:tc>
        <w:tc>
          <w:tcPr>
            <w:tcW w:w="1134" w:type="dxa"/>
            <w:vAlign w:val="center"/>
          </w:tcPr>
          <w:p w:rsidR="005A1BD9" w:rsidRPr="008E4662" w:rsidRDefault="005A1BD9" w:rsidP="00E960F1">
            <w:pPr>
              <w:pStyle w:val="Tabletext"/>
              <w:jc w:val="right"/>
            </w:pPr>
            <w:r w:rsidRPr="008E4662">
              <w:t>22</w:t>
            </w:r>
          </w:p>
        </w:tc>
        <w:tc>
          <w:tcPr>
            <w:tcW w:w="1526" w:type="dxa"/>
            <w:vAlign w:val="center"/>
          </w:tcPr>
          <w:p w:rsidR="005A1BD9" w:rsidRPr="008E4662" w:rsidRDefault="005A1BD9" w:rsidP="00E960F1">
            <w:pPr>
              <w:pStyle w:val="Tabletext"/>
              <w:jc w:val="right"/>
            </w:pPr>
            <w:r w:rsidRPr="008E4662">
              <w:t>1.43</w:t>
            </w:r>
          </w:p>
        </w:tc>
        <w:tc>
          <w:tcPr>
            <w:tcW w:w="1134" w:type="dxa"/>
            <w:vAlign w:val="center"/>
          </w:tcPr>
          <w:p w:rsidR="005A1BD9" w:rsidRPr="008E4662" w:rsidRDefault="005A1BD9" w:rsidP="00E960F1">
            <w:pPr>
              <w:pStyle w:val="Tabletext"/>
              <w:jc w:val="right"/>
            </w:pPr>
            <w:r w:rsidRPr="008E4662">
              <w:t>2.20</w:t>
            </w:r>
          </w:p>
        </w:tc>
        <w:tc>
          <w:tcPr>
            <w:tcW w:w="1191" w:type="dxa"/>
            <w:vAlign w:val="center"/>
          </w:tcPr>
          <w:p w:rsidR="005A1BD9" w:rsidRPr="008E4662" w:rsidRDefault="005A1BD9" w:rsidP="00E960F1">
            <w:pPr>
              <w:pStyle w:val="Tabletext"/>
              <w:jc w:val="right"/>
            </w:pPr>
            <w:r w:rsidRPr="008E4662">
              <w:t>54%</w:t>
            </w:r>
          </w:p>
        </w:tc>
      </w:tr>
      <w:tr w:rsidR="005A1BD9" w:rsidRPr="008E4662" w:rsidTr="00E960F1">
        <w:tc>
          <w:tcPr>
            <w:tcW w:w="3345" w:type="dxa"/>
          </w:tcPr>
          <w:p w:rsidR="005A1BD9" w:rsidRPr="008E4662" w:rsidRDefault="005A1BD9" w:rsidP="008E4662">
            <w:pPr>
              <w:pStyle w:val="Tabletext"/>
            </w:pPr>
            <w:r w:rsidRPr="008E4662">
              <w:t>Building structure services</w:t>
            </w:r>
          </w:p>
        </w:tc>
        <w:tc>
          <w:tcPr>
            <w:tcW w:w="1417" w:type="dxa"/>
            <w:vAlign w:val="center"/>
          </w:tcPr>
          <w:p w:rsidR="005A1BD9" w:rsidRPr="008E4662" w:rsidRDefault="005A1BD9" w:rsidP="00E960F1">
            <w:pPr>
              <w:pStyle w:val="Tabletext"/>
              <w:jc w:val="right"/>
            </w:pPr>
            <w:r w:rsidRPr="008E4662">
              <w:t>30</w:t>
            </w:r>
          </w:p>
        </w:tc>
        <w:tc>
          <w:tcPr>
            <w:tcW w:w="1134" w:type="dxa"/>
            <w:vAlign w:val="center"/>
          </w:tcPr>
          <w:p w:rsidR="005A1BD9" w:rsidRPr="008E4662" w:rsidRDefault="005A1BD9" w:rsidP="00E960F1">
            <w:pPr>
              <w:pStyle w:val="Tabletext"/>
              <w:jc w:val="right"/>
            </w:pPr>
            <w:r w:rsidRPr="008E4662">
              <w:t>13</w:t>
            </w:r>
          </w:p>
        </w:tc>
        <w:tc>
          <w:tcPr>
            <w:tcW w:w="1526" w:type="dxa"/>
            <w:vAlign w:val="center"/>
          </w:tcPr>
          <w:p w:rsidR="005A1BD9" w:rsidRPr="008E4662" w:rsidRDefault="005A1BD9" w:rsidP="00E960F1">
            <w:pPr>
              <w:pStyle w:val="Tabletext"/>
              <w:jc w:val="right"/>
            </w:pPr>
            <w:r w:rsidRPr="008E4662">
              <w:t>6.67</w:t>
            </w:r>
          </w:p>
        </w:tc>
        <w:tc>
          <w:tcPr>
            <w:tcW w:w="1134" w:type="dxa"/>
            <w:vAlign w:val="center"/>
          </w:tcPr>
          <w:p w:rsidR="005A1BD9" w:rsidRPr="008E4662" w:rsidRDefault="005A1BD9" w:rsidP="00E960F1">
            <w:pPr>
              <w:pStyle w:val="Tabletext"/>
              <w:jc w:val="right"/>
            </w:pPr>
            <w:r w:rsidRPr="008E4662">
              <w:t>2.73</w:t>
            </w:r>
          </w:p>
        </w:tc>
        <w:tc>
          <w:tcPr>
            <w:tcW w:w="1191" w:type="dxa"/>
            <w:vAlign w:val="center"/>
          </w:tcPr>
          <w:p w:rsidR="005A1BD9" w:rsidRPr="008E4662" w:rsidRDefault="005A1BD9" w:rsidP="00E960F1">
            <w:pPr>
              <w:pStyle w:val="Tabletext"/>
              <w:jc w:val="right"/>
            </w:pPr>
            <w:r w:rsidRPr="008E4662">
              <w:t>-59%</w:t>
            </w:r>
          </w:p>
        </w:tc>
      </w:tr>
      <w:tr w:rsidR="005A1BD9" w:rsidRPr="008E4662" w:rsidTr="00E960F1">
        <w:tc>
          <w:tcPr>
            <w:tcW w:w="3345" w:type="dxa"/>
          </w:tcPr>
          <w:p w:rsidR="005A1BD9" w:rsidRPr="008E4662" w:rsidRDefault="005A1BD9" w:rsidP="008E4662">
            <w:pPr>
              <w:pStyle w:val="Tabletext"/>
            </w:pPr>
            <w:r w:rsidRPr="008E4662">
              <w:t>Other construction services</w:t>
            </w:r>
          </w:p>
        </w:tc>
        <w:tc>
          <w:tcPr>
            <w:tcW w:w="1417" w:type="dxa"/>
            <w:vAlign w:val="center"/>
          </w:tcPr>
          <w:p w:rsidR="005A1BD9" w:rsidRPr="008E4662" w:rsidRDefault="005A1BD9" w:rsidP="00E960F1">
            <w:pPr>
              <w:pStyle w:val="Tabletext"/>
              <w:jc w:val="right"/>
            </w:pPr>
            <w:r w:rsidRPr="008E4662">
              <w:t>17</w:t>
            </w:r>
          </w:p>
        </w:tc>
        <w:tc>
          <w:tcPr>
            <w:tcW w:w="1134" w:type="dxa"/>
            <w:vAlign w:val="center"/>
          </w:tcPr>
          <w:p w:rsidR="005A1BD9" w:rsidRPr="008E4662" w:rsidRDefault="005A1BD9" w:rsidP="00E960F1">
            <w:pPr>
              <w:pStyle w:val="Tabletext"/>
              <w:jc w:val="right"/>
            </w:pPr>
            <w:r w:rsidRPr="008E4662">
              <w:t>13</w:t>
            </w:r>
          </w:p>
        </w:tc>
        <w:tc>
          <w:tcPr>
            <w:tcW w:w="1526" w:type="dxa"/>
            <w:vAlign w:val="center"/>
          </w:tcPr>
          <w:p w:rsidR="005A1BD9" w:rsidRPr="008E4662" w:rsidRDefault="005A1BD9" w:rsidP="00E960F1">
            <w:pPr>
              <w:pStyle w:val="Tabletext"/>
              <w:jc w:val="right"/>
            </w:pPr>
            <w:r w:rsidRPr="008E4662">
              <w:t>3.96</w:t>
            </w:r>
          </w:p>
        </w:tc>
        <w:tc>
          <w:tcPr>
            <w:tcW w:w="1134" w:type="dxa"/>
            <w:vAlign w:val="center"/>
          </w:tcPr>
          <w:p w:rsidR="005A1BD9" w:rsidRPr="008E4662" w:rsidRDefault="005A1BD9" w:rsidP="00E960F1">
            <w:pPr>
              <w:pStyle w:val="Tabletext"/>
              <w:jc w:val="right"/>
            </w:pPr>
            <w:r w:rsidRPr="008E4662">
              <w:t>2.59</w:t>
            </w:r>
          </w:p>
        </w:tc>
        <w:tc>
          <w:tcPr>
            <w:tcW w:w="1191" w:type="dxa"/>
            <w:vAlign w:val="center"/>
          </w:tcPr>
          <w:p w:rsidR="005A1BD9" w:rsidRPr="008E4662" w:rsidRDefault="005A1BD9" w:rsidP="00E960F1">
            <w:pPr>
              <w:pStyle w:val="Tabletext"/>
              <w:jc w:val="right"/>
            </w:pPr>
            <w:r w:rsidRPr="008E4662">
              <w:t>-35%</w:t>
            </w:r>
          </w:p>
        </w:tc>
      </w:tr>
      <w:tr w:rsidR="005A1BD9" w:rsidRPr="008E4662" w:rsidTr="00E960F1">
        <w:tc>
          <w:tcPr>
            <w:tcW w:w="3345" w:type="dxa"/>
          </w:tcPr>
          <w:p w:rsidR="005A1BD9" w:rsidRPr="008E4662" w:rsidRDefault="005A1BD9" w:rsidP="008E4662">
            <w:pPr>
              <w:pStyle w:val="Tablerowheadings"/>
            </w:pPr>
            <w:r w:rsidRPr="008E4662">
              <w:t>Building construction</w:t>
            </w:r>
          </w:p>
        </w:tc>
        <w:tc>
          <w:tcPr>
            <w:tcW w:w="1417" w:type="dxa"/>
            <w:vAlign w:val="center"/>
          </w:tcPr>
          <w:p w:rsidR="005A1BD9" w:rsidRPr="008E4662" w:rsidRDefault="005A1BD9" w:rsidP="00E960F1">
            <w:pPr>
              <w:pStyle w:val="Tablerowheadings"/>
              <w:jc w:val="right"/>
            </w:pPr>
            <w:r w:rsidRPr="008E4662">
              <w:t>20</w:t>
            </w:r>
          </w:p>
        </w:tc>
        <w:tc>
          <w:tcPr>
            <w:tcW w:w="1134" w:type="dxa"/>
            <w:vAlign w:val="center"/>
          </w:tcPr>
          <w:p w:rsidR="005A1BD9" w:rsidRPr="008E4662" w:rsidRDefault="005A1BD9" w:rsidP="00E960F1">
            <w:pPr>
              <w:pStyle w:val="Tablerowheadings"/>
              <w:jc w:val="right"/>
            </w:pPr>
            <w:r w:rsidRPr="008E4662">
              <w:t>21</w:t>
            </w:r>
          </w:p>
        </w:tc>
        <w:tc>
          <w:tcPr>
            <w:tcW w:w="1526" w:type="dxa"/>
            <w:vAlign w:val="center"/>
          </w:tcPr>
          <w:p w:rsidR="005A1BD9" w:rsidRPr="008E4662" w:rsidRDefault="005A1BD9" w:rsidP="00E960F1">
            <w:pPr>
              <w:pStyle w:val="Tablerowheadings"/>
              <w:jc w:val="right"/>
            </w:pPr>
            <w:r w:rsidRPr="008E4662">
              <w:t>1.89</w:t>
            </w:r>
          </w:p>
        </w:tc>
        <w:tc>
          <w:tcPr>
            <w:tcW w:w="1134" w:type="dxa"/>
            <w:vAlign w:val="center"/>
          </w:tcPr>
          <w:p w:rsidR="005A1BD9" w:rsidRPr="008E4662" w:rsidRDefault="005A1BD9" w:rsidP="00E960F1">
            <w:pPr>
              <w:pStyle w:val="Tablerowheadings"/>
              <w:jc w:val="right"/>
            </w:pPr>
            <w:r w:rsidRPr="008E4662">
              <w:t>1.76</w:t>
            </w:r>
          </w:p>
        </w:tc>
        <w:tc>
          <w:tcPr>
            <w:tcW w:w="1191" w:type="dxa"/>
            <w:vAlign w:val="center"/>
          </w:tcPr>
          <w:p w:rsidR="005A1BD9" w:rsidRPr="008E4662" w:rsidRDefault="005A1BD9" w:rsidP="00E960F1">
            <w:pPr>
              <w:pStyle w:val="Tablerowheadings"/>
              <w:jc w:val="right"/>
            </w:pPr>
            <w:r w:rsidRPr="008E4662">
              <w:t>-7%</w:t>
            </w:r>
          </w:p>
        </w:tc>
      </w:tr>
      <w:tr w:rsidR="005A1BD9" w:rsidRPr="008E4662" w:rsidTr="00E960F1">
        <w:tc>
          <w:tcPr>
            <w:tcW w:w="3345" w:type="dxa"/>
          </w:tcPr>
          <w:p w:rsidR="005A1BD9" w:rsidRPr="00441BC3" w:rsidRDefault="005A1BD9" w:rsidP="008E4662">
            <w:pPr>
              <w:pStyle w:val="Tablerowheadings"/>
            </w:pPr>
            <w:r w:rsidRPr="00441BC3">
              <w:t>Heavy &amp; civil engineering construction</w:t>
            </w:r>
          </w:p>
        </w:tc>
        <w:tc>
          <w:tcPr>
            <w:tcW w:w="1417" w:type="dxa"/>
            <w:vAlign w:val="center"/>
          </w:tcPr>
          <w:p w:rsidR="005A1BD9" w:rsidRPr="00441BC3" w:rsidRDefault="005A1BD9" w:rsidP="00E960F1">
            <w:pPr>
              <w:pStyle w:val="Tablerowheadings"/>
              <w:jc w:val="right"/>
            </w:pPr>
            <w:r w:rsidRPr="00441BC3">
              <w:t>38</w:t>
            </w:r>
          </w:p>
        </w:tc>
        <w:tc>
          <w:tcPr>
            <w:tcW w:w="1134" w:type="dxa"/>
            <w:vAlign w:val="center"/>
          </w:tcPr>
          <w:p w:rsidR="005A1BD9" w:rsidRPr="00441BC3" w:rsidRDefault="005A1BD9" w:rsidP="00E960F1">
            <w:pPr>
              <w:pStyle w:val="Tablerowheadings"/>
              <w:jc w:val="right"/>
            </w:pPr>
            <w:r w:rsidRPr="00441BC3">
              <w:t>27</w:t>
            </w:r>
          </w:p>
        </w:tc>
        <w:tc>
          <w:tcPr>
            <w:tcW w:w="1526" w:type="dxa"/>
            <w:vAlign w:val="center"/>
          </w:tcPr>
          <w:p w:rsidR="005A1BD9" w:rsidRPr="00441BC3" w:rsidRDefault="005A1BD9" w:rsidP="00E960F1">
            <w:pPr>
              <w:pStyle w:val="Tablerowheadings"/>
              <w:jc w:val="right"/>
            </w:pPr>
            <w:r w:rsidRPr="00441BC3">
              <w:t>13.76</w:t>
            </w:r>
          </w:p>
        </w:tc>
        <w:tc>
          <w:tcPr>
            <w:tcW w:w="1134" w:type="dxa"/>
            <w:vAlign w:val="center"/>
          </w:tcPr>
          <w:p w:rsidR="005A1BD9" w:rsidRPr="00441BC3" w:rsidRDefault="005A1BD9" w:rsidP="00E960F1">
            <w:pPr>
              <w:pStyle w:val="Tablerowheadings"/>
              <w:jc w:val="right"/>
            </w:pPr>
            <w:r w:rsidRPr="00441BC3">
              <w:t>7.35</w:t>
            </w:r>
          </w:p>
        </w:tc>
        <w:tc>
          <w:tcPr>
            <w:tcW w:w="1191" w:type="dxa"/>
            <w:vAlign w:val="center"/>
          </w:tcPr>
          <w:p w:rsidR="005A1BD9" w:rsidRPr="00441BC3" w:rsidRDefault="005A1BD9" w:rsidP="00E960F1">
            <w:pPr>
              <w:pStyle w:val="Tablerowheadings"/>
              <w:jc w:val="right"/>
            </w:pPr>
            <w:r w:rsidRPr="00441BC3">
              <w:t>-47%</w:t>
            </w:r>
          </w:p>
        </w:tc>
      </w:tr>
      <w:tr w:rsidR="005A1BD9" w:rsidRPr="008E4662" w:rsidTr="00E960F1">
        <w:tc>
          <w:tcPr>
            <w:tcW w:w="3345" w:type="dxa"/>
          </w:tcPr>
          <w:p w:rsidR="005A1BD9" w:rsidRPr="00441BC3" w:rsidRDefault="005A1BD9" w:rsidP="008E4662">
            <w:pPr>
              <w:pStyle w:val="Tablerowheadings"/>
            </w:pPr>
            <w:r w:rsidRPr="00441BC3">
              <w:t>Total</w:t>
            </w:r>
          </w:p>
        </w:tc>
        <w:tc>
          <w:tcPr>
            <w:tcW w:w="1417" w:type="dxa"/>
            <w:vAlign w:val="center"/>
          </w:tcPr>
          <w:p w:rsidR="005A1BD9" w:rsidRPr="00441BC3" w:rsidRDefault="005A1BD9" w:rsidP="00E960F1">
            <w:pPr>
              <w:pStyle w:val="Tablerowheadings"/>
              <w:jc w:val="right"/>
            </w:pPr>
            <w:r w:rsidRPr="00441BC3">
              <w:t>196</w:t>
            </w:r>
          </w:p>
        </w:tc>
        <w:tc>
          <w:tcPr>
            <w:tcW w:w="1134" w:type="dxa"/>
            <w:vAlign w:val="center"/>
          </w:tcPr>
          <w:p w:rsidR="005A1BD9" w:rsidRPr="00441BC3" w:rsidRDefault="005A1BD9" w:rsidP="00E960F1">
            <w:pPr>
              <w:pStyle w:val="Tablerowheadings"/>
              <w:jc w:val="right"/>
            </w:pPr>
            <w:r w:rsidRPr="00441BC3">
              <w:t>167</w:t>
            </w:r>
          </w:p>
        </w:tc>
        <w:tc>
          <w:tcPr>
            <w:tcW w:w="1526" w:type="dxa"/>
            <w:vAlign w:val="center"/>
          </w:tcPr>
          <w:p w:rsidR="005A1BD9" w:rsidRPr="00441BC3" w:rsidRDefault="005A1BD9" w:rsidP="00E960F1">
            <w:pPr>
              <w:pStyle w:val="Tablerowheadings"/>
              <w:jc w:val="right"/>
            </w:pPr>
            <w:r w:rsidRPr="00441BC3">
              <w:t>4.59</w:t>
            </w:r>
          </w:p>
        </w:tc>
        <w:tc>
          <w:tcPr>
            <w:tcW w:w="1134" w:type="dxa"/>
            <w:vAlign w:val="center"/>
          </w:tcPr>
          <w:p w:rsidR="005A1BD9" w:rsidRPr="00441BC3" w:rsidRDefault="005A1BD9" w:rsidP="00E960F1">
            <w:pPr>
              <w:pStyle w:val="Tablerowheadings"/>
              <w:jc w:val="right"/>
            </w:pPr>
            <w:r w:rsidRPr="00441BC3">
              <w:t>3.29</w:t>
            </w:r>
          </w:p>
        </w:tc>
        <w:tc>
          <w:tcPr>
            <w:tcW w:w="1191" w:type="dxa"/>
            <w:vAlign w:val="center"/>
          </w:tcPr>
          <w:p w:rsidR="005A1BD9" w:rsidRDefault="005A1BD9" w:rsidP="00E960F1">
            <w:pPr>
              <w:pStyle w:val="Tablerowheadings"/>
              <w:jc w:val="right"/>
            </w:pPr>
            <w:r w:rsidRPr="00441BC3">
              <w:t>-28%</w:t>
            </w:r>
          </w:p>
        </w:tc>
      </w:tr>
    </w:tbl>
    <w:p w:rsidR="00B3226A" w:rsidRPr="00B3226A" w:rsidRDefault="00B3226A" w:rsidP="00513A50">
      <w:pPr>
        <w:pStyle w:val="BodyText1"/>
      </w:pPr>
      <w:r w:rsidRPr="00B3226A">
        <w:t>The only industry sub-division to record an increase in fatality rate was the building completion services sector, which increased 54% from 1.43 fatalities per 100 000 workers to 2.20. Despite this increase the fatality rate is below most other sectors.</w:t>
      </w:r>
    </w:p>
    <w:p w:rsidR="00B3226A" w:rsidRDefault="00E22A92" w:rsidP="00257F90">
      <w:pPr>
        <w:pStyle w:val="Heading2"/>
      </w:pPr>
      <w:bookmarkStart w:id="13" w:name="_Toc427590844"/>
      <w:r>
        <w:t>Fatalities by employment status</w:t>
      </w:r>
      <w:bookmarkEnd w:id="13"/>
    </w:p>
    <w:p w:rsidR="00B3226A" w:rsidRDefault="00B3226A" w:rsidP="00513A50">
      <w:pPr>
        <w:pStyle w:val="BodyText1"/>
      </w:pPr>
      <w:r w:rsidRPr="00B3226A">
        <w:t>Over the 2003–13 period 77% of the fatalities in the construction industry involved employees with the remainder self-employed workers. The 311 deaths of employees in the construction industry over the 2003–13 period equates to a fatality rate of 4.20 fatalities per 100 000 employees. This is 37% higher than the fatality rate for self-employed workers of 3.06 fatalities per 100 000 self-employed workers over the 2003–13 period.</w:t>
      </w:r>
    </w:p>
    <w:p w:rsidR="00B3226A" w:rsidRPr="00B3226A" w:rsidRDefault="00B3226A" w:rsidP="00513A50">
      <w:pPr>
        <w:pStyle w:val="BodyText1"/>
      </w:pPr>
      <w:r w:rsidRPr="00B3226A">
        <w:t xml:space="preserve">Figure 5 shows the fatality rate for employees in the construction industry was higher than the rate for self-employed workers in all years except in 2012. </w:t>
      </w:r>
    </w:p>
    <w:p w:rsidR="00B3226A" w:rsidRDefault="00B3226A" w:rsidP="00E22A92">
      <w:pPr>
        <w:pStyle w:val="Figureheadings"/>
      </w:pPr>
      <w:r>
        <w:t>Figure 5: Worker fatalities in the construction industry: fatality rate by employment status, 2003 to 2013</w:t>
      </w:r>
    </w:p>
    <w:p w:rsidR="00B3226A" w:rsidRDefault="008E4662" w:rsidP="00C95D45">
      <w:r>
        <w:rPr>
          <w:noProof/>
        </w:rPr>
        <w:drawing>
          <wp:inline distT="0" distB="0" distL="0" distR="0" wp14:anchorId="44AED44A" wp14:editId="0212F0AE">
            <wp:extent cx="4680000" cy="2160000"/>
            <wp:effectExtent l="0" t="0" r="6350" b="0"/>
            <wp:docPr id="5" name="Chart 5" descr="Graph of Worker fatalities by number and incidence rate" title="Figure 5: Worker fatalities in the construction industry: fatality rate by employment status, 2003 to 20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E013D" w:rsidRDefault="00EE013D" w:rsidP="00513A50">
      <w:pPr>
        <w:pStyle w:val="BodyText1"/>
      </w:pPr>
      <w:r>
        <w:t>This difference in fatality rates may be due to the different types of work undertaken by self-employed workers compared with employees. As was shown in Table 2, self-employed workers were more likely to be working in the services sector of the industry.</w:t>
      </w:r>
    </w:p>
    <w:p w:rsidR="00EE013D" w:rsidRDefault="00EE013D" w:rsidP="00513A50">
      <w:pPr>
        <w:pStyle w:val="BodyText1"/>
      </w:pPr>
      <w:r>
        <w:t>Table 8 shows employees recorded higher fatality rates than self-employed workers in the construction services sector for both periods of time, although the difference in fatality rates between the two employment status types narrowed.</w:t>
      </w:r>
    </w:p>
    <w:p w:rsidR="008D72B2" w:rsidRDefault="008D72B2">
      <w:pPr>
        <w:rPr>
          <w:rFonts w:ascii="Arial" w:hAnsi="Arial" w:cs="Arial"/>
          <w:color w:val="FF0000"/>
          <w:lang w:val="en-US"/>
        </w:rPr>
      </w:pPr>
      <w:r>
        <w:br w:type="page"/>
      </w:r>
    </w:p>
    <w:p w:rsidR="00B3226A" w:rsidRDefault="00E22A92" w:rsidP="00E22A92">
      <w:pPr>
        <w:pStyle w:val="Tableheading"/>
      </w:pPr>
      <w:r>
        <w:t>Table 8</w:t>
      </w:r>
      <w:r w:rsidR="00B3226A">
        <w:t>: Worker fatalities in the construction industry: number and fatality rate by industry sub-division and employment status, 2003–07 and 2009–13</w:t>
      </w:r>
    </w:p>
    <w:tbl>
      <w:tblPr>
        <w:tblStyle w:val="TableGrid"/>
        <w:tblW w:w="0" w:type="auto"/>
        <w:tblLook w:val="04A0" w:firstRow="1" w:lastRow="0" w:firstColumn="1" w:lastColumn="0" w:noHBand="0" w:noVBand="1"/>
        <w:tblCaption w:val="Table 8: Worker fatalities in the construction industry: number and fatality rate by industry sub-division and employment status, 2003–07 and 2009–13"/>
        <w:tblDescription w:val="Table 8 shows employees recorded higher fatality rates than self-employed workers in the construction services sector for both periods of time, although the difference in fatality rates between the two employment status types narrowed."/>
      </w:tblPr>
      <w:tblGrid>
        <w:gridCol w:w="3345"/>
        <w:gridCol w:w="1161"/>
        <w:gridCol w:w="1150"/>
        <w:gridCol w:w="1134"/>
        <w:gridCol w:w="1161"/>
        <w:gridCol w:w="1150"/>
        <w:gridCol w:w="1134"/>
      </w:tblGrid>
      <w:tr w:rsidR="005A1BD9" w:rsidTr="00715413">
        <w:trPr>
          <w:tblHeader/>
        </w:trPr>
        <w:tc>
          <w:tcPr>
            <w:tcW w:w="3345" w:type="dxa"/>
            <w:vAlign w:val="bottom"/>
          </w:tcPr>
          <w:p w:rsidR="005A1BD9" w:rsidRPr="008A5E5B" w:rsidRDefault="005A1BD9" w:rsidP="008A5E5B">
            <w:pPr>
              <w:pStyle w:val="Tableheaderrow"/>
            </w:pPr>
          </w:p>
        </w:tc>
        <w:tc>
          <w:tcPr>
            <w:tcW w:w="3445" w:type="dxa"/>
            <w:gridSpan w:val="3"/>
            <w:vAlign w:val="bottom"/>
          </w:tcPr>
          <w:p w:rsidR="005A1BD9" w:rsidRPr="008A5E5B" w:rsidRDefault="005A1BD9" w:rsidP="008A5E5B">
            <w:pPr>
              <w:pStyle w:val="Tableheaderrow"/>
            </w:pPr>
            <w:r w:rsidRPr="008A5E5B">
              <w:t>2003-07</w:t>
            </w:r>
          </w:p>
        </w:tc>
        <w:tc>
          <w:tcPr>
            <w:tcW w:w="3445" w:type="dxa"/>
            <w:gridSpan w:val="3"/>
            <w:vAlign w:val="bottom"/>
          </w:tcPr>
          <w:p w:rsidR="005A1BD9" w:rsidRPr="008A5E5B" w:rsidRDefault="005A1BD9" w:rsidP="008A5E5B">
            <w:pPr>
              <w:pStyle w:val="Tableheaderrow"/>
            </w:pPr>
            <w:r w:rsidRPr="008A5E5B">
              <w:t>2009-13</w:t>
            </w:r>
          </w:p>
        </w:tc>
      </w:tr>
      <w:tr w:rsidR="005A1BD9" w:rsidRPr="00C80DC9" w:rsidTr="00715413">
        <w:trPr>
          <w:trHeight w:val="283"/>
          <w:tblHeader/>
        </w:trPr>
        <w:tc>
          <w:tcPr>
            <w:tcW w:w="3345" w:type="dxa"/>
            <w:vAlign w:val="bottom"/>
          </w:tcPr>
          <w:p w:rsidR="005A1BD9" w:rsidRPr="008A5E5B" w:rsidRDefault="00A12336" w:rsidP="008A5E5B">
            <w:pPr>
              <w:pStyle w:val="Tableheaderrow"/>
              <w:jc w:val="left"/>
            </w:pPr>
            <w:r w:rsidRPr="008A5E5B">
              <w:t>Industry sector</w:t>
            </w:r>
          </w:p>
        </w:tc>
        <w:tc>
          <w:tcPr>
            <w:tcW w:w="1161" w:type="dxa"/>
            <w:vAlign w:val="bottom"/>
          </w:tcPr>
          <w:p w:rsidR="005A1BD9" w:rsidRPr="008A5E5B" w:rsidRDefault="005A1BD9" w:rsidP="00E960F1">
            <w:pPr>
              <w:pStyle w:val="Tableheaderrow"/>
              <w:jc w:val="right"/>
            </w:pPr>
            <w:r w:rsidRPr="008A5E5B">
              <w:t>Employee</w:t>
            </w:r>
          </w:p>
        </w:tc>
        <w:tc>
          <w:tcPr>
            <w:tcW w:w="1150" w:type="dxa"/>
            <w:vAlign w:val="bottom"/>
          </w:tcPr>
          <w:p w:rsidR="005A1BD9" w:rsidRPr="008A5E5B" w:rsidRDefault="005A1BD9" w:rsidP="00E960F1">
            <w:pPr>
              <w:pStyle w:val="Tableheaderrow"/>
              <w:jc w:val="right"/>
            </w:pPr>
            <w:r w:rsidRPr="008A5E5B">
              <w:t>Self-employed</w:t>
            </w:r>
          </w:p>
        </w:tc>
        <w:tc>
          <w:tcPr>
            <w:tcW w:w="1134" w:type="dxa"/>
            <w:vAlign w:val="bottom"/>
          </w:tcPr>
          <w:p w:rsidR="005A1BD9" w:rsidRPr="008A5E5B" w:rsidRDefault="005A1BD9" w:rsidP="00E960F1">
            <w:pPr>
              <w:pStyle w:val="Tableheaderrow"/>
              <w:jc w:val="right"/>
            </w:pPr>
            <w:r w:rsidRPr="008A5E5B">
              <w:t>Total</w:t>
            </w:r>
          </w:p>
        </w:tc>
        <w:tc>
          <w:tcPr>
            <w:tcW w:w="1161" w:type="dxa"/>
            <w:vAlign w:val="bottom"/>
          </w:tcPr>
          <w:p w:rsidR="005A1BD9" w:rsidRPr="008A5E5B" w:rsidRDefault="005A1BD9" w:rsidP="00E960F1">
            <w:pPr>
              <w:pStyle w:val="Tableheaderrow"/>
              <w:jc w:val="right"/>
            </w:pPr>
            <w:r w:rsidRPr="008A5E5B">
              <w:t>Employee</w:t>
            </w:r>
          </w:p>
        </w:tc>
        <w:tc>
          <w:tcPr>
            <w:tcW w:w="1150" w:type="dxa"/>
            <w:vAlign w:val="bottom"/>
          </w:tcPr>
          <w:p w:rsidR="005A1BD9" w:rsidRPr="008A5E5B" w:rsidRDefault="005A1BD9" w:rsidP="00E960F1">
            <w:pPr>
              <w:pStyle w:val="Tableheaderrow"/>
              <w:jc w:val="right"/>
            </w:pPr>
            <w:r w:rsidRPr="008A5E5B">
              <w:t>Self-employed</w:t>
            </w:r>
          </w:p>
        </w:tc>
        <w:tc>
          <w:tcPr>
            <w:tcW w:w="1134" w:type="dxa"/>
            <w:vAlign w:val="bottom"/>
          </w:tcPr>
          <w:p w:rsidR="005A1BD9" w:rsidRPr="008A5E5B" w:rsidRDefault="005A1BD9" w:rsidP="00E960F1">
            <w:pPr>
              <w:pStyle w:val="Tableheaderrow"/>
              <w:jc w:val="right"/>
            </w:pPr>
            <w:r w:rsidRPr="008A5E5B">
              <w:t>Total</w:t>
            </w:r>
          </w:p>
        </w:tc>
      </w:tr>
      <w:tr w:rsidR="008A5E5B" w:rsidRPr="008A5E5B" w:rsidTr="008C4D45">
        <w:trPr>
          <w:trHeight w:val="283"/>
        </w:trPr>
        <w:tc>
          <w:tcPr>
            <w:tcW w:w="10235" w:type="dxa"/>
            <w:gridSpan w:val="7"/>
            <w:vAlign w:val="center"/>
          </w:tcPr>
          <w:p w:rsidR="008A5E5B" w:rsidRPr="008A5E5B" w:rsidRDefault="008A5E5B" w:rsidP="008A5E5B">
            <w:pPr>
              <w:pStyle w:val="Tablerowheadings"/>
            </w:pPr>
            <w:r>
              <w:t>Number of fatalities</w:t>
            </w:r>
          </w:p>
        </w:tc>
      </w:tr>
      <w:tr w:rsidR="005A1BD9" w:rsidRPr="008A5E5B" w:rsidTr="00E960F1">
        <w:trPr>
          <w:trHeight w:val="283"/>
        </w:trPr>
        <w:tc>
          <w:tcPr>
            <w:tcW w:w="3345" w:type="dxa"/>
            <w:vAlign w:val="center"/>
          </w:tcPr>
          <w:p w:rsidR="005A1BD9" w:rsidRPr="008A5E5B" w:rsidRDefault="005A1BD9" w:rsidP="008A5E5B">
            <w:pPr>
              <w:pStyle w:val="Tabletext"/>
            </w:pPr>
            <w:r w:rsidRPr="008A5E5B">
              <w:t>Construction Services</w:t>
            </w:r>
          </w:p>
        </w:tc>
        <w:tc>
          <w:tcPr>
            <w:tcW w:w="1161" w:type="dxa"/>
            <w:vAlign w:val="center"/>
          </w:tcPr>
          <w:p w:rsidR="005A1BD9" w:rsidRPr="008A5E5B" w:rsidRDefault="005A1BD9" w:rsidP="00E960F1">
            <w:pPr>
              <w:pStyle w:val="Tabletext"/>
              <w:jc w:val="right"/>
            </w:pPr>
            <w:r w:rsidRPr="008A5E5B">
              <w:t>98</w:t>
            </w:r>
          </w:p>
        </w:tc>
        <w:tc>
          <w:tcPr>
            <w:tcW w:w="1150" w:type="dxa"/>
            <w:vAlign w:val="center"/>
          </w:tcPr>
          <w:p w:rsidR="005A1BD9" w:rsidRPr="008A5E5B" w:rsidRDefault="005A1BD9" w:rsidP="00E960F1">
            <w:pPr>
              <w:pStyle w:val="Tabletext"/>
              <w:jc w:val="right"/>
            </w:pPr>
            <w:r w:rsidRPr="008A5E5B">
              <w:t>40</w:t>
            </w:r>
          </w:p>
        </w:tc>
        <w:tc>
          <w:tcPr>
            <w:tcW w:w="1134" w:type="dxa"/>
            <w:vAlign w:val="center"/>
          </w:tcPr>
          <w:p w:rsidR="005A1BD9" w:rsidRPr="008A5E5B" w:rsidRDefault="005A1BD9" w:rsidP="00E960F1">
            <w:pPr>
              <w:pStyle w:val="Tabletext"/>
              <w:jc w:val="right"/>
            </w:pPr>
            <w:r w:rsidRPr="008A5E5B">
              <w:t>138</w:t>
            </w:r>
          </w:p>
        </w:tc>
        <w:tc>
          <w:tcPr>
            <w:tcW w:w="1161" w:type="dxa"/>
            <w:vAlign w:val="center"/>
          </w:tcPr>
          <w:p w:rsidR="005A1BD9" w:rsidRPr="008A5E5B" w:rsidRDefault="005A1BD9" w:rsidP="00E960F1">
            <w:pPr>
              <w:pStyle w:val="Tabletext"/>
              <w:jc w:val="right"/>
            </w:pPr>
            <w:r w:rsidRPr="008A5E5B">
              <w:t>87</w:t>
            </w:r>
          </w:p>
        </w:tc>
        <w:tc>
          <w:tcPr>
            <w:tcW w:w="1150" w:type="dxa"/>
            <w:vAlign w:val="center"/>
          </w:tcPr>
          <w:p w:rsidR="005A1BD9" w:rsidRPr="008A5E5B" w:rsidRDefault="005A1BD9" w:rsidP="00E960F1">
            <w:pPr>
              <w:pStyle w:val="Tabletext"/>
              <w:jc w:val="right"/>
            </w:pPr>
            <w:r w:rsidRPr="008A5E5B">
              <w:t>32</w:t>
            </w:r>
          </w:p>
        </w:tc>
        <w:tc>
          <w:tcPr>
            <w:tcW w:w="1134" w:type="dxa"/>
            <w:vAlign w:val="center"/>
          </w:tcPr>
          <w:p w:rsidR="005A1BD9" w:rsidRPr="008A5E5B" w:rsidRDefault="005A1BD9" w:rsidP="00E960F1">
            <w:pPr>
              <w:pStyle w:val="Tabletext"/>
              <w:jc w:val="right"/>
            </w:pPr>
            <w:r w:rsidRPr="008A5E5B">
              <w:t>119</w:t>
            </w:r>
          </w:p>
        </w:tc>
      </w:tr>
      <w:tr w:rsidR="005A1BD9" w:rsidRPr="008A5E5B" w:rsidTr="00E960F1">
        <w:trPr>
          <w:trHeight w:val="283"/>
        </w:trPr>
        <w:tc>
          <w:tcPr>
            <w:tcW w:w="3345" w:type="dxa"/>
            <w:vAlign w:val="center"/>
          </w:tcPr>
          <w:p w:rsidR="005A1BD9" w:rsidRPr="008A5E5B" w:rsidRDefault="005A1BD9" w:rsidP="008A5E5B">
            <w:pPr>
              <w:pStyle w:val="Tabletext"/>
            </w:pPr>
            <w:r w:rsidRPr="008A5E5B">
              <w:t>Heavy &amp; Civil Engineering Construction</w:t>
            </w:r>
          </w:p>
        </w:tc>
        <w:tc>
          <w:tcPr>
            <w:tcW w:w="1161" w:type="dxa"/>
            <w:vAlign w:val="center"/>
          </w:tcPr>
          <w:p w:rsidR="005A1BD9" w:rsidRPr="008A5E5B" w:rsidRDefault="005A1BD9" w:rsidP="00E960F1">
            <w:pPr>
              <w:pStyle w:val="Tabletext"/>
              <w:jc w:val="right"/>
            </w:pPr>
            <w:r w:rsidRPr="008A5E5B">
              <w:t>36</w:t>
            </w:r>
          </w:p>
        </w:tc>
        <w:tc>
          <w:tcPr>
            <w:tcW w:w="1150" w:type="dxa"/>
            <w:vAlign w:val="center"/>
          </w:tcPr>
          <w:p w:rsidR="005A1BD9" w:rsidRPr="008A5E5B" w:rsidRDefault="005A1BD9" w:rsidP="00E960F1">
            <w:pPr>
              <w:pStyle w:val="Tabletext"/>
              <w:jc w:val="right"/>
            </w:pPr>
            <w:r w:rsidRPr="008A5E5B">
              <w:t>2</w:t>
            </w:r>
          </w:p>
        </w:tc>
        <w:tc>
          <w:tcPr>
            <w:tcW w:w="1134" w:type="dxa"/>
            <w:vAlign w:val="center"/>
          </w:tcPr>
          <w:p w:rsidR="005A1BD9" w:rsidRPr="008A5E5B" w:rsidRDefault="005A1BD9" w:rsidP="00E960F1">
            <w:pPr>
              <w:pStyle w:val="Tabletext"/>
              <w:jc w:val="right"/>
            </w:pPr>
            <w:r w:rsidRPr="008A5E5B">
              <w:t>38</w:t>
            </w:r>
          </w:p>
        </w:tc>
        <w:tc>
          <w:tcPr>
            <w:tcW w:w="1161" w:type="dxa"/>
            <w:vAlign w:val="center"/>
          </w:tcPr>
          <w:p w:rsidR="005A1BD9" w:rsidRPr="008A5E5B" w:rsidRDefault="005A1BD9" w:rsidP="00E960F1">
            <w:pPr>
              <w:pStyle w:val="Tabletext"/>
              <w:jc w:val="right"/>
            </w:pPr>
            <w:r w:rsidRPr="008A5E5B">
              <w:t>25</w:t>
            </w:r>
          </w:p>
        </w:tc>
        <w:tc>
          <w:tcPr>
            <w:tcW w:w="1150" w:type="dxa"/>
            <w:vAlign w:val="center"/>
          </w:tcPr>
          <w:p w:rsidR="005A1BD9" w:rsidRPr="008A5E5B" w:rsidRDefault="005A1BD9" w:rsidP="00E960F1">
            <w:pPr>
              <w:pStyle w:val="Tabletext"/>
              <w:jc w:val="right"/>
            </w:pPr>
            <w:r w:rsidRPr="008A5E5B">
              <w:t>2</w:t>
            </w:r>
          </w:p>
        </w:tc>
        <w:tc>
          <w:tcPr>
            <w:tcW w:w="1134" w:type="dxa"/>
            <w:vAlign w:val="center"/>
          </w:tcPr>
          <w:p w:rsidR="005A1BD9" w:rsidRPr="008A5E5B" w:rsidRDefault="005A1BD9" w:rsidP="00E960F1">
            <w:pPr>
              <w:pStyle w:val="Tabletext"/>
              <w:jc w:val="right"/>
            </w:pPr>
            <w:r w:rsidRPr="008A5E5B">
              <w:t>27</w:t>
            </w:r>
          </w:p>
        </w:tc>
      </w:tr>
      <w:tr w:rsidR="005A1BD9" w:rsidRPr="008A5E5B" w:rsidTr="00E960F1">
        <w:trPr>
          <w:trHeight w:val="283"/>
        </w:trPr>
        <w:tc>
          <w:tcPr>
            <w:tcW w:w="3345" w:type="dxa"/>
            <w:vAlign w:val="center"/>
          </w:tcPr>
          <w:p w:rsidR="005A1BD9" w:rsidRPr="008A5E5B" w:rsidRDefault="005A1BD9" w:rsidP="008A5E5B">
            <w:pPr>
              <w:pStyle w:val="Tabletext"/>
            </w:pPr>
            <w:r w:rsidRPr="008A5E5B">
              <w:t>Building Construction</w:t>
            </w:r>
          </w:p>
        </w:tc>
        <w:tc>
          <w:tcPr>
            <w:tcW w:w="1161" w:type="dxa"/>
            <w:vAlign w:val="center"/>
          </w:tcPr>
          <w:p w:rsidR="005A1BD9" w:rsidRPr="008A5E5B" w:rsidRDefault="005A1BD9" w:rsidP="00E960F1">
            <w:pPr>
              <w:pStyle w:val="Tabletext"/>
              <w:jc w:val="right"/>
            </w:pPr>
            <w:r w:rsidRPr="008A5E5B">
              <w:t>17</w:t>
            </w:r>
          </w:p>
        </w:tc>
        <w:tc>
          <w:tcPr>
            <w:tcW w:w="1150" w:type="dxa"/>
            <w:vAlign w:val="center"/>
          </w:tcPr>
          <w:p w:rsidR="005A1BD9" w:rsidRPr="008A5E5B" w:rsidRDefault="005A1BD9" w:rsidP="00E960F1">
            <w:pPr>
              <w:pStyle w:val="Tabletext"/>
              <w:jc w:val="right"/>
            </w:pPr>
            <w:r w:rsidRPr="008A5E5B">
              <w:t>3</w:t>
            </w:r>
          </w:p>
        </w:tc>
        <w:tc>
          <w:tcPr>
            <w:tcW w:w="1134" w:type="dxa"/>
            <w:vAlign w:val="center"/>
          </w:tcPr>
          <w:p w:rsidR="005A1BD9" w:rsidRPr="008A5E5B" w:rsidRDefault="005A1BD9" w:rsidP="00E960F1">
            <w:pPr>
              <w:pStyle w:val="Tabletext"/>
              <w:jc w:val="right"/>
            </w:pPr>
            <w:r w:rsidRPr="008A5E5B">
              <w:t>20</w:t>
            </w:r>
          </w:p>
        </w:tc>
        <w:tc>
          <w:tcPr>
            <w:tcW w:w="1161" w:type="dxa"/>
            <w:vAlign w:val="center"/>
          </w:tcPr>
          <w:p w:rsidR="005A1BD9" w:rsidRPr="008A5E5B" w:rsidRDefault="005A1BD9" w:rsidP="00E960F1">
            <w:pPr>
              <w:pStyle w:val="Tabletext"/>
              <w:jc w:val="right"/>
            </w:pPr>
            <w:r w:rsidRPr="008A5E5B">
              <w:t>17</w:t>
            </w:r>
          </w:p>
        </w:tc>
        <w:tc>
          <w:tcPr>
            <w:tcW w:w="1150" w:type="dxa"/>
            <w:vAlign w:val="center"/>
          </w:tcPr>
          <w:p w:rsidR="005A1BD9" w:rsidRPr="008A5E5B" w:rsidRDefault="005A1BD9" w:rsidP="00E960F1">
            <w:pPr>
              <w:pStyle w:val="Tabletext"/>
              <w:jc w:val="right"/>
            </w:pPr>
            <w:r w:rsidRPr="008A5E5B">
              <w:t>4</w:t>
            </w:r>
          </w:p>
        </w:tc>
        <w:tc>
          <w:tcPr>
            <w:tcW w:w="1134" w:type="dxa"/>
            <w:vAlign w:val="center"/>
          </w:tcPr>
          <w:p w:rsidR="005A1BD9" w:rsidRPr="008A5E5B" w:rsidRDefault="005A1BD9" w:rsidP="00E960F1">
            <w:pPr>
              <w:pStyle w:val="Tabletext"/>
              <w:jc w:val="right"/>
            </w:pPr>
            <w:r w:rsidRPr="008A5E5B">
              <w:t>21</w:t>
            </w:r>
          </w:p>
        </w:tc>
      </w:tr>
      <w:tr w:rsidR="005A1BD9" w:rsidRPr="008A5E5B" w:rsidTr="00E960F1">
        <w:trPr>
          <w:trHeight w:val="283"/>
        </w:trPr>
        <w:tc>
          <w:tcPr>
            <w:tcW w:w="3345" w:type="dxa"/>
            <w:vAlign w:val="center"/>
          </w:tcPr>
          <w:p w:rsidR="005A1BD9" w:rsidRPr="008A5E5B" w:rsidRDefault="005A1BD9" w:rsidP="008A5E5B">
            <w:pPr>
              <w:pStyle w:val="Tabletext"/>
              <w:rPr>
                <w:b/>
              </w:rPr>
            </w:pPr>
            <w:r w:rsidRPr="008A5E5B">
              <w:rPr>
                <w:b/>
              </w:rPr>
              <w:t>Total</w:t>
            </w:r>
          </w:p>
        </w:tc>
        <w:tc>
          <w:tcPr>
            <w:tcW w:w="1161" w:type="dxa"/>
            <w:vAlign w:val="center"/>
          </w:tcPr>
          <w:p w:rsidR="005A1BD9" w:rsidRPr="008A5E5B" w:rsidRDefault="005A1BD9" w:rsidP="00E960F1">
            <w:pPr>
              <w:pStyle w:val="Tabletext"/>
              <w:jc w:val="right"/>
              <w:rPr>
                <w:b/>
              </w:rPr>
            </w:pPr>
            <w:r w:rsidRPr="008A5E5B">
              <w:rPr>
                <w:b/>
              </w:rPr>
              <w:t>151</w:t>
            </w:r>
          </w:p>
        </w:tc>
        <w:tc>
          <w:tcPr>
            <w:tcW w:w="1150" w:type="dxa"/>
            <w:vAlign w:val="center"/>
          </w:tcPr>
          <w:p w:rsidR="005A1BD9" w:rsidRPr="008A5E5B" w:rsidRDefault="005A1BD9" w:rsidP="00E960F1">
            <w:pPr>
              <w:pStyle w:val="Tabletext"/>
              <w:jc w:val="right"/>
              <w:rPr>
                <w:b/>
              </w:rPr>
            </w:pPr>
            <w:r w:rsidRPr="008A5E5B">
              <w:rPr>
                <w:b/>
              </w:rPr>
              <w:t>45</w:t>
            </w:r>
          </w:p>
        </w:tc>
        <w:tc>
          <w:tcPr>
            <w:tcW w:w="1134" w:type="dxa"/>
            <w:vAlign w:val="center"/>
          </w:tcPr>
          <w:p w:rsidR="005A1BD9" w:rsidRPr="008A5E5B" w:rsidRDefault="005A1BD9" w:rsidP="00E960F1">
            <w:pPr>
              <w:pStyle w:val="Tabletext"/>
              <w:jc w:val="right"/>
              <w:rPr>
                <w:b/>
              </w:rPr>
            </w:pPr>
            <w:r w:rsidRPr="008A5E5B">
              <w:rPr>
                <w:b/>
              </w:rPr>
              <w:t>196</w:t>
            </w:r>
          </w:p>
        </w:tc>
        <w:tc>
          <w:tcPr>
            <w:tcW w:w="1161" w:type="dxa"/>
            <w:vAlign w:val="center"/>
          </w:tcPr>
          <w:p w:rsidR="005A1BD9" w:rsidRPr="008A5E5B" w:rsidRDefault="005A1BD9" w:rsidP="00E960F1">
            <w:pPr>
              <w:pStyle w:val="Tabletext"/>
              <w:jc w:val="right"/>
              <w:rPr>
                <w:b/>
              </w:rPr>
            </w:pPr>
            <w:r w:rsidRPr="008A5E5B">
              <w:rPr>
                <w:b/>
              </w:rPr>
              <w:t>129</w:t>
            </w:r>
          </w:p>
        </w:tc>
        <w:tc>
          <w:tcPr>
            <w:tcW w:w="1150" w:type="dxa"/>
            <w:vAlign w:val="center"/>
          </w:tcPr>
          <w:p w:rsidR="005A1BD9" w:rsidRPr="008A5E5B" w:rsidRDefault="005A1BD9" w:rsidP="00E960F1">
            <w:pPr>
              <w:pStyle w:val="Tabletext"/>
              <w:jc w:val="right"/>
              <w:rPr>
                <w:b/>
              </w:rPr>
            </w:pPr>
            <w:r w:rsidRPr="008A5E5B">
              <w:rPr>
                <w:b/>
              </w:rPr>
              <w:t>38</w:t>
            </w:r>
          </w:p>
        </w:tc>
        <w:tc>
          <w:tcPr>
            <w:tcW w:w="1134" w:type="dxa"/>
            <w:vAlign w:val="center"/>
          </w:tcPr>
          <w:p w:rsidR="005A1BD9" w:rsidRPr="008A5E5B" w:rsidRDefault="005A1BD9" w:rsidP="00E960F1">
            <w:pPr>
              <w:pStyle w:val="Tabletext"/>
              <w:jc w:val="right"/>
              <w:rPr>
                <w:b/>
              </w:rPr>
            </w:pPr>
            <w:r w:rsidRPr="008A5E5B">
              <w:rPr>
                <w:b/>
              </w:rPr>
              <w:t>167</w:t>
            </w:r>
          </w:p>
        </w:tc>
      </w:tr>
      <w:tr w:rsidR="008A5E5B" w:rsidRPr="008A5E5B" w:rsidTr="008C4D45">
        <w:trPr>
          <w:trHeight w:val="283"/>
        </w:trPr>
        <w:tc>
          <w:tcPr>
            <w:tcW w:w="10235" w:type="dxa"/>
            <w:gridSpan w:val="7"/>
          </w:tcPr>
          <w:p w:rsidR="008A5E5B" w:rsidRPr="008A5E5B" w:rsidRDefault="008A5E5B" w:rsidP="008F5732">
            <w:pPr>
              <w:pStyle w:val="Tableheaderrow"/>
              <w:jc w:val="left"/>
            </w:pPr>
            <w:r>
              <w:t>Fatality rate (fatalities per 100 000 workers)</w:t>
            </w:r>
          </w:p>
        </w:tc>
      </w:tr>
      <w:tr w:rsidR="005A1BD9" w:rsidRPr="008A5E5B" w:rsidTr="00E960F1">
        <w:trPr>
          <w:trHeight w:val="283"/>
        </w:trPr>
        <w:tc>
          <w:tcPr>
            <w:tcW w:w="3345" w:type="dxa"/>
          </w:tcPr>
          <w:p w:rsidR="005A1BD9" w:rsidRPr="008A5E5B" w:rsidRDefault="005A1BD9" w:rsidP="008A5E5B">
            <w:pPr>
              <w:pStyle w:val="Tabletext"/>
            </w:pPr>
            <w:r w:rsidRPr="008A5E5B">
              <w:t>Construction Services</w:t>
            </w:r>
          </w:p>
        </w:tc>
        <w:tc>
          <w:tcPr>
            <w:tcW w:w="1161" w:type="dxa"/>
            <w:vAlign w:val="center"/>
          </w:tcPr>
          <w:p w:rsidR="005A1BD9" w:rsidRPr="008A5E5B" w:rsidRDefault="005A1BD9" w:rsidP="00E960F1">
            <w:pPr>
              <w:pStyle w:val="Tabletext"/>
              <w:jc w:val="right"/>
            </w:pPr>
            <w:r w:rsidRPr="008A5E5B">
              <w:t>5.35</w:t>
            </w:r>
          </w:p>
        </w:tc>
        <w:tc>
          <w:tcPr>
            <w:tcW w:w="1150" w:type="dxa"/>
            <w:vAlign w:val="center"/>
          </w:tcPr>
          <w:p w:rsidR="005A1BD9" w:rsidRPr="008A5E5B" w:rsidRDefault="005A1BD9" w:rsidP="00E960F1">
            <w:pPr>
              <w:pStyle w:val="Tabletext"/>
              <w:jc w:val="right"/>
            </w:pPr>
            <w:r w:rsidRPr="008A5E5B">
              <w:t>3.62</w:t>
            </w:r>
          </w:p>
        </w:tc>
        <w:tc>
          <w:tcPr>
            <w:tcW w:w="1134" w:type="dxa"/>
            <w:vAlign w:val="center"/>
          </w:tcPr>
          <w:p w:rsidR="005A1BD9" w:rsidRPr="008A5E5B" w:rsidRDefault="005A1BD9" w:rsidP="00E960F1">
            <w:pPr>
              <w:pStyle w:val="Tabletext"/>
              <w:jc w:val="right"/>
            </w:pPr>
            <w:r w:rsidRPr="008A5E5B">
              <w:t>4.70</w:t>
            </w:r>
          </w:p>
        </w:tc>
        <w:tc>
          <w:tcPr>
            <w:tcW w:w="1161" w:type="dxa"/>
            <w:vAlign w:val="center"/>
          </w:tcPr>
          <w:p w:rsidR="005A1BD9" w:rsidRPr="008A5E5B" w:rsidRDefault="005A1BD9" w:rsidP="00E960F1">
            <w:pPr>
              <w:pStyle w:val="Tabletext"/>
              <w:jc w:val="right"/>
            </w:pPr>
            <w:r w:rsidRPr="008A5E5B">
              <w:t>3.67</w:t>
            </w:r>
          </w:p>
        </w:tc>
        <w:tc>
          <w:tcPr>
            <w:tcW w:w="1150" w:type="dxa"/>
            <w:vAlign w:val="center"/>
          </w:tcPr>
          <w:p w:rsidR="005A1BD9" w:rsidRPr="008A5E5B" w:rsidRDefault="005A1BD9" w:rsidP="00E960F1">
            <w:pPr>
              <w:pStyle w:val="Tabletext"/>
              <w:jc w:val="right"/>
            </w:pPr>
            <w:r w:rsidRPr="008A5E5B">
              <w:t>2.82</w:t>
            </w:r>
          </w:p>
        </w:tc>
        <w:tc>
          <w:tcPr>
            <w:tcW w:w="1134" w:type="dxa"/>
            <w:vAlign w:val="center"/>
          </w:tcPr>
          <w:p w:rsidR="005A1BD9" w:rsidRPr="008A5E5B" w:rsidRDefault="005A1BD9" w:rsidP="00E960F1">
            <w:pPr>
              <w:pStyle w:val="Tabletext"/>
              <w:jc w:val="right"/>
            </w:pPr>
            <w:r w:rsidRPr="008A5E5B">
              <w:t>3.40</w:t>
            </w:r>
          </w:p>
        </w:tc>
      </w:tr>
      <w:tr w:rsidR="005A1BD9" w:rsidRPr="008A5E5B" w:rsidTr="00E960F1">
        <w:trPr>
          <w:trHeight w:val="283"/>
        </w:trPr>
        <w:tc>
          <w:tcPr>
            <w:tcW w:w="3345" w:type="dxa"/>
          </w:tcPr>
          <w:p w:rsidR="005A1BD9" w:rsidRPr="008A5E5B" w:rsidRDefault="005A1BD9" w:rsidP="008A5E5B">
            <w:pPr>
              <w:pStyle w:val="Tabletext"/>
            </w:pPr>
            <w:r w:rsidRPr="008A5E5B">
              <w:t>Heavy and Civil Engineering Construction</w:t>
            </w:r>
          </w:p>
        </w:tc>
        <w:tc>
          <w:tcPr>
            <w:tcW w:w="1161" w:type="dxa"/>
            <w:vAlign w:val="center"/>
          </w:tcPr>
          <w:p w:rsidR="005A1BD9" w:rsidRPr="008A5E5B" w:rsidRDefault="005A1BD9" w:rsidP="00E960F1">
            <w:pPr>
              <w:pStyle w:val="Tabletext"/>
              <w:jc w:val="right"/>
            </w:pPr>
            <w:r w:rsidRPr="008A5E5B">
              <w:t>13.83</w:t>
            </w:r>
          </w:p>
        </w:tc>
        <w:tc>
          <w:tcPr>
            <w:tcW w:w="1150" w:type="dxa"/>
            <w:vAlign w:val="center"/>
          </w:tcPr>
          <w:p w:rsidR="005A1BD9" w:rsidRPr="008A5E5B" w:rsidRDefault="005A1BD9" w:rsidP="00E960F1">
            <w:pPr>
              <w:pStyle w:val="Tabletext"/>
              <w:jc w:val="right"/>
            </w:pPr>
            <w:r w:rsidRPr="008A5E5B">
              <w:t>11.49</w:t>
            </w:r>
          </w:p>
        </w:tc>
        <w:tc>
          <w:tcPr>
            <w:tcW w:w="1134" w:type="dxa"/>
            <w:vAlign w:val="center"/>
          </w:tcPr>
          <w:p w:rsidR="005A1BD9" w:rsidRPr="008A5E5B" w:rsidRDefault="005A1BD9" w:rsidP="00E960F1">
            <w:pPr>
              <w:pStyle w:val="Tabletext"/>
              <w:jc w:val="right"/>
            </w:pPr>
            <w:r w:rsidRPr="008A5E5B">
              <w:t>13.68</w:t>
            </w:r>
          </w:p>
        </w:tc>
        <w:tc>
          <w:tcPr>
            <w:tcW w:w="1161" w:type="dxa"/>
            <w:vAlign w:val="center"/>
          </w:tcPr>
          <w:p w:rsidR="005A1BD9" w:rsidRPr="008A5E5B" w:rsidRDefault="005A1BD9" w:rsidP="00E960F1">
            <w:pPr>
              <w:pStyle w:val="Tabletext"/>
              <w:jc w:val="right"/>
            </w:pPr>
            <w:r w:rsidRPr="008A5E5B">
              <w:t>7.03</w:t>
            </w:r>
          </w:p>
        </w:tc>
        <w:tc>
          <w:tcPr>
            <w:tcW w:w="1150" w:type="dxa"/>
            <w:vAlign w:val="center"/>
          </w:tcPr>
          <w:p w:rsidR="005A1BD9" w:rsidRPr="008A5E5B" w:rsidRDefault="005A1BD9" w:rsidP="00E960F1">
            <w:pPr>
              <w:pStyle w:val="Tabletext"/>
              <w:jc w:val="right"/>
            </w:pPr>
            <w:r w:rsidRPr="008A5E5B">
              <w:t>13.89</w:t>
            </w:r>
          </w:p>
        </w:tc>
        <w:tc>
          <w:tcPr>
            <w:tcW w:w="1134" w:type="dxa"/>
            <w:vAlign w:val="center"/>
          </w:tcPr>
          <w:p w:rsidR="005A1BD9" w:rsidRPr="008A5E5B" w:rsidRDefault="005A1BD9" w:rsidP="00E960F1">
            <w:pPr>
              <w:pStyle w:val="Tabletext"/>
              <w:jc w:val="right"/>
            </w:pPr>
            <w:r w:rsidRPr="008A5E5B">
              <w:t>7.30</w:t>
            </w:r>
          </w:p>
        </w:tc>
      </w:tr>
      <w:tr w:rsidR="005A1BD9" w:rsidRPr="008A5E5B" w:rsidTr="00E960F1">
        <w:trPr>
          <w:trHeight w:val="283"/>
        </w:trPr>
        <w:tc>
          <w:tcPr>
            <w:tcW w:w="3345" w:type="dxa"/>
          </w:tcPr>
          <w:p w:rsidR="005A1BD9" w:rsidRPr="008A5E5B" w:rsidRDefault="005A1BD9" w:rsidP="008A5E5B">
            <w:pPr>
              <w:pStyle w:val="Tabletext"/>
            </w:pPr>
            <w:r w:rsidRPr="008A5E5B">
              <w:t>Building Construction</w:t>
            </w:r>
          </w:p>
        </w:tc>
        <w:tc>
          <w:tcPr>
            <w:tcW w:w="1161" w:type="dxa"/>
            <w:vAlign w:val="center"/>
          </w:tcPr>
          <w:p w:rsidR="005A1BD9" w:rsidRPr="008A5E5B" w:rsidRDefault="005A1BD9" w:rsidP="00E960F1">
            <w:pPr>
              <w:pStyle w:val="Tabletext"/>
              <w:jc w:val="right"/>
            </w:pPr>
            <w:r w:rsidRPr="008A5E5B">
              <w:t>2.01</w:t>
            </w:r>
          </w:p>
        </w:tc>
        <w:tc>
          <w:tcPr>
            <w:tcW w:w="1150" w:type="dxa"/>
            <w:vAlign w:val="center"/>
          </w:tcPr>
          <w:p w:rsidR="005A1BD9" w:rsidRPr="008A5E5B" w:rsidRDefault="005A1BD9" w:rsidP="00E960F1">
            <w:pPr>
              <w:pStyle w:val="Tabletext"/>
              <w:jc w:val="right"/>
            </w:pPr>
            <w:r w:rsidRPr="008A5E5B">
              <w:t>1.41</w:t>
            </w:r>
          </w:p>
        </w:tc>
        <w:tc>
          <w:tcPr>
            <w:tcW w:w="1134" w:type="dxa"/>
            <w:vAlign w:val="center"/>
          </w:tcPr>
          <w:p w:rsidR="005A1BD9" w:rsidRPr="008A5E5B" w:rsidRDefault="005A1BD9" w:rsidP="00E960F1">
            <w:pPr>
              <w:pStyle w:val="Tabletext"/>
              <w:jc w:val="right"/>
            </w:pPr>
            <w:r w:rsidRPr="008A5E5B">
              <w:t>1.89</w:t>
            </w:r>
          </w:p>
        </w:tc>
        <w:tc>
          <w:tcPr>
            <w:tcW w:w="1161" w:type="dxa"/>
            <w:vAlign w:val="center"/>
          </w:tcPr>
          <w:p w:rsidR="005A1BD9" w:rsidRPr="008A5E5B" w:rsidRDefault="005A1BD9" w:rsidP="00E960F1">
            <w:pPr>
              <w:pStyle w:val="Tabletext"/>
              <w:jc w:val="right"/>
            </w:pPr>
            <w:r w:rsidRPr="008A5E5B">
              <w:t>1.67</w:t>
            </w:r>
          </w:p>
        </w:tc>
        <w:tc>
          <w:tcPr>
            <w:tcW w:w="1150" w:type="dxa"/>
            <w:vAlign w:val="center"/>
          </w:tcPr>
          <w:p w:rsidR="005A1BD9" w:rsidRPr="008A5E5B" w:rsidRDefault="005A1BD9" w:rsidP="00E960F1">
            <w:pPr>
              <w:pStyle w:val="Tabletext"/>
              <w:jc w:val="right"/>
            </w:pPr>
            <w:r w:rsidRPr="008A5E5B">
              <w:t>2.29</w:t>
            </w:r>
          </w:p>
        </w:tc>
        <w:tc>
          <w:tcPr>
            <w:tcW w:w="1134" w:type="dxa"/>
            <w:vAlign w:val="center"/>
          </w:tcPr>
          <w:p w:rsidR="005A1BD9" w:rsidRPr="008A5E5B" w:rsidRDefault="005A1BD9" w:rsidP="00E960F1">
            <w:pPr>
              <w:pStyle w:val="Tabletext"/>
              <w:jc w:val="right"/>
            </w:pPr>
            <w:r w:rsidRPr="008A5E5B">
              <w:t>1.76</w:t>
            </w:r>
          </w:p>
        </w:tc>
      </w:tr>
      <w:tr w:rsidR="005A1BD9" w:rsidRPr="008A5E5B" w:rsidTr="00E960F1">
        <w:trPr>
          <w:trHeight w:val="283"/>
        </w:trPr>
        <w:tc>
          <w:tcPr>
            <w:tcW w:w="3345" w:type="dxa"/>
          </w:tcPr>
          <w:p w:rsidR="005A1BD9" w:rsidRPr="008A5E5B" w:rsidRDefault="005A1BD9" w:rsidP="008A5E5B">
            <w:pPr>
              <w:pStyle w:val="Tabletext"/>
              <w:rPr>
                <w:b/>
              </w:rPr>
            </w:pPr>
            <w:r w:rsidRPr="008A5E5B">
              <w:rPr>
                <w:b/>
              </w:rPr>
              <w:t>Total</w:t>
            </w:r>
          </w:p>
        </w:tc>
        <w:tc>
          <w:tcPr>
            <w:tcW w:w="1161" w:type="dxa"/>
            <w:vAlign w:val="center"/>
          </w:tcPr>
          <w:p w:rsidR="005A1BD9" w:rsidRPr="008A5E5B" w:rsidRDefault="005A1BD9" w:rsidP="00E960F1">
            <w:pPr>
              <w:pStyle w:val="Tabletext"/>
              <w:jc w:val="right"/>
              <w:rPr>
                <w:b/>
              </w:rPr>
            </w:pPr>
            <w:r w:rsidRPr="008A5E5B">
              <w:rPr>
                <w:b/>
              </w:rPr>
              <w:t>6.67</w:t>
            </w:r>
          </w:p>
        </w:tc>
        <w:tc>
          <w:tcPr>
            <w:tcW w:w="1150" w:type="dxa"/>
            <w:vAlign w:val="center"/>
          </w:tcPr>
          <w:p w:rsidR="005A1BD9" w:rsidRPr="008A5E5B" w:rsidRDefault="005A1BD9" w:rsidP="00E960F1">
            <w:pPr>
              <w:pStyle w:val="Tabletext"/>
              <w:jc w:val="right"/>
              <w:rPr>
                <w:b/>
              </w:rPr>
            </w:pPr>
            <w:r w:rsidRPr="008A5E5B">
              <w:rPr>
                <w:b/>
              </w:rPr>
              <w:t>3.37</w:t>
            </w:r>
          </w:p>
        </w:tc>
        <w:tc>
          <w:tcPr>
            <w:tcW w:w="1134" w:type="dxa"/>
            <w:vAlign w:val="center"/>
          </w:tcPr>
          <w:p w:rsidR="005A1BD9" w:rsidRPr="008A5E5B" w:rsidRDefault="005A1BD9" w:rsidP="00E960F1">
            <w:pPr>
              <w:pStyle w:val="Tabletext"/>
              <w:jc w:val="right"/>
              <w:rPr>
                <w:b/>
              </w:rPr>
            </w:pPr>
            <w:r w:rsidRPr="008A5E5B">
              <w:rPr>
                <w:b/>
              </w:rPr>
              <w:t>4.58</w:t>
            </w:r>
          </w:p>
        </w:tc>
        <w:tc>
          <w:tcPr>
            <w:tcW w:w="1161" w:type="dxa"/>
            <w:vAlign w:val="center"/>
          </w:tcPr>
          <w:p w:rsidR="005A1BD9" w:rsidRPr="008A5E5B" w:rsidRDefault="005A1BD9" w:rsidP="00E960F1">
            <w:pPr>
              <w:pStyle w:val="Tabletext"/>
              <w:jc w:val="right"/>
              <w:rPr>
                <w:b/>
              </w:rPr>
            </w:pPr>
            <w:r w:rsidRPr="008A5E5B">
              <w:rPr>
                <w:b/>
              </w:rPr>
              <w:t>3.45</w:t>
            </w:r>
          </w:p>
        </w:tc>
        <w:tc>
          <w:tcPr>
            <w:tcW w:w="1150" w:type="dxa"/>
            <w:vAlign w:val="center"/>
          </w:tcPr>
          <w:p w:rsidR="005A1BD9" w:rsidRPr="008A5E5B" w:rsidRDefault="005A1BD9" w:rsidP="00E960F1">
            <w:pPr>
              <w:pStyle w:val="Tabletext"/>
              <w:jc w:val="right"/>
              <w:rPr>
                <w:b/>
              </w:rPr>
            </w:pPr>
            <w:r w:rsidRPr="008A5E5B">
              <w:rPr>
                <w:b/>
              </w:rPr>
              <w:t>2.87</w:t>
            </w:r>
          </w:p>
        </w:tc>
        <w:tc>
          <w:tcPr>
            <w:tcW w:w="1134" w:type="dxa"/>
            <w:vAlign w:val="center"/>
          </w:tcPr>
          <w:p w:rsidR="005A1BD9" w:rsidRPr="008A5E5B" w:rsidRDefault="005A1BD9" w:rsidP="00E960F1">
            <w:pPr>
              <w:pStyle w:val="Tabletext"/>
              <w:jc w:val="right"/>
              <w:rPr>
                <w:b/>
              </w:rPr>
            </w:pPr>
            <w:r w:rsidRPr="008A5E5B">
              <w:rPr>
                <w:b/>
              </w:rPr>
              <w:t>3.30</w:t>
            </w:r>
          </w:p>
        </w:tc>
      </w:tr>
    </w:tbl>
    <w:p w:rsidR="00B3226A" w:rsidRDefault="00982F9F" w:rsidP="00257F90">
      <w:pPr>
        <w:pStyle w:val="Heading2"/>
      </w:pPr>
      <w:bookmarkStart w:id="14" w:name="_Toc427590845"/>
      <w:r>
        <w:t>Fatalities by age group</w:t>
      </w:r>
      <w:bookmarkEnd w:id="14"/>
    </w:p>
    <w:p w:rsidR="00B3226A" w:rsidRDefault="00B3226A" w:rsidP="00513A50">
      <w:pPr>
        <w:pStyle w:val="BodyText1"/>
      </w:pPr>
      <w:r w:rsidRPr="00B3226A">
        <w:t>Table 9 shows the lowest fatality rates were recorded by the 35–44 years age group with fatality rates increasing for workers both younger and older than this age group. Over the 2009–13 period the 35–44 years age group recorded 1.77 fatalities per 100 000 workers which was nearly half the industry rate (3.29).</w:t>
      </w:r>
    </w:p>
    <w:p w:rsidR="00B3226A" w:rsidRDefault="00B3226A" w:rsidP="00982F9F">
      <w:pPr>
        <w:pStyle w:val="Tableheading"/>
      </w:pPr>
      <w:r>
        <w:t>Table 9: Worker fatalities in the construction industry: number and fatality rate by age group, 2003–07 and 2009–13</w:t>
      </w:r>
    </w:p>
    <w:tbl>
      <w:tblPr>
        <w:tblStyle w:val="TableGrid"/>
        <w:tblW w:w="0" w:type="auto"/>
        <w:tblLook w:val="04A0" w:firstRow="1" w:lastRow="0" w:firstColumn="1" w:lastColumn="0" w:noHBand="0" w:noVBand="1"/>
        <w:tblCaption w:val="Table 9: Worker fatalities in the construction industry: number and fatality rate by age group, 2003–07 and 2009–13"/>
        <w:tblDescription w:val="Table 9 shows the lowest fatality rates were recorded by the 35–44 years age group with fatality rates increasing for workers both younger and older than this age group. "/>
      </w:tblPr>
      <w:tblGrid>
        <w:gridCol w:w="2778"/>
        <w:gridCol w:w="1526"/>
        <w:gridCol w:w="1526"/>
        <w:gridCol w:w="1526"/>
        <w:gridCol w:w="1526"/>
        <w:gridCol w:w="1526"/>
      </w:tblGrid>
      <w:tr w:rsidR="00A12336" w:rsidTr="00715413">
        <w:trPr>
          <w:tblHeader/>
        </w:trPr>
        <w:tc>
          <w:tcPr>
            <w:tcW w:w="2778" w:type="dxa"/>
            <w:shd w:val="clear" w:color="auto" w:fill="D9D9D9" w:themeFill="background1" w:themeFillShade="D9"/>
          </w:tcPr>
          <w:p w:rsidR="00A12336" w:rsidRPr="006C5FAB" w:rsidRDefault="00A12336" w:rsidP="008C4D45">
            <w:pPr>
              <w:pStyle w:val="Tabletext"/>
            </w:pPr>
          </w:p>
        </w:tc>
        <w:tc>
          <w:tcPr>
            <w:tcW w:w="3052" w:type="dxa"/>
            <w:gridSpan w:val="2"/>
            <w:shd w:val="clear" w:color="auto" w:fill="D9D9D9" w:themeFill="background1" w:themeFillShade="D9"/>
            <w:vAlign w:val="center"/>
          </w:tcPr>
          <w:p w:rsidR="00A12336" w:rsidRPr="006C5FAB" w:rsidRDefault="00A12336" w:rsidP="008A5E5B">
            <w:pPr>
              <w:pStyle w:val="Tableheaderrow"/>
            </w:pPr>
            <w:r w:rsidRPr="006C5FAB">
              <w:t>No. of fatalities</w:t>
            </w:r>
          </w:p>
        </w:tc>
        <w:tc>
          <w:tcPr>
            <w:tcW w:w="4578" w:type="dxa"/>
            <w:gridSpan w:val="3"/>
            <w:shd w:val="clear" w:color="auto" w:fill="D9D9D9" w:themeFill="background1" w:themeFillShade="D9"/>
            <w:vAlign w:val="center"/>
          </w:tcPr>
          <w:p w:rsidR="00A12336" w:rsidRPr="006C5FAB" w:rsidRDefault="00A12336" w:rsidP="008A5E5B">
            <w:pPr>
              <w:pStyle w:val="Tableheaderrow"/>
            </w:pPr>
            <w:r w:rsidRPr="006C5FAB">
              <w:t>Fatality rate</w:t>
            </w:r>
          </w:p>
        </w:tc>
      </w:tr>
      <w:tr w:rsidR="00A12336" w:rsidTr="00715413">
        <w:trPr>
          <w:tblHeader/>
        </w:trPr>
        <w:tc>
          <w:tcPr>
            <w:tcW w:w="2778" w:type="dxa"/>
            <w:shd w:val="clear" w:color="auto" w:fill="D9D9D9" w:themeFill="background1" w:themeFillShade="D9"/>
          </w:tcPr>
          <w:p w:rsidR="00A12336" w:rsidRPr="006C5FAB" w:rsidRDefault="00A12336" w:rsidP="008A5E5B">
            <w:pPr>
              <w:pStyle w:val="Tableheaderrow"/>
              <w:jc w:val="left"/>
            </w:pPr>
            <w:r>
              <w:t>Age group</w:t>
            </w:r>
          </w:p>
        </w:tc>
        <w:tc>
          <w:tcPr>
            <w:tcW w:w="1526" w:type="dxa"/>
            <w:shd w:val="clear" w:color="auto" w:fill="D9D9D9" w:themeFill="background1" w:themeFillShade="D9"/>
            <w:vAlign w:val="center"/>
          </w:tcPr>
          <w:p w:rsidR="00A12336" w:rsidRPr="006C5FAB" w:rsidRDefault="00A12336" w:rsidP="00E960F1">
            <w:pPr>
              <w:pStyle w:val="Tableheaderrow"/>
              <w:jc w:val="right"/>
            </w:pPr>
            <w:r>
              <w:t>2003-</w:t>
            </w:r>
            <w:r w:rsidRPr="006C5FAB">
              <w:t>2007</w:t>
            </w:r>
          </w:p>
        </w:tc>
        <w:tc>
          <w:tcPr>
            <w:tcW w:w="1526" w:type="dxa"/>
            <w:shd w:val="clear" w:color="auto" w:fill="D9D9D9" w:themeFill="background1" w:themeFillShade="D9"/>
            <w:vAlign w:val="center"/>
          </w:tcPr>
          <w:p w:rsidR="00A12336" w:rsidRPr="006C5FAB" w:rsidRDefault="00A12336" w:rsidP="00E960F1">
            <w:pPr>
              <w:pStyle w:val="Tableheaderrow"/>
              <w:jc w:val="right"/>
            </w:pPr>
            <w:r w:rsidRPr="006C5FAB">
              <w:t>2009-2013</w:t>
            </w:r>
          </w:p>
        </w:tc>
        <w:tc>
          <w:tcPr>
            <w:tcW w:w="1526" w:type="dxa"/>
            <w:shd w:val="clear" w:color="auto" w:fill="D9D9D9" w:themeFill="background1" w:themeFillShade="D9"/>
            <w:vAlign w:val="center"/>
          </w:tcPr>
          <w:p w:rsidR="00A12336" w:rsidRPr="006C5FAB" w:rsidRDefault="00A12336" w:rsidP="00E960F1">
            <w:pPr>
              <w:pStyle w:val="Tableheaderrow"/>
              <w:jc w:val="right"/>
            </w:pPr>
            <w:r>
              <w:t>2003-</w:t>
            </w:r>
            <w:r w:rsidRPr="006C5FAB">
              <w:t>2007</w:t>
            </w:r>
          </w:p>
        </w:tc>
        <w:tc>
          <w:tcPr>
            <w:tcW w:w="1526" w:type="dxa"/>
            <w:shd w:val="clear" w:color="auto" w:fill="D9D9D9" w:themeFill="background1" w:themeFillShade="D9"/>
            <w:vAlign w:val="center"/>
          </w:tcPr>
          <w:p w:rsidR="00A12336" w:rsidRPr="006C5FAB" w:rsidRDefault="00A12336" w:rsidP="00E960F1">
            <w:pPr>
              <w:pStyle w:val="Tableheaderrow"/>
              <w:jc w:val="right"/>
            </w:pPr>
            <w:r w:rsidRPr="006C5FAB">
              <w:t>2009-2013</w:t>
            </w:r>
          </w:p>
        </w:tc>
        <w:tc>
          <w:tcPr>
            <w:tcW w:w="1526" w:type="dxa"/>
            <w:shd w:val="clear" w:color="auto" w:fill="D9D9D9" w:themeFill="background1" w:themeFillShade="D9"/>
            <w:vAlign w:val="center"/>
          </w:tcPr>
          <w:p w:rsidR="00A12336" w:rsidRPr="006C5FAB" w:rsidRDefault="00A12336" w:rsidP="00E960F1">
            <w:pPr>
              <w:pStyle w:val="Tableheaderrow"/>
              <w:jc w:val="right"/>
            </w:pPr>
            <w:r w:rsidRPr="006C5FAB">
              <w:t>% change</w:t>
            </w:r>
          </w:p>
        </w:tc>
      </w:tr>
      <w:tr w:rsidR="00A12336" w:rsidTr="00E960F1">
        <w:tc>
          <w:tcPr>
            <w:tcW w:w="2778" w:type="dxa"/>
          </w:tcPr>
          <w:p w:rsidR="00A12336" w:rsidRPr="006C5FAB" w:rsidRDefault="00A12336" w:rsidP="008C4D45">
            <w:pPr>
              <w:pStyle w:val="Tabletext"/>
            </w:pPr>
            <w:r w:rsidRPr="006C5FAB">
              <w:t>Under 25</w:t>
            </w:r>
          </w:p>
        </w:tc>
        <w:tc>
          <w:tcPr>
            <w:tcW w:w="1526" w:type="dxa"/>
            <w:vAlign w:val="center"/>
          </w:tcPr>
          <w:p w:rsidR="00A12336" w:rsidRPr="006C5FAB" w:rsidRDefault="00A12336" w:rsidP="00E960F1">
            <w:pPr>
              <w:pStyle w:val="Tabletext"/>
              <w:jc w:val="right"/>
            </w:pPr>
            <w:r w:rsidRPr="006C5FAB">
              <w:t>31</w:t>
            </w:r>
          </w:p>
        </w:tc>
        <w:tc>
          <w:tcPr>
            <w:tcW w:w="1526" w:type="dxa"/>
            <w:vAlign w:val="center"/>
          </w:tcPr>
          <w:p w:rsidR="00A12336" w:rsidRPr="006C5FAB" w:rsidRDefault="00A12336" w:rsidP="00E960F1">
            <w:pPr>
              <w:pStyle w:val="Tabletext"/>
              <w:jc w:val="right"/>
            </w:pPr>
            <w:r w:rsidRPr="006C5FAB">
              <w:t>28</w:t>
            </w:r>
          </w:p>
        </w:tc>
        <w:tc>
          <w:tcPr>
            <w:tcW w:w="1526" w:type="dxa"/>
            <w:vAlign w:val="center"/>
          </w:tcPr>
          <w:p w:rsidR="00A12336" w:rsidRPr="006C5FAB" w:rsidRDefault="00A12336" w:rsidP="00E960F1">
            <w:pPr>
              <w:pStyle w:val="Tabletext"/>
              <w:jc w:val="right"/>
            </w:pPr>
            <w:r w:rsidRPr="006C5FAB">
              <w:t>4.13</w:t>
            </w:r>
          </w:p>
        </w:tc>
        <w:tc>
          <w:tcPr>
            <w:tcW w:w="1526" w:type="dxa"/>
            <w:vAlign w:val="center"/>
          </w:tcPr>
          <w:p w:rsidR="00A12336" w:rsidRPr="006C5FAB" w:rsidRDefault="00A12336" w:rsidP="00E960F1">
            <w:pPr>
              <w:pStyle w:val="Tabletext"/>
              <w:jc w:val="right"/>
            </w:pPr>
            <w:r w:rsidRPr="006C5FAB">
              <w:t>3.10</w:t>
            </w:r>
          </w:p>
        </w:tc>
        <w:tc>
          <w:tcPr>
            <w:tcW w:w="1526" w:type="dxa"/>
            <w:vAlign w:val="center"/>
          </w:tcPr>
          <w:p w:rsidR="00A12336" w:rsidRPr="006C5FAB" w:rsidRDefault="00A12336" w:rsidP="00E960F1">
            <w:pPr>
              <w:pStyle w:val="Tabletext"/>
              <w:jc w:val="right"/>
            </w:pPr>
            <w:r w:rsidRPr="006C5FAB">
              <w:t>-25%</w:t>
            </w:r>
          </w:p>
        </w:tc>
      </w:tr>
      <w:tr w:rsidR="00A12336" w:rsidTr="00E960F1">
        <w:tc>
          <w:tcPr>
            <w:tcW w:w="2778" w:type="dxa"/>
          </w:tcPr>
          <w:p w:rsidR="00A12336" w:rsidRPr="006C5FAB" w:rsidRDefault="00A12336" w:rsidP="008C4D45">
            <w:pPr>
              <w:pStyle w:val="Tabletext"/>
            </w:pPr>
            <w:r w:rsidRPr="006C5FAB">
              <w:t>25 - 34</w:t>
            </w:r>
          </w:p>
        </w:tc>
        <w:tc>
          <w:tcPr>
            <w:tcW w:w="1526" w:type="dxa"/>
            <w:vAlign w:val="center"/>
          </w:tcPr>
          <w:p w:rsidR="00A12336" w:rsidRPr="006C5FAB" w:rsidRDefault="00A12336" w:rsidP="00E960F1">
            <w:pPr>
              <w:pStyle w:val="Tabletext"/>
              <w:jc w:val="right"/>
            </w:pPr>
            <w:r w:rsidRPr="006C5FAB">
              <w:t>36</w:t>
            </w:r>
          </w:p>
        </w:tc>
        <w:tc>
          <w:tcPr>
            <w:tcW w:w="1526" w:type="dxa"/>
            <w:vAlign w:val="center"/>
          </w:tcPr>
          <w:p w:rsidR="00A12336" w:rsidRPr="006C5FAB" w:rsidRDefault="00A12336" w:rsidP="00E960F1">
            <w:pPr>
              <w:pStyle w:val="Tabletext"/>
              <w:jc w:val="right"/>
            </w:pPr>
            <w:r w:rsidRPr="006C5FAB">
              <w:t>23</w:t>
            </w:r>
          </w:p>
        </w:tc>
        <w:tc>
          <w:tcPr>
            <w:tcW w:w="1526" w:type="dxa"/>
            <w:vAlign w:val="center"/>
          </w:tcPr>
          <w:p w:rsidR="00A12336" w:rsidRPr="006C5FAB" w:rsidRDefault="00A12336" w:rsidP="00E960F1">
            <w:pPr>
              <w:pStyle w:val="Tabletext"/>
              <w:jc w:val="right"/>
            </w:pPr>
            <w:r w:rsidRPr="006C5FAB">
              <w:t>3.37</w:t>
            </w:r>
          </w:p>
        </w:tc>
        <w:tc>
          <w:tcPr>
            <w:tcW w:w="1526" w:type="dxa"/>
            <w:vAlign w:val="center"/>
          </w:tcPr>
          <w:p w:rsidR="00A12336" w:rsidRPr="006C5FAB" w:rsidRDefault="00A12336" w:rsidP="00E960F1">
            <w:pPr>
              <w:pStyle w:val="Tabletext"/>
              <w:jc w:val="right"/>
            </w:pPr>
            <w:r w:rsidRPr="006C5FAB">
              <w:t>1.84</w:t>
            </w:r>
          </w:p>
        </w:tc>
        <w:tc>
          <w:tcPr>
            <w:tcW w:w="1526" w:type="dxa"/>
            <w:vAlign w:val="center"/>
          </w:tcPr>
          <w:p w:rsidR="00A12336" w:rsidRPr="006C5FAB" w:rsidRDefault="00A12336" w:rsidP="00E960F1">
            <w:pPr>
              <w:pStyle w:val="Tabletext"/>
              <w:jc w:val="right"/>
            </w:pPr>
            <w:r w:rsidRPr="006C5FAB">
              <w:t>-45%</w:t>
            </w:r>
          </w:p>
        </w:tc>
      </w:tr>
      <w:tr w:rsidR="00A12336" w:rsidTr="00E960F1">
        <w:tc>
          <w:tcPr>
            <w:tcW w:w="2778" w:type="dxa"/>
          </w:tcPr>
          <w:p w:rsidR="00A12336" w:rsidRPr="006C5FAB" w:rsidRDefault="00A12336" w:rsidP="008C4D45">
            <w:pPr>
              <w:pStyle w:val="Tabletext"/>
            </w:pPr>
            <w:r w:rsidRPr="006C5FAB">
              <w:t>35 - 44</w:t>
            </w:r>
          </w:p>
        </w:tc>
        <w:tc>
          <w:tcPr>
            <w:tcW w:w="1526" w:type="dxa"/>
            <w:vAlign w:val="center"/>
          </w:tcPr>
          <w:p w:rsidR="00A12336" w:rsidRPr="006C5FAB" w:rsidRDefault="00A12336" w:rsidP="00E960F1">
            <w:pPr>
              <w:pStyle w:val="Tabletext"/>
              <w:jc w:val="right"/>
            </w:pPr>
            <w:r w:rsidRPr="006C5FAB">
              <w:t>34</w:t>
            </w:r>
          </w:p>
        </w:tc>
        <w:tc>
          <w:tcPr>
            <w:tcW w:w="1526" w:type="dxa"/>
            <w:vAlign w:val="center"/>
          </w:tcPr>
          <w:p w:rsidR="00A12336" w:rsidRPr="006C5FAB" w:rsidRDefault="00A12336" w:rsidP="00E960F1">
            <w:pPr>
              <w:pStyle w:val="Tabletext"/>
              <w:jc w:val="right"/>
            </w:pPr>
            <w:r w:rsidRPr="006C5FAB">
              <w:t>21</w:t>
            </w:r>
          </w:p>
        </w:tc>
        <w:tc>
          <w:tcPr>
            <w:tcW w:w="1526" w:type="dxa"/>
            <w:vAlign w:val="center"/>
          </w:tcPr>
          <w:p w:rsidR="00A12336" w:rsidRPr="006C5FAB" w:rsidRDefault="00A12336" w:rsidP="00E960F1">
            <w:pPr>
              <w:pStyle w:val="Tabletext"/>
              <w:jc w:val="right"/>
            </w:pPr>
            <w:r w:rsidRPr="006C5FAB">
              <w:t>3.19</w:t>
            </w:r>
          </w:p>
        </w:tc>
        <w:tc>
          <w:tcPr>
            <w:tcW w:w="1526" w:type="dxa"/>
            <w:vAlign w:val="center"/>
          </w:tcPr>
          <w:p w:rsidR="00A12336" w:rsidRPr="006C5FAB" w:rsidRDefault="00A12336" w:rsidP="00E960F1">
            <w:pPr>
              <w:pStyle w:val="Tabletext"/>
              <w:jc w:val="right"/>
            </w:pPr>
            <w:r w:rsidRPr="006C5FAB">
              <w:t>1.77</w:t>
            </w:r>
          </w:p>
        </w:tc>
        <w:tc>
          <w:tcPr>
            <w:tcW w:w="1526" w:type="dxa"/>
            <w:vAlign w:val="center"/>
          </w:tcPr>
          <w:p w:rsidR="00A12336" w:rsidRPr="006C5FAB" w:rsidRDefault="00A12336" w:rsidP="00E960F1">
            <w:pPr>
              <w:pStyle w:val="Tabletext"/>
              <w:jc w:val="right"/>
            </w:pPr>
            <w:r w:rsidRPr="006C5FAB">
              <w:t>-45%</w:t>
            </w:r>
          </w:p>
        </w:tc>
      </w:tr>
      <w:tr w:rsidR="00A12336" w:rsidTr="00E960F1">
        <w:tc>
          <w:tcPr>
            <w:tcW w:w="2778" w:type="dxa"/>
          </w:tcPr>
          <w:p w:rsidR="00A12336" w:rsidRPr="006C5FAB" w:rsidRDefault="00A12336" w:rsidP="008C4D45">
            <w:pPr>
              <w:pStyle w:val="Tabletext"/>
            </w:pPr>
            <w:r w:rsidRPr="006C5FAB">
              <w:t>45 - 54</w:t>
            </w:r>
          </w:p>
        </w:tc>
        <w:tc>
          <w:tcPr>
            <w:tcW w:w="1526" w:type="dxa"/>
            <w:vAlign w:val="center"/>
          </w:tcPr>
          <w:p w:rsidR="00A12336" w:rsidRPr="006C5FAB" w:rsidRDefault="00A12336" w:rsidP="00E960F1">
            <w:pPr>
              <w:pStyle w:val="Tabletext"/>
              <w:jc w:val="right"/>
            </w:pPr>
            <w:r w:rsidRPr="006C5FAB">
              <w:t>42</w:t>
            </w:r>
          </w:p>
        </w:tc>
        <w:tc>
          <w:tcPr>
            <w:tcW w:w="1526" w:type="dxa"/>
            <w:vAlign w:val="center"/>
          </w:tcPr>
          <w:p w:rsidR="00A12336" w:rsidRPr="006C5FAB" w:rsidRDefault="00A12336" w:rsidP="00E960F1">
            <w:pPr>
              <w:pStyle w:val="Tabletext"/>
              <w:jc w:val="right"/>
            </w:pPr>
            <w:r w:rsidRPr="006C5FAB">
              <w:t>36</w:t>
            </w:r>
          </w:p>
        </w:tc>
        <w:tc>
          <w:tcPr>
            <w:tcW w:w="1526" w:type="dxa"/>
            <w:vAlign w:val="center"/>
          </w:tcPr>
          <w:p w:rsidR="00A12336" w:rsidRPr="006C5FAB" w:rsidRDefault="00A12336" w:rsidP="00E960F1">
            <w:pPr>
              <w:pStyle w:val="Tabletext"/>
              <w:jc w:val="right"/>
            </w:pPr>
            <w:r w:rsidRPr="006C5FAB">
              <w:t>4.84</w:t>
            </w:r>
          </w:p>
        </w:tc>
        <w:tc>
          <w:tcPr>
            <w:tcW w:w="1526" w:type="dxa"/>
            <w:vAlign w:val="center"/>
          </w:tcPr>
          <w:p w:rsidR="00A12336" w:rsidRPr="006C5FAB" w:rsidRDefault="00A12336" w:rsidP="00E960F1">
            <w:pPr>
              <w:pStyle w:val="Tabletext"/>
              <w:jc w:val="right"/>
            </w:pPr>
            <w:r w:rsidRPr="006C5FAB">
              <w:t>3.56</w:t>
            </w:r>
          </w:p>
        </w:tc>
        <w:tc>
          <w:tcPr>
            <w:tcW w:w="1526" w:type="dxa"/>
            <w:vAlign w:val="center"/>
          </w:tcPr>
          <w:p w:rsidR="00A12336" w:rsidRPr="006C5FAB" w:rsidRDefault="00A12336" w:rsidP="00E960F1">
            <w:pPr>
              <w:pStyle w:val="Tabletext"/>
              <w:jc w:val="right"/>
            </w:pPr>
            <w:r w:rsidRPr="006C5FAB">
              <w:t>-26%</w:t>
            </w:r>
          </w:p>
        </w:tc>
      </w:tr>
      <w:tr w:rsidR="00A12336" w:rsidTr="00E960F1">
        <w:tc>
          <w:tcPr>
            <w:tcW w:w="2778" w:type="dxa"/>
          </w:tcPr>
          <w:p w:rsidR="00A12336" w:rsidRPr="006C5FAB" w:rsidRDefault="00A12336" w:rsidP="008C4D45">
            <w:pPr>
              <w:pStyle w:val="Tabletext"/>
            </w:pPr>
            <w:r w:rsidRPr="006C5FAB">
              <w:t>55-64</w:t>
            </w:r>
          </w:p>
        </w:tc>
        <w:tc>
          <w:tcPr>
            <w:tcW w:w="1526" w:type="dxa"/>
            <w:vAlign w:val="center"/>
          </w:tcPr>
          <w:p w:rsidR="00A12336" w:rsidRPr="006C5FAB" w:rsidRDefault="00A12336" w:rsidP="00E960F1">
            <w:pPr>
              <w:pStyle w:val="Tabletext"/>
              <w:jc w:val="right"/>
            </w:pPr>
            <w:r w:rsidRPr="006C5FAB">
              <w:t>37</w:t>
            </w:r>
          </w:p>
        </w:tc>
        <w:tc>
          <w:tcPr>
            <w:tcW w:w="1526" w:type="dxa"/>
            <w:vAlign w:val="center"/>
          </w:tcPr>
          <w:p w:rsidR="00A12336" w:rsidRPr="006C5FAB" w:rsidRDefault="00A12336" w:rsidP="00E960F1">
            <w:pPr>
              <w:pStyle w:val="Tabletext"/>
              <w:jc w:val="right"/>
            </w:pPr>
            <w:r w:rsidRPr="006C5FAB">
              <w:t>36</w:t>
            </w:r>
          </w:p>
        </w:tc>
        <w:tc>
          <w:tcPr>
            <w:tcW w:w="1526" w:type="dxa"/>
            <w:vAlign w:val="center"/>
          </w:tcPr>
          <w:p w:rsidR="00A12336" w:rsidRPr="006C5FAB" w:rsidRDefault="00A12336" w:rsidP="00E960F1">
            <w:pPr>
              <w:pStyle w:val="Tabletext"/>
              <w:jc w:val="right"/>
            </w:pPr>
            <w:r w:rsidRPr="006C5FAB">
              <w:t>8.03</w:t>
            </w:r>
          </w:p>
        </w:tc>
        <w:tc>
          <w:tcPr>
            <w:tcW w:w="1526" w:type="dxa"/>
            <w:vAlign w:val="center"/>
          </w:tcPr>
          <w:p w:rsidR="00A12336" w:rsidRPr="006C5FAB" w:rsidRDefault="00A12336" w:rsidP="00E960F1">
            <w:pPr>
              <w:pStyle w:val="Tabletext"/>
              <w:jc w:val="right"/>
            </w:pPr>
            <w:r w:rsidRPr="006C5FAB">
              <w:t>5.84</w:t>
            </w:r>
          </w:p>
        </w:tc>
        <w:tc>
          <w:tcPr>
            <w:tcW w:w="1526" w:type="dxa"/>
            <w:vAlign w:val="center"/>
          </w:tcPr>
          <w:p w:rsidR="00A12336" w:rsidRPr="006C5FAB" w:rsidRDefault="00A12336" w:rsidP="00E960F1">
            <w:pPr>
              <w:pStyle w:val="Tabletext"/>
              <w:jc w:val="right"/>
            </w:pPr>
            <w:r w:rsidRPr="006C5FAB">
              <w:t>-27%</w:t>
            </w:r>
          </w:p>
        </w:tc>
      </w:tr>
      <w:tr w:rsidR="00A12336" w:rsidTr="00E960F1">
        <w:tc>
          <w:tcPr>
            <w:tcW w:w="2778" w:type="dxa"/>
          </w:tcPr>
          <w:p w:rsidR="00A12336" w:rsidRPr="006C5FAB" w:rsidRDefault="00A12336" w:rsidP="008C4D45">
            <w:pPr>
              <w:pStyle w:val="Tabletext"/>
            </w:pPr>
            <w:r w:rsidRPr="006C5FAB">
              <w:t>65 &amp; over</w:t>
            </w:r>
          </w:p>
        </w:tc>
        <w:tc>
          <w:tcPr>
            <w:tcW w:w="1526" w:type="dxa"/>
            <w:vAlign w:val="center"/>
          </w:tcPr>
          <w:p w:rsidR="00A12336" w:rsidRPr="006C5FAB" w:rsidRDefault="00A12336" w:rsidP="00E960F1">
            <w:pPr>
              <w:pStyle w:val="Tabletext"/>
              <w:jc w:val="right"/>
            </w:pPr>
            <w:r w:rsidRPr="006C5FAB">
              <w:t>16</w:t>
            </w:r>
          </w:p>
        </w:tc>
        <w:tc>
          <w:tcPr>
            <w:tcW w:w="1526" w:type="dxa"/>
            <w:vAlign w:val="center"/>
          </w:tcPr>
          <w:p w:rsidR="00A12336" w:rsidRPr="006C5FAB" w:rsidRDefault="00A12336" w:rsidP="00E960F1">
            <w:pPr>
              <w:pStyle w:val="Tabletext"/>
              <w:jc w:val="right"/>
            </w:pPr>
            <w:r w:rsidRPr="006C5FAB">
              <w:t>23</w:t>
            </w:r>
          </w:p>
        </w:tc>
        <w:tc>
          <w:tcPr>
            <w:tcW w:w="1526" w:type="dxa"/>
            <w:vAlign w:val="center"/>
          </w:tcPr>
          <w:p w:rsidR="00A12336" w:rsidRPr="006C5FAB" w:rsidRDefault="00A12336" w:rsidP="00E960F1">
            <w:pPr>
              <w:pStyle w:val="Tabletext"/>
              <w:jc w:val="right"/>
            </w:pPr>
            <w:r w:rsidRPr="006C5FAB">
              <w:t>26.69</w:t>
            </w:r>
          </w:p>
        </w:tc>
        <w:tc>
          <w:tcPr>
            <w:tcW w:w="1526" w:type="dxa"/>
            <w:vAlign w:val="center"/>
          </w:tcPr>
          <w:p w:rsidR="00A12336" w:rsidRPr="006C5FAB" w:rsidRDefault="00A12336" w:rsidP="00E960F1">
            <w:pPr>
              <w:pStyle w:val="Tabletext"/>
              <w:jc w:val="right"/>
            </w:pPr>
            <w:r w:rsidRPr="006C5FAB">
              <w:t>21.63</w:t>
            </w:r>
          </w:p>
        </w:tc>
        <w:tc>
          <w:tcPr>
            <w:tcW w:w="1526" w:type="dxa"/>
            <w:vAlign w:val="center"/>
          </w:tcPr>
          <w:p w:rsidR="00A12336" w:rsidRPr="006C5FAB" w:rsidRDefault="00A12336" w:rsidP="00E960F1">
            <w:pPr>
              <w:pStyle w:val="Tabletext"/>
              <w:jc w:val="right"/>
            </w:pPr>
            <w:r w:rsidRPr="006C5FAB">
              <w:t>-19%</w:t>
            </w:r>
          </w:p>
        </w:tc>
      </w:tr>
      <w:tr w:rsidR="00A12336" w:rsidRPr="008A5E5B" w:rsidTr="00E960F1">
        <w:tc>
          <w:tcPr>
            <w:tcW w:w="2778" w:type="dxa"/>
          </w:tcPr>
          <w:p w:rsidR="00A12336" w:rsidRPr="008A5E5B" w:rsidRDefault="00A12336" w:rsidP="008C4D45">
            <w:pPr>
              <w:pStyle w:val="Tabletext"/>
              <w:rPr>
                <w:b/>
              </w:rPr>
            </w:pPr>
            <w:r w:rsidRPr="008A5E5B">
              <w:rPr>
                <w:b/>
              </w:rPr>
              <w:t>Total</w:t>
            </w:r>
          </w:p>
        </w:tc>
        <w:tc>
          <w:tcPr>
            <w:tcW w:w="1526" w:type="dxa"/>
            <w:vAlign w:val="center"/>
          </w:tcPr>
          <w:p w:rsidR="00A12336" w:rsidRPr="008A5E5B" w:rsidRDefault="00A12336" w:rsidP="00E960F1">
            <w:pPr>
              <w:pStyle w:val="Tabletext"/>
              <w:jc w:val="right"/>
              <w:rPr>
                <w:b/>
              </w:rPr>
            </w:pPr>
            <w:r w:rsidRPr="008A5E5B">
              <w:rPr>
                <w:b/>
              </w:rPr>
              <w:t>196</w:t>
            </w:r>
          </w:p>
        </w:tc>
        <w:tc>
          <w:tcPr>
            <w:tcW w:w="1526" w:type="dxa"/>
            <w:vAlign w:val="center"/>
          </w:tcPr>
          <w:p w:rsidR="00A12336" w:rsidRPr="008A5E5B" w:rsidRDefault="00A12336" w:rsidP="00E960F1">
            <w:pPr>
              <w:pStyle w:val="Tabletext"/>
              <w:jc w:val="right"/>
              <w:rPr>
                <w:b/>
              </w:rPr>
            </w:pPr>
            <w:r w:rsidRPr="008A5E5B">
              <w:rPr>
                <w:b/>
              </w:rPr>
              <w:t>167</w:t>
            </w:r>
          </w:p>
        </w:tc>
        <w:tc>
          <w:tcPr>
            <w:tcW w:w="1526" w:type="dxa"/>
            <w:vAlign w:val="center"/>
          </w:tcPr>
          <w:p w:rsidR="00A12336" w:rsidRPr="008A5E5B" w:rsidRDefault="00A12336" w:rsidP="00E960F1">
            <w:pPr>
              <w:pStyle w:val="Tabletext"/>
              <w:jc w:val="right"/>
              <w:rPr>
                <w:b/>
              </w:rPr>
            </w:pPr>
            <w:r w:rsidRPr="008A5E5B">
              <w:rPr>
                <w:b/>
              </w:rPr>
              <w:t>4.59</w:t>
            </w:r>
          </w:p>
        </w:tc>
        <w:tc>
          <w:tcPr>
            <w:tcW w:w="1526" w:type="dxa"/>
            <w:vAlign w:val="center"/>
          </w:tcPr>
          <w:p w:rsidR="00A12336" w:rsidRPr="008A5E5B" w:rsidRDefault="00A12336" w:rsidP="00E960F1">
            <w:pPr>
              <w:pStyle w:val="Tabletext"/>
              <w:jc w:val="right"/>
              <w:rPr>
                <w:b/>
              </w:rPr>
            </w:pPr>
            <w:r w:rsidRPr="008A5E5B">
              <w:rPr>
                <w:b/>
              </w:rPr>
              <w:t>3.29</w:t>
            </w:r>
          </w:p>
        </w:tc>
        <w:tc>
          <w:tcPr>
            <w:tcW w:w="1526" w:type="dxa"/>
            <w:vAlign w:val="center"/>
          </w:tcPr>
          <w:p w:rsidR="00A12336" w:rsidRPr="008A5E5B" w:rsidRDefault="00A12336" w:rsidP="00E960F1">
            <w:pPr>
              <w:pStyle w:val="Tabletext"/>
              <w:jc w:val="right"/>
              <w:rPr>
                <w:b/>
              </w:rPr>
            </w:pPr>
            <w:r w:rsidRPr="008A5E5B">
              <w:rPr>
                <w:b/>
              </w:rPr>
              <w:t>-28%</w:t>
            </w:r>
          </w:p>
        </w:tc>
      </w:tr>
    </w:tbl>
    <w:p w:rsidR="00B3226A" w:rsidRPr="00B3226A" w:rsidRDefault="00B3226A" w:rsidP="00513A50">
      <w:pPr>
        <w:pStyle w:val="BodyText1"/>
      </w:pPr>
      <w:r w:rsidRPr="00B3226A">
        <w:t xml:space="preserve">The highest fatality rate over the 2009–13 </w:t>
      </w:r>
      <w:proofErr w:type="gramStart"/>
      <w:r w:rsidRPr="00B3226A">
        <w:t>period</w:t>
      </w:r>
      <w:proofErr w:type="gramEnd"/>
      <w:r w:rsidRPr="00B3226A">
        <w:t xml:space="preserve"> was recorded by the 65 years and over age group. This age group accounted for 14% of fatalities in the 2009–13 </w:t>
      </w:r>
      <w:proofErr w:type="gramStart"/>
      <w:r w:rsidRPr="00B3226A">
        <w:t>period</w:t>
      </w:r>
      <w:proofErr w:type="gramEnd"/>
      <w:r w:rsidRPr="00B3226A">
        <w:t xml:space="preserve"> but had only 2% of workers. This resulted in a fatality rate of 21.63 fatalities per 100 000 workers, which is more than six times the industry rate over the same period</w:t>
      </w:r>
      <w:r>
        <w:t>.</w:t>
      </w:r>
    </w:p>
    <w:p w:rsidR="00B3226A" w:rsidRDefault="00982F9F" w:rsidP="00905D87">
      <w:pPr>
        <w:pStyle w:val="Heading3"/>
      </w:pPr>
      <w:bookmarkStart w:id="15" w:name="_Toc427590846"/>
      <w:r>
        <w:t>Age by employment status</w:t>
      </w:r>
      <w:bookmarkEnd w:id="15"/>
    </w:p>
    <w:p w:rsidR="00B3226A" w:rsidRDefault="00B3226A" w:rsidP="00513A50">
      <w:pPr>
        <w:pStyle w:val="BodyText1"/>
      </w:pPr>
      <w:r w:rsidRPr="00B3226A">
        <w:t>The age profile of fatalities among employees is younger than the age profile for fatalities among self-employed workers. Table 10 shows 20% of fatalities among employees involved workers aged less than 25 years while for self-employed workers this age group accounted for just 4% of fatalities. In contrast, 81% of self-employed fatalities involved workers aged 45 years or over. This is nearly double the percentage this age group represents for employees (44%).</w:t>
      </w:r>
    </w:p>
    <w:p w:rsidR="00B3226A" w:rsidRPr="00B3226A" w:rsidRDefault="00B3226A" w:rsidP="00513A50">
      <w:pPr>
        <w:pStyle w:val="BodyText1"/>
      </w:pPr>
      <w:r w:rsidRPr="00B3226A">
        <w:t xml:space="preserve">Self-employed workers had lower fatality rates than employees for all age groups except the 65 years &amp; over group. Over the 2003–13 </w:t>
      </w:r>
      <w:proofErr w:type="gramStart"/>
      <w:r w:rsidRPr="00B3226A">
        <w:t>period</w:t>
      </w:r>
      <w:proofErr w:type="gramEnd"/>
      <w:r w:rsidRPr="00B3226A">
        <w:t xml:space="preserve">, 23 self-employed workers aged 65 years &amp; over were killed. </w:t>
      </w:r>
    </w:p>
    <w:p w:rsidR="00B3226A" w:rsidRPr="00B3226A" w:rsidRDefault="00B3226A" w:rsidP="00513A50">
      <w:pPr>
        <w:pStyle w:val="BodyText1"/>
      </w:pPr>
      <w:r w:rsidRPr="00B3226A">
        <w:t xml:space="preserve">The lowest fatality rate for self-employed workers was recorded by the 25–35 years age group. Over the 2003–13 period just three self-employed workers of this age were killed resulting in a fatality rate of 0.45 fatalities per 100 000 self-employed workers. </w:t>
      </w:r>
    </w:p>
    <w:p w:rsidR="008D72B2" w:rsidRDefault="008D72B2">
      <w:pPr>
        <w:rPr>
          <w:rFonts w:ascii="Arial" w:hAnsi="Arial" w:cs="Arial"/>
          <w:color w:val="FF0000"/>
          <w:lang w:val="en-US"/>
        </w:rPr>
      </w:pPr>
      <w:r>
        <w:br w:type="page"/>
      </w:r>
    </w:p>
    <w:p w:rsidR="00B3226A" w:rsidRDefault="00B3226A" w:rsidP="00982F9F">
      <w:pPr>
        <w:pStyle w:val="Tableheading"/>
      </w:pPr>
      <w:r>
        <w:t>Table 10: Worker fatalities in the construction industry: number, percentage and fatality rate by age group and employment status, 2003 to 2013 combined</w:t>
      </w:r>
    </w:p>
    <w:tbl>
      <w:tblPr>
        <w:tblStyle w:val="TableGrid"/>
        <w:tblW w:w="0" w:type="auto"/>
        <w:tblLook w:val="04A0" w:firstRow="1" w:lastRow="0" w:firstColumn="1" w:lastColumn="0" w:noHBand="0" w:noVBand="1"/>
        <w:tblCaption w:val="Table 10: Worker fatalities in the construction industry: number, percentage and fatality rate by age group and employment status, 2003 to 2013 combined"/>
        <w:tblDescription w:val="Table 10 shows 20% of fatalities among employees involved workers aged less than 25 years while for self-employed workers this age group accounted for just 4% of fatalities. "/>
      </w:tblPr>
      <w:tblGrid>
        <w:gridCol w:w="1526"/>
        <w:gridCol w:w="1526"/>
        <w:gridCol w:w="1526"/>
        <w:gridCol w:w="1526"/>
        <w:gridCol w:w="1526"/>
        <w:gridCol w:w="1526"/>
        <w:gridCol w:w="1526"/>
      </w:tblGrid>
      <w:tr w:rsidR="008A5E5B" w:rsidTr="00715413">
        <w:trPr>
          <w:tblHeader/>
        </w:trPr>
        <w:tc>
          <w:tcPr>
            <w:tcW w:w="1526" w:type="dxa"/>
            <w:shd w:val="clear" w:color="auto" w:fill="D9D9D9" w:themeFill="background1" w:themeFillShade="D9"/>
          </w:tcPr>
          <w:p w:rsidR="008A5E5B" w:rsidRDefault="008A5E5B" w:rsidP="008A5E5B">
            <w:pPr>
              <w:pStyle w:val="Tableheaderrow"/>
            </w:pPr>
          </w:p>
        </w:tc>
        <w:tc>
          <w:tcPr>
            <w:tcW w:w="3052" w:type="dxa"/>
            <w:gridSpan w:val="2"/>
            <w:shd w:val="clear" w:color="auto" w:fill="D9D9D9" w:themeFill="background1" w:themeFillShade="D9"/>
            <w:vAlign w:val="bottom"/>
          </w:tcPr>
          <w:p w:rsidR="008A5E5B" w:rsidRDefault="008A5E5B" w:rsidP="008A5E5B">
            <w:pPr>
              <w:pStyle w:val="Tableheaderrow"/>
            </w:pPr>
            <w:r>
              <w:t>Fatalities</w:t>
            </w:r>
          </w:p>
        </w:tc>
        <w:tc>
          <w:tcPr>
            <w:tcW w:w="3052" w:type="dxa"/>
            <w:gridSpan w:val="2"/>
            <w:shd w:val="clear" w:color="auto" w:fill="D9D9D9" w:themeFill="background1" w:themeFillShade="D9"/>
            <w:vAlign w:val="bottom"/>
          </w:tcPr>
          <w:p w:rsidR="008A5E5B" w:rsidRDefault="008A5E5B" w:rsidP="008A5E5B">
            <w:pPr>
              <w:pStyle w:val="Tableheaderrow"/>
            </w:pPr>
            <w:r>
              <w:t>Workers</w:t>
            </w:r>
          </w:p>
        </w:tc>
        <w:tc>
          <w:tcPr>
            <w:tcW w:w="3052" w:type="dxa"/>
            <w:gridSpan w:val="2"/>
            <w:shd w:val="clear" w:color="auto" w:fill="D9D9D9" w:themeFill="background1" w:themeFillShade="D9"/>
            <w:vAlign w:val="bottom"/>
          </w:tcPr>
          <w:p w:rsidR="008A5E5B" w:rsidRDefault="008A5E5B" w:rsidP="008A5E5B">
            <w:pPr>
              <w:pStyle w:val="Tableheaderrow"/>
            </w:pPr>
            <w:r>
              <w:t xml:space="preserve">Fatality rate </w:t>
            </w:r>
            <w:r>
              <w:br/>
              <w:t>(fatalities per 100 000 workers)</w:t>
            </w:r>
          </w:p>
        </w:tc>
      </w:tr>
      <w:tr w:rsidR="008A5E5B" w:rsidTr="00715413">
        <w:trPr>
          <w:tblHeader/>
        </w:trPr>
        <w:tc>
          <w:tcPr>
            <w:tcW w:w="1526" w:type="dxa"/>
            <w:shd w:val="clear" w:color="auto" w:fill="D9D9D9" w:themeFill="background1" w:themeFillShade="D9"/>
            <w:vAlign w:val="bottom"/>
          </w:tcPr>
          <w:p w:rsidR="008A5E5B" w:rsidRPr="006C5FAB" w:rsidRDefault="008A5E5B" w:rsidP="008A5E5B">
            <w:pPr>
              <w:pStyle w:val="Tableheaderrow"/>
              <w:jc w:val="left"/>
            </w:pPr>
            <w:r>
              <w:t>Age Group</w:t>
            </w:r>
          </w:p>
        </w:tc>
        <w:tc>
          <w:tcPr>
            <w:tcW w:w="1526" w:type="dxa"/>
            <w:shd w:val="clear" w:color="auto" w:fill="D9D9D9" w:themeFill="background1" w:themeFillShade="D9"/>
            <w:vAlign w:val="center"/>
          </w:tcPr>
          <w:p w:rsidR="008A5E5B" w:rsidRPr="001254C5" w:rsidRDefault="008A5E5B" w:rsidP="00E960F1">
            <w:pPr>
              <w:pStyle w:val="Tableheaderrow"/>
              <w:jc w:val="right"/>
            </w:pPr>
            <w:r w:rsidRPr="001254C5">
              <w:t>Employee</w:t>
            </w:r>
          </w:p>
        </w:tc>
        <w:tc>
          <w:tcPr>
            <w:tcW w:w="1526" w:type="dxa"/>
            <w:shd w:val="clear" w:color="auto" w:fill="D9D9D9" w:themeFill="background1" w:themeFillShade="D9"/>
            <w:vAlign w:val="center"/>
          </w:tcPr>
          <w:p w:rsidR="008A5E5B" w:rsidRPr="001254C5" w:rsidRDefault="008A5E5B" w:rsidP="00E960F1">
            <w:pPr>
              <w:pStyle w:val="Tableheaderrow"/>
              <w:jc w:val="right"/>
            </w:pPr>
            <w:r w:rsidRPr="001254C5">
              <w:t>Self-employed</w:t>
            </w:r>
          </w:p>
        </w:tc>
        <w:tc>
          <w:tcPr>
            <w:tcW w:w="1526" w:type="dxa"/>
            <w:shd w:val="clear" w:color="auto" w:fill="D9D9D9" w:themeFill="background1" w:themeFillShade="D9"/>
            <w:vAlign w:val="center"/>
          </w:tcPr>
          <w:p w:rsidR="008A5E5B" w:rsidRPr="001254C5" w:rsidRDefault="008A5E5B" w:rsidP="00E960F1">
            <w:pPr>
              <w:pStyle w:val="Tableheaderrow"/>
              <w:jc w:val="right"/>
            </w:pPr>
            <w:r w:rsidRPr="001254C5">
              <w:t>Employee</w:t>
            </w:r>
          </w:p>
        </w:tc>
        <w:tc>
          <w:tcPr>
            <w:tcW w:w="1526" w:type="dxa"/>
            <w:shd w:val="clear" w:color="auto" w:fill="D9D9D9" w:themeFill="background1" w:themeFillShade="D9"/>
            <w:vAlign w:val="center"/>
          </w:tcPr>
          <w:p w:rsidR="008A5E5B" w:rsidRPr="001254C5" w:rsidRDefault="008A5E5B" w:rsidP="00E960F1">
            <w:pPr>
              <w:pStyle w:val="Tableheaderrow"/>
              <w:jc w:val="right"/>
            </w:pPr>
            <w:r w:rsidRPr="001254C5">
              <w:t>Self-employed</w:t>
            </w:r>
          </w:p>
        </w:tc>
        <w:tc>
          <w:tcPr>
            <w:tcW w:w="1526" w:type="dxa"/>
            <w:shd w:val="clear" w:color="auto" w:fill="D9D9D9" w:themeFill="background1" w:themeFillShade="D9"/>
            <w:vAlign w:val="center"/>
          </w:tcPr>
          <w:p w:rsidR="008A5E5B" w:rsidRPr="001254C5" w:rsidRDefault="008A5E5B" w:rsidP="00E960F1">
            <w:pPr>
              <w:pStyle w:val="Tableheaderrow"/>
              <w:jc w:val="right"/>
            </w:pPr>
            <w:r w:rsidRPr="001254C5">
              <w:t>Employee</w:t>
            </w:r>
          </w:p>
        </w:tc>
        <w:tc>
          <w:tcPr>
            <w:tcW w:w="1526" w:type="dxa"/>
            <w:shd w:val="clear" w:color="auto" w:fill="D9D9D9" w:themeFill="background1" w:themeFillShade="D9"/>
            <w:vAlign w:val="center"/>
          </w:tcPr>
          <w:p w:rsidR="008A5E5B" w:rsidRPr="001254C5" w:rsidRDefault="008A5E5B" w:rsidP="00E960F1">
            <w:pPr>
              <w:pStyle w:val="Tableheaderrow"/>
              <w:jc w:val="right"/>
            </w:pPr>
            <w:r w:rsidRPr="001254C5">
              <w:t>Self-employed</w:t>
            </w:r>
          </w:p>
        </w:tc>
      </w:tr>
      <w:tr w:rsidR="008A5E5B" w:rsidTr="00E960F1">
        <w:tc>
          <w:tcPr>
            <w:tcW w:w="1526" w:type="dxa"/>
            <w:vAlign w:val="center"/>
          </w:tcPr>
          <w:p w:rsidR="008A5E5B" w:rsidRPr="006C5FAB" w:rsidRDefault="008A5E5B" w:rsidP="008A5E5B">
            <w:pPr>
              <w:pStyle w:val="Tabletext"/>
            </w:pPr>
            <w:r w:rsidRPr="006C5FAB">
              <w:t>Under 25</w:t>
            </w:r>
          </w:p>
        </w:tc>
        <w:tc>
          <w:tcPr>
            <w:tcW w:w="1526" w:type="dxa"/>
            <w:vAlign w:val="center"/>
          </w:tcPr>
          <w:p w:rsidR="008A5E5B" w:rsidRPr="008A5E5B" w:rsidRDefault="008A5E5B" w:rsidP="00E960F1">
            <w:pPr>
              <w:pStyle w:val="Tabletext"/>
              <w:jc w:val="right"/>
            </w:pPr>
            <w:r w:rsidRPr="008A5E5B">
              <w:t>20%</w:t>
            </w:r>
          </w:p>
        </w:tc>
        <w:tc>
          <w:tcPr>
            <w:tcW w:w="1526" w:type="dxa"/>
            <w:vAlign w:val="center"/>
          </w:tcPr>
          <w:p w:rsidR="008A5E5B" w:rsidRPr="008A5E5B" w:rsidRDefault="008A5E5B" w:rsidP="00E960F1">
            <w:pPr>
              <w:pStyle w:val="Tabletext"/>
              <w:jc w:val="right"/>
            </w:pPr>
            <w:r w:rsidRPr="008A5E5B">
              <w:t>4%</w:t>
            </w:r>
          </w:p>
        </w:tc>
        <w:tc>
          <w:tcPr>
            <w:tcW w:w="1526" w:type="dxa"/>
            <w:vAlign w:val="center"/>
          </w:tcPr>
          <w:p w:rsidR="008A5E5B" w:rsidRPr="008A5E5B" w:rsidRDefault="008A5E5B" w:rsidP="00E960F1">
            <w:pPr>
              <w:pStyle w:val="Tabletext"/>
              <w:jc w:val="right"/>
            </w:pPr>
            <w:r w:rsidRPr="008A5E5B">
              <w:t>23%</w:t>
            </w:r>
          </w:p>
        </w:tc>
        <w:tc>
          <w:tcPr>
            <w:tcW w:w="1526" w:type="dxa"/>
            <w:vAlign w:val="center"/>
          </w:tcPr>
          <w:p w:rsidR="008A5E5B" w:rsidRPr="008A5E5B" w:rsidRDefault="008A5E5B" w:rsidP="00E960F1">
            <w:pPr>
              <w:pStyle w:val="Tabletext"/>
              <w:jc w:val="right"/>
            </w:pPr>
            <w:r w:rsidRPr="008A5E5B">
              <w:t>6%</w:t>
            </w:r>
          </w:p>
        </w:tc>
        <w:tc>
          <w:tcPr>
            <w:tcW w:w="1526" w:type="dxa"/>
            <w:vAlign w:val="center"/>
          </w:tcPr>
          <w:p w:rsidR="008A5E5B" w:rsidRPr="008A5E5B" w:rsidRDefault="008A5E5B" w:rsidP="00E960F1">
            <w:pPr>
              <w:pStyle w:val="Tabletext"/>
              <w:jc w:val="right"/>
            </w:pPr>
            <w:r w:rsidRPr="008A5E5B">
              <w:t>3.65</w:t>
            </w:r>
          </w:p>
        </w:tc>
        <w:tc>
          <w:tcPr>
            <w:tcW w:w="1526" w:type="dxa"/>
            <w:vAlign w:val="center"/>
          </w:tcPr>
          <w:p w:rsidR="008A5E5B" w:rsidRPr="008A5E5B" w:rsidRDefault="008A5E5B" w:rsidP="00E960F1">
            <w:pPr>
              <w:pStyle w:val="Tabletext"/>
              <w:jc w:val="right"/>
            </w:pPr>
            <w:r w:rsidRPr="008A5E5B">
              <w:t>2.29</w:t>
            </w:r>
          </w:p>
        </w:tc>
      </w:tr>
      <w:tr w:rsidR="008A5E5B" w:rsidTr="00E960F1">
        <w:tc>
          <w:tcPr>
            <w:tcW w:w="1526" w:type="dxa"/>
            <w:vAlign w:val="center"/>
          </w:tcPr>
          <w:p w:rsidR="008A5E5B" w:rsidRPr="006C5FAB" w:rsidRDefault="008A5E5B" w:rsidP="008A5E5B">
            <w:pPr>
              <w:pStyle w:val="Tabletext"/>
            </w:pPr>
            <w:r w:rsidRPr="006C5FAB">
              <w:t>25 - 34</w:t>
            </w:r>
          </w:p>
        </w:tc>
        <w:tc>
          <w:tcPr>
            <w:tcW w:w="1526" w:type="dxa"/>
            <w:vAlign w:val="center"/>
          </w:tcPr>
          <w:p w:rsidR="008A5E5B" w:rsidRPr="008A5E5B" w:rsidRDefault="008A5E5B" w:rsidP="00E960F1">
            <w:pPr>
              <w:pStyle w:val="Tabletext"/>
              <w:jc w:val="right"/>
            </w:pPr>
            <w:r w:rsidRPr="008A5E5B">
              <w:t>21%</w:t>
            </w:r>
          </w:p>
        </w:tc>
        <w:tc>
          <w:tcPr>
            <w:tcW w:w="1526" w:type="dxa"/>
            <w:vAlign w:val="center"/>
          </w:tcPr>
          <w:p w:rsidR="008A5E5B" w:rsidRPr="008A5E5B" w:rsidRDefault="008A5E5B" w:rsidP="00E960F1">
            <w:pPr>
              <w:pStyle w:val="Tabletext"/>
              <w:jc w:val="right"/>
            </w:pPr>
            <w:r w:rsidRPr="008A5E5B">
              <w:t>3%</w:t>
            </w:r>
          </w:p>
        </w:tc>
        <w:tc>
          <w:tcPr>
            <w:tcW w:w="1526" w:type="dxa"/>
            <w:vAlign w:val="center"/>
          </w:tcPr>
          <w:p w:rsidR="008A5E5B" w:rsidRPr="008A5E5B" w:rsidRDefault="008A5E5B" w:rsidP="00E960F1">
            <w:pPr>
              <w:pStyle w:val="Tabletext"/>
              <w:jc w:val="right"/>
            </w:pPr>
            <w:r w:rsidRPr="008A5E5B">
              <w:t>26%</w:t>
            </w:r>
          </w:p>
        </w:tc>
        <w:tc>
          <w:tcPr>
            <w:tcW w:w="1526" w:type="dxa"/>
            <w:vAlign w:val="center"/>
          </w:tcPr>
          <w:p w:rsidR="008A5E5B" w:rsidRPr="008A5E5B" w:rsidRDefault="008A5E5B" w:rsidP="00E960F1">
            <w:pPr>
              <w:pStyle w:val="Tabletext"/>
              <w:jc w:val="right"/>
            </w:pPr>
            <w:r w:rsidRPr="008A5E5B">
              <w:t>23%</w:t>
            </w:r>
          </w:p>
        </w:tc>
        <w:tc>
          <w:tcPr>
            <w:tcW w:w="1526" w:type="dxa"/>
            <w:vAlign w:val="center"/>
          </w:tcPr>
          <w:p w:rsidR="008A5E5B" w:rsidRPr="008A5E5B" w:rsidRDefault="008A5E5B" w:rsidP="00E960F1">
            <w:pPr>
              <w:pStyle w:val="Tabletext"/>
              <w:jc w:val="right"/>
            </w:pPr>
            <w:r w:rsidRPr="008A5E5B">
              <w:t>3.38</w:t>
            </w:r>
          </w:p>
        </w:tc>
        <w:tc>
          <w:tcPr>
            <w:tcW w:w="1526" w:type="dxa"/>
            <w:vAlign w:val="center"/>
          </w:tcPr>
          <w:p w:rsidR="008A5E5B" w:rsidRPr="008A5E5B" w:rsidRDefault="008A5E5B" w:rsidP="00E960F1">
            <w:pPr>
              <w:pStyle w:val="Tabletext"/>
              <w:jc w:val="right"/>
            </w:pPr>
            <w:r w:rsidRPr="008A5E5B">
              <w:t>0.45</w:t>
            </w:r>
          </w:p>
        </w:tc>
      </w:tr>
      <w:tr w:rsidR="008A5E5B" w:rsidTr="00E960F1">
        <w:tc>
          <w:tcPr>
            <w:tcW w:w="1526" w:type="dxa"/>
            <w:vAlign w:val="center"/>
          </w:tcPr>
          <w:p w:rsidR="008A5E5B" w:rsidRPr="006C5FAB" w:rsidRDefault="008A5E5B" w:rsidP="008A5E5B">
            <w:pPr>
              <w:pStyle w:val="Tabletext"/>
            </w:pPr>
            <w:r w:rsidRPr="006C5FAB">
              <w:t>35 - 44</w:t>
            </w:r>
          </w:p>
        </w:tc>
        <w:tc>
          <w:tcPr>
            <w:tcW w:w="1526" w:type="dxa"/>
            <w:vAlign w:val="center"/>
          </w:tcPr>
          <w:p w:rsidR="008A5E5B" w:rsidRPr="008A5E5B" w:rsidRDefault="008A5E5B" w:rsidP="00E960F1">
            <w:pPr>
              <w:pStyle w:val="Tabletext"/>
              <w:jc w:val="right"/>
            </w:pPr>
            <w:r w:rsidRPr="008A5E5B">
              <w:t>16%</w:t>
            </w:r>
          </w:p>
        </w:tc>
        <w:tc>
          <w:tcPr>
            <w:tcW w:w="1526" w:type="dxa"/>
            <w:vAlign w:val="center"/>
          </w:tcPr>
          <w:p w:rsidR="008A5E5B" w:rsidRPr="008A5E5B" w:rsidRDefault="008A5E5B" w:rsidP="00E960F1">
            <w:pPr>
              <w:pStyle w:val="Tabletext"/>
              <w:jc w:val="right"/>
            </w:pPr>
            <w:r w:rsidRPr="008A5E5B">
              <w:t>12%</w:t>
            </w:r>
          </w:p>
        </w:tc>
        <w:tc>
          <w:tcPr>
            <w:tcW w:w="1526" w:type="dxa"/>
            <w:vAlign w:val="center"/>
          </w:tcPr>
          <w:p w:rsidR="008A5E5B" w:rsidRPr="008A5E5B" w:rsidRDefault="008A5E5B" w:rsidP="00E960F1">
            <w:pPr>
              <w:pStyle w:val="Tabletext"/>
              <w:jc w:val="right"/>
            </w:pPr>
            <w:r w:rsidRPr="008A5E5B">
              <w:t>22%</w:t>
            </w:r>
          </w:p>
        </w:tc>
        <w:tc>
          <w:tcPr>
            <w:tcW w:w="1526" w:type="dxa"/>
            <w:vAlign w:val="center"/>
          </w:tcPr>
          <w:p w:rsidR="008A5E5B" w:rsidRPr="008A5E5B" w:rsidRDefault="008A5E5B" w:rsidP="00E960F1">
            <w:pPr>
              <w:pStyle w:val="Tabletext"/>
              <w:jc w:val="right"/>
            </w:pPr>
            <w:r w:rsidRPr="008A5E5B">
              <w:t>28%</w:t>
            </w:r>
          </w:p>
        </w:tc>
        <w:tc>
          <w:tcPr>
            <w:tcW w:w="1526" w:type="dxa"/>
            <w:vAlign w:val="center"/>
          </w:tcPr>
          <w:p w:rsidR="008A5E5B" w:rsidRPr="008A5E5B" w:rsidRDefault="008A5E5B" w:rsidP="00E960F1">
            <w:pPr>
              <w:pStyle w:val="Tabletext"/>
              <w:jc w:val="right"/>
            </w:pPr>
            <w:r w:rsidRPr="008A5E5B">
              <w:t>3.02</w:t>
            </w:r>
          </w:p>
        </w:tc>
        <w:tc>
          <w:tcPr>
            <w:tcW w:w="1526" w:type="dxa"/>
            <w:vAlign w:val="center"/>
          </w:tcPr>
          <w:p w:rsidR="008A5E5B" w:rsidRPr="008A5E5B" w:rsidRDefault="008A5E5B" w:rsidP="00E960F1">
            <w:pPr>
              <w:pStyle w:val="Tabletext"/>
              <w:jc w:val="right"/>
            </w:pPr>
            <w:r w:rsidRPr="008A5E5B">
              <w:t>1.32</w:t>
            </w:r>
          </w:p>
        </w:tc>
      </w:tr>
      <w:tr w:rsidR="008A5E5B" w:rsidTr="00E960F1">
        <w:tc>
          <w:tcPr>
            <w:tcW w:w="1526" w:type="dxa"/>
            <w:vAlign w:val="center"/>
          </w:tcPr>
          <w:p w:rsidR="008A5E5B" w:rsidRPr="006C5FAB" w:rsidRDefault="008A5E5B" w:rsidP="008A5E5B">
            <w:pPr>
              <w:pStyle w:val="Tabletext"/>
            </w:pPr>
            <w:r w:rsidRPr="006C5FAB">
              <w:t>45 - 54</w:t>
            </w:r>
          </w:p>
        </w:tc>
        <w:tc>
          <w:tcPr>
            <w:tcW w:w="1526" w:type="dxa"/>
            <w:vAlign w:val="center"/>
          </w:tcPr>
          <w:p w:rsidR="008A5E5B" w:rsidRPr="008A5E5B" w:rsidRDefault="008A5E5B" w:rsidP="00E960F1">
            <w:pPr>
              <w:pStyle w:val="Tabletext"/>
              <w:jc w:val="right"/>
            </w:pPr>
            <w:r w:rsidRPr="008A5E5B">
              <w:t>20%</w:t>
            </w:r>
          </w:p>
        </w:tc>
        <w:tc>
          <w:tcPr>
            <w:tcW w:w="1526" w:type="dxa"/>
            <w:vAlign w:val="center"/>
          </w:tcPr>
          <w:p w:rsidR="008A5E5B" w:rsidRPr="008A5E5B" w:rsidRDefault="008A5E5B" w:rsidP="00E960F1">
            <w:pPr>
              <w:pStyle w:val="Tabletext"/>
              <w:jc w:val="right"/>
            </w:pPr>
            <w:r w:rsidRPr="008A5E5B">
              <w:t>26%</w:t>
            </w:r>
          </w:p>
        </w:tc>
        <w:tc>
          <w:tcPr>
            <w:tcW w:w="1526" w:type="dxa"/>
            <w:vAlign w:val="center"/>
          </w:tcPr>
          <w:p w:rsidR="008A5E5B" w:rsidRPr="008A5E5B" w:rsidRDefault="008A5E5B" w:rsidP="00E960F1">
            <w:pPr>
              <w:pStyle w:val="Tabletext"/>
              <w:jc w:val="right"/>
            </w:pPr>
            <w:r w:rsidRPr="008A5E5B">
              <w:t>18%</w:t>
            </w:r>
          </w:p>
        </w:tc>
        <w:tc>
          <w:tcPr>
            <w:tcW w:w="1526" w:type="dxa"/>
            <w:vAlign w:val="center"/>
          </w:tcPr>
          <w:p w:rsidR="008A5E5B" w:rsidRPr="008A5E5B" w:rsidRDefault="008A5E5B" w:rsidP="00E960F1">
            <w:pPr>
              <w:pStyle w:val="Tabletext"/>
              <w:jc w:val="right"/>
            </w:pPr>
            <w:r w:rsidRPr="008A5E5B">
              <w:t>24%</w:t>
            </w:r>
          </w:p>
        </w:tc>
        <w:tc>
          <w:tcPr>
            <w:tcW w:w="1526" w:type="dxa"/>
            <w:vAlign w:val="center"/>
          </w:tcPr>
          <w:p w:rsidR="008A5E5B" w:rsidRPr="008A5E5B" w:rsidRDefault="008A5E5B" w:rsidP="00E960F1">
            <w:pPr>
              <w:pStyle w:val="Tabletext"/>
              <w:jc w:val="right"/>
            </w:pPr>
            <w:r w:rsidRPr="008A5E5B">
              <w:t>4.63</w:t>
            </w:r>
          </w:p>
        </w:tc>
        <w:tc>
          <w:tcPr>
            <w:tcW w:w="1526" w:type="dxa"/>
            <w:vAlign w:val="center"/>
          </w:tcPr>
          <w:p w:rsidR="008A5E5B" w:rsidRPr="008A5E5B" w:rsidRDefault="008A5E5B" w:rsidP="00E960F1">
            <w:pPr>
              <w:pStyle w:val="Tabletext"/>
              <w:jc w:val="right"/>
            </w:pPr>
            <w:r w:rsidRPr="008A5E5B">
              <w:t>3.21</w:t>
            </w:r>
          </w:p>
        </w:tc>
      </w:tr>
      <w:tr w:rsidR="008A5E5B" w:rsidTr="00E960F1">
        <w:tc>
          <w:tcPr>
            <w:tcW w:w="1526" w:type="dxa"/>
            <w:vAlign w:val="center"/>
          </w:tcPr>
          <w:p w:rsidR="008A5E5B" w:rsidRPr="006C5FAB" w:rsidRDefault="008A5E5B" w:rsidP="008A5E5B">
            <w:pPr>
              <w:pStyle w:val="Tabletext"/>
            </w:pPr>
            <w:r w:rsidRPr="006C5FAB">
              <w:t>55-64</w:t>
            </w:r>
          </w:p>
        </w:tc>
        <w:tc>
          <w:tcPr>
            <w:tcW w:w="1526" w:type="dxa"/>
            <w:vAlign w:val="center"/>
          </w:tcPr>
          <w:p w:rsidR="008A5E5B" w:rsidRPr="008A5E5B" w:rsidRDefault="008A5E5B" w:rsidP="00E960F1">
            <w:pPr>
              <w:pStyle w:val="Tabletext"/>
              <w:jc w:val="right"/>
            </w:pPr>
            <w:r w:rsidRPr="008A5E5B">
              <w:t>17%</w:t>
            </w:r>
          </w:p>
        </w:tc>
        <w:tc>
          <w:tcPr>
            <w:tcW w:w="1526" w:type="dxa"/>
            <w:vAlign w:val="center"/>
          </w:tcPr>
          <w:p w:rsidR="008A5E5B" w:rsidRPr="008A5E5B" w:rsidRDefault="008A5E5B" w:rsidP="00E960F1">
            <w:pPr>
              <w:pStyle w:val="Tabletext"/>
              <w:jc w:val="right"/>
            </w:pPr>
            <w:r w:rsidRPr="008A5E5B">
              <w:t>29%</w:t>
            </w:r>
          </w:p>
        </w:tc>
        <w:tc>
          <w:tcPr>
            <w:tcW w:w="1526" w:type="dxa"/>
            <w:vAlign w:val="center"/>
          </w:tcPr>
          <w:p w:rsidR="008A5E5B" w:rsidRPr="008A5E5B" w:rsidRDefault="008A5E5B" w:rsidP="00E960F1">
            <w:pPr>
              <w:pStyle w:val="Tabletext"/>
              <w:jc w:val="right"/>
            </w:pPr>
            <w:r w:rsidRPr="008A5E5B">
              <w:t>10%</w:t>
            </w:r>
          </w:p>
        </w:tc>
        <w:tc>
          <w:tcPr>
            <w:tcW w:w="1526" w:type="dxa"/>
            <w:vAlign w:val="center"/>
          </w:tcPr>
          <w:p w:rsidR="008A5E5B" w:rsidRPr="008A5E5B" w:rsidRDefault="008A5E5B" w:rsidP="00E960F1">
            <w:pPr>
              <w:pStyle w:val="Tabletext"/>
              <w:jc w:val="right"/>
            </w:pPr>
            <w:r w:rsidRPr="008A5E5B">
              <w:t>16%</w:t>
            </w:r>
          </w:p>
        </w:tc>
        <w:tc>
          <w:tcPr>
            <w:tcW w:w="1526" w:type="dxa"/>
            <w:vAlign w:val="center"/>
          </w:tcPr>
          <w:p w:rsidR="008A5E5B" w:rsidRPr="008A5E5B" w:rsidRDefault="008A5E5B" w:rsidP="00E960F1">
            <w:pPr>
              <w:pStyle w:val="Tabletext"/>
              <w:jc w:val="right"/>
            </w:pPr>
            <w:r w:rsidRPr="008A5E5B">
              <w:t>7.22</w:t>
            </w:r>
          </w:p>
        </w:tc>
        <w:tc>
          <w:tcPr>
            <w:tcW w:w="1526" w:type="dxa"/>
            <w:vAlign w:val="center"/>
          </w:tcPr>
          <w:p w:rsidR="008A5E5B" w:rsidRPr="008A5E5B" w:rsidRDefault="008A5E5B" w:rsidP="00E960F1">
            <w:pPr>
              <w:pStyle w:val="Tabletext"/>
              <w:jc w:val="right"/>
            </w:pPr>
            <w:r w:rsidRPr="008A5E5B">
              <w:t>5.47</w:t>
            </w:r>
          </w:p>
        </w:tc>
      </w:tr>
      <w:tr w:rsidR="008A5E5B" w:rsidTr="00E960F1">
        <w:tc>
          <w:tcPr>
            <w:tcW w:w="1526" w:type="dxa"/>
            <w:vAlign w:val="center"/>
          </w:tcPr>
          <w:p w:rsidR="008A5E5B" w:rsidRPr="006C5FAB" w:rsidRDefault="008A5E5B" w:rsidP="008A5E5B">
            <w:pPr>
              <w:pStyle w:val="Tabletext"/>
            </w:pPr>
            <w:r w:rsidRPr="006C5FAB">
              <w:t>65 &amp; over</w:t>
            </w:r>
          </w:p>
        </w:tc>
        <w:tc>
          <w:tcPr>
            <w:tcW w:w="1526" w:type="dxa"/>
            <w:vAlign w:val="center"/>
          </w:tcPr>
          <w:p w:rsidR="008A5E5B" w:rsidRPr="008A5E5B" w:rsidRDefault="008A5E5B" w:rsidP="00E960F1">
            <w:pPr>
              <w:pStyle w:val="Tabletext"/>
              <w:jc w:val="right"/>
            </w:pPr>
            <w:r w:rsidRPr="008A5E5B">
              <w:t>7%</w:t>
            </w:r>
          </w:p>
        </w:tc>
        <w:tc>
          <w:tcPr>
            <w:tcW w:w="1526" w:type="dxa"/>
            <w:vAlign w:val="center"/>
          </w:tcPr>
          <w:p w:rsidR="008A5E5B" w:rsidRPr="008A5E5B" w:rsidRDefault="008A5E5B" w:rsidP="00E960F1">
            <w:pPr>
              <w:pStyle w:val="Tabletext"/>
              <w:jc w:val="right"/>
            </w:pPr>
            <w:r w:rsidRPr="008A5E5B">
              <w:t>26%</w:t>
            </w:r>
          </w:p>
        </w:tc>
        <w:tc>
          <w:tcPr>
            <w:tcW w:w="1526" w:type="dxa"/>
            <w:vAlign w:val="center"/>
          </w:tcPr>
          <w:p w:rsidR="008A5E5B" w:rsidRPr="008A5E5B" w:rsidRDefault="008A5E5B" w:rsidP="00E960F1">
            <w:pPr>
              <w:pStyle w:val="Tabletext"/>
              <w:jc w:val="right"/>
            </w:pPr>
            <w:r w:rsidRPr="008A5E5B">
              <w:t>1%</w:t>
            </w:r>
          </w:p>
        </w:tc>
        <w:tc>
          <w:tcPr>
            <w:tcW w:w="1526" w:type="dxa"/>
            <w:vAlign w:val="center"/>
          </w:tcPr>
          <w:p w:rsidR="008A5E5B" w:rsidRPr="008A5E5B" w:rsidRDefault="008A5E5B" w:rsidP="00E960F1">
            <w:pPr>
              <w:pStyle w:val="Tabletext"/>
              <w:jc w:val="right"/>
            </w:pPr>
            <w:r w:rsidRPr="008A5E5B">
              <w:t>3%</w:t>
            </w:r>
          </w:p>
        </w:tc>
        <w:tc>
          <w:tcPr>
            <w:tcW w:w="1526" w:type="dxa"/>
            <w:vAlign w:val="center"/>
          </w:tcPr>
          <w:p w:rsidR="008A5E5B" w:rsidRPr="008A5E5B" w:rsidRDefault="008A5E5B" w:rsidP="00E960F1">
            <w:pPr>
              <w:pStyle w:val="Tabletext"/>
              <w:jc w:val="right"/>
            </w:pPr>
            <w:r w:rsidRPr="008A5E5B">
              <w:t>21.10</w:t>
            </w:r>
          </w:p>
        </w:tc>
        <w:tc>
          <w:tcPr>
            <w:tcW w:w="1526" w:type="dxa"/>
            <w:vAlign w:val="center"/>
          </w:tcPr>
          <w:p w:rsidR="008A5E5B" w:rsidRPr="008A5E5B" w:rsidRDefault="008A5E5B" w:rsidP="00E960F1">
            <w:pPr>
              <w:pStyle w:val="Tabletext"/>
              <w:jc w:val="right"/>
            </w:pPr>
            <w:r w:rsidRPr="008A5E5B">
              <w:t>27.25</w:t>
            </w:r>
          </w:p>
        </w:tc>
      </w:tr>
      <w:tr w:rsidR="008A5E5B" w:rsidRPr="008A5E5B" w:rsidTr="00E960F1">
        <w:tc>
          <w:tcPr>
            <w:tcW w:w="1526" w:type="dxa"/>
            <w:vAlign w:val="center"/>
          </w:tcPr>
          <w:p w:rsidR="008A5E5B" w:rsidRPr="008A5E5B" w:rsidRDefault="008A5E5B" w:rsidP="008A5E5B">
            <w:pPr>
              <w:pStyle w:val="Tabletext"/>
              <w:rPr>
                <w:b/>
              </w:rPr>
            </w:pPr>
            <w:r w:rsidRPr="008A5E5B">
              <w:rPr>
                <w:b/>
              </w:rPr>
              <w:t>Total</w:t>
            </w:r>
          </w:p>
        </w:tc>
        <w:tc>
          <w:tcPr>
            <w:tcW w:w="1526" w:type="dxa"/>
            <w:vAlign w:val="center"/>
          </w:tcPr>
          <w:p w:rsidR="008A5E5B" w:rsidRPr="008A5E5B" w:rsidRDefault="008A5E5B" w:rsidP="00E960F1">
            <w:pPr>
              <w:pStyle w:val="Tabletext"/>
              <w:jc w:val="right"/>
              <w:rPr>
                <w:b/>
              </w:rPr>
            </w:pPr>
            <w:r w:rsidRPr="008A5E5B">
              <w:rPr>
                <w:b/>
              </w:rPr>
              <w:t>100%</w:t>
            </w:r>
          </w:p>
        </w:tc>
        <w:tc>
          <w:tcPr>
            <w:tcW w:w="1526" w:type="dxa"/>
            <w:vAlign w:val="center"/>
          </w:tcPr>
          <w:p w:rsidR="008A5E5B" w:rsidRPr="008A5E5B" w:rsidRDefault="008A5E5B" w:rsidP="00E960F1">
            <w:pPr>
              <w:pStyle w:val="Tabletext"/>
              <w:jc w:val="right"/>
              <w:rPr>
                <w:b/>
              </w:rPr>
            </w:pPr>
            <w:r w:rsidRPr="008A5E5B">
              <w:rPr>
                <w:b/>
              </w:rPr>
              <w:t>100%</w:t>
            </w:r>
          </w:p>
        </w:tc>
        <w:tc>
          <w:tcPr>
            <w:tcW w:w="1526" w:type="dxa"/>
            <w:vAlign w:val="center"/>
          </w:tcPr>
          <w:p w:rsidR="008A5E5B" w:rsidRPr="008A5E5B" w:rsidRDefault="008A5E5B" w:rsidP="00E960F1">
            <w:pPr>
              <w:pStyle w:val="Tabletext"/>
              <w:jc w:val="right"/>
              <w:rPr>
                <w:b/>
              </w:rPr>
            </w:pPr>
            <w:r w:rsidRPr="008A5E5B">
              <w:rPr>
                <w:b/>
              </w:rPr>
              <w:t>100%</w:t>
            </w:r>
          </w:p>
        </w:tc>
        <w:tc>
          <w:tcPr>
            <w:tcW w:w="1526" w:type="dxa"/>
            <w:vAlign w:val="center"/>
          </w:tcPr>
          <w:p w:rsidR="008A5E5B" w:rsidRPr="008A5E5B" w:rsidRDefault="008A5E5B" w:rsidP="00E960F1">
            <w:pPr>
              <w:pStyle w:val="Tabletext"/>
              <w:jc w:val="right"/>
              <w:rPr>
                <w:b/>
              </w:rPr>
            </w:pPr>
            <w:r w:rsidRPr="008A5E5B">
              <w:rPr>
                <w:b/>
              </w:rPr>
              <w:t>100%</w:t>
            </w:r>
          </w:p>
        </w:tc>
        <w:tc>
          <w:tcPr>
            <w:tcW w:w="1526" w:type="dxa"/>
            <w:vAlign w:val="center"/>
          </w:tcPr>
          <w:p w:rsidR="008A5E5B" w:rsidRPr="008A5E5B" w:rsidRDefault="008A5E5B" w:rsidP="00E960F1">
            <w:pPr>
              <w:pStyle w:val="Tabletext"/>
              <w:jc w:val="right"/>
              <w:rPr>
                <w:b/>
              </w:rPr>
            </w:pPr>
            <w:r w:rsidRPr="008A5E5B">
              <w:rPr>
                <w:b/>
              </w:rPr>
              <w:t>4.20</w:t>
            </w:r>
          </w:p>
        </w:tc>
        <w:tc>
          <w:tcPr>
            <w:tcW w:w="1526" w:type="dxa"/>
            <w:vAlign w:val="center"/>
          </w:tcPr>
          <w:p w:rsidR="008A5E5B" w:rsidRPr="008A5E5B" w:rsidRDefault="008A5E5B" w:rsidP="00E960F1">
            <w:pPr>
              <w:pStyle w:val="Tabletext"/>
              <w:jc w:val="right"/>
              <w:rPr>
                <w:b/>
              </w:rPr>
            </w:pPr>
            <w:r w:rsidRPr="008A5E5B">
              <w:rPr>
                <w:b/>
              </w:rPr>
              <w:t>3.05</w:t>
            </w:r>
          </w:p>
        </w:tc>
      </w:tr>
    </w:tbl>
    <w:p w:rsidR="00B3226A" w:rsidRDefault="00982F9F" w:rsidP="00257F90">
      <w:pPr>
        <w:pStyle w:val="Heading2"/>
      </w:pPr>
      <w:bookmarkStart w:id="16" w:name="_Toc427590847"/>
      <w:r>
        <w:t>Fatalities by state/territory of death</w:t>
      </w:r>
      <w:bookmarkEnd w:id="16"/>
    </w:p>
    <w:p w:rsidR="00B3226A" w:rsidRPr="00B3226A" w:rsidRDefault="00B3226A" w:rsidP="00513A50">
      <w:pPr>
        <w:pStyle w:val="BodyText1"/>
      </w:pPr>
      <w:r w:rsidRPr="00B3226A">
        <w:t>Table 11 shows all states and territories recorded falls in the fatality rate between the 2003–07 and 2009–13 period except for South Australia and Tasmania. Due to the different number of workers in each state or territory, fatality rates are a better means of comparison.</w:t>
      </w:r>
    </w:p>
    <w:p w:rsidR="008D2828" w:rsidRDefault="008D2828" w:rsidP="00982F9F">
      <w:pPr>
        <w:pStyle w:val="Tableheading"/>
      </w:pPr>
      <w:r>
        <w:t>Table 11: Worker fatalities in the construction industry: number and fatality rate by state or territory of death, 2003–07 and 2009–13 (sorted by fatality rate in 2009–13)</w:t>
      </w:r>
    </w:p>
    <w:tbl>
      <w:tblPr>
        <w:tblStyle w:val="TableGrid"/>
        <w:tblW w:w="0" w:type="auto"/>
        <w:tblLook w:val="04A0" w:firstRow="1" w:lastRow="0" w:firstColumn="1" w:lastColumn="0" w:noHBand="0" w:noVBand="1"/>
        <w:tblCaption w:val="Table 11: Worker fatalities in the construction industry: number and fatality rate by state or territory of death, 2003–07 and 2009–13 (sorted by fatality rate in 2009–13)"/>
        <w:tblDescription w:val="Table 11 shows all states and territories recorded falls in the fatality rate between the 2003–07 and 2009–13 period except for South Australia and Tasmania. "/>
      </w:tblPr>
      <w:tblGrid>
        <w:gridCol w:w="4479"/>
        <w:gridCol w:w="1134"/>
        <w:gridCol w:w="1134"/>
        <w:gridCol w:w="1134"/>
        <w:gridCol w:w="1134"/>
        <w:gridCol w:w="1134"/>
      </w:tblGrid>
      <w:tr w:rsidR="008B0918" w:rsidTr="00715413">
        <w:trPr>
          <w:tblHeader/>
        </w:trPr>
        <w:tc>
          <w:tcPr>
            <w:tcW w:w="4479" w:type="dxa"/>
            <w:shd w:val="clear" w:color="auto" w:fill="D9D9D9" w:themeFill="background1" w:themeFillShade="D9"/>
          </w:tcPr>
          <w:p w:rsidR="008B0918" w:rsidRDefault="008B0918" w:rsidP="008B0918">
            <w:pPr>
              <w:pStyle w:val="Tableheaderrow"/>
            </w:pPr>
          </w:p>
        </w:tc>
        <w:tc>
          <w:tcPr>
            <w:tcW w:w="2268" w:type="dxa"/>
            <w:gridSpan w:val="2"/>
            <w:shd w:val="clear" w:color="auto" w:fill="D9D9D9" w:themeFill="background1" w:themeFillShade="D9"/>
            <w:vAlign w:val="bottom"/>
          </w:tcPr>
          <w:p w:rsidR="008B0918" w:rsidRDefault="008B0918" w:rsidP="008B0918">
            <w:pPr>
              <w:pStyle w:val="Tableheaderrow"/>
            </w:pPr>
            <w:r>
              <w:t>No.  of fatalities</w:t>
            </w:r>
          </w:p>
        </w:tc>
        <w:tc>
          <w:tcPr>
            <w:tcW w:w="3402" w:type="dxa"/>
            <w:gridSpan w:val="3"/>
            <w:shd w:val="clear" w:color="auto" w:fill="D9D9D9" w:themeFill="background1" w:themeFillShade="D9"/>
            <w:vAlign w:val="bottom"/>
          </w:tcPr>
          <w:p w:rsidR="008B0918" w:rsidRDefault="008B0918" w:rsidP="008B0918">
            <w:pPr>
              <w:pStyle w:val="Tableheaderrow"/>
            </w:pPr>
            <w:r>
              <w:t>Fatality rate</w:t>
            </w:r>
          </w:p>
        </w:tc>
      </w:tr>
      <w:tr w:rsidR="008B0918" w:rsidTr="00715413">
        <w:trPr>
          <w:tblHeader/>
        </w:trPr>
        <w:tc>
          <w:tcPr>
            <w:tcW w:w="4479" w:type="dxa"/>
            <w:shd w:val="clear" w:color="auto" w:fill="D9D9D9" w:themeFill="background1" w:themeFillShade="D9"/>
            <w:vAlign w:val="bottom"/>
          </w:tcPr>
          <w:p w:rsidR="008B0918" w:rsidRDefault="008B0918" w:rsidP="008B0918">
            <w:pPr>
              <w:pStyle w:val="Tableheaderrow"/>
              <w:jc w:val="left"/>
            </w:pPr>
            <w:r>
              <w:t>State or territory</w:t>
            </w:r>
          </w:p>
        </w:tc>
        <w:tc>
          <w:tcPr>
            <w:tcW w:w="1134" w:type="dxa"/>
            <w:shd w:val="clear" w:color="auto" w:fill="D9D9D9" w:themeFill="background1" w:themeFillShade="D9"/>
            <w:vAlign w:val="center"/>
          </w:tcPr>
          <w:p w:rsidR="008B0918" w:rsidRDefault="008B0918" w:rsidP="00E960F1">
            <w:pPr>
              <w:pStyle w:val="Tableheaderrow"/>
              <w:jc w:val="right"/>
            </w:pPr>
            <w:r>
              <w:t>2003-07</w:t>
            </w:r>
          </w:p>
        </w:tc>
        <w:tc>
          <w:tcPr>
            <w:tcW w:w="1134" w:type="dxa"/>
            <w:shd w:val="clear" w:color="auto" w:fill="D9D9D9" w:themeFill="background1" w:themeFillShade="D9"/>
            <w:vAlign w:val="center"/>
          </w:tcPr>
          <w:p w:rsidR="008B0918" w:rsidRDefault="008B0918" w:rsidP="00E960F1">
            <w:pPr>
              <w:pStyle w:val="Tableheaderrow"/>
              <w:jc w:val="right"/>
            </w:pPr>
            <w:r>
              <w:t>2009-13</w:t>
            </w:r>
          </w:p>
        </w:tc>
        <w:tc>
          <w:tcPr>
            <w:tcW w:w="1134" w:type="dxa"/>
            <w:shd w:val="clear" w:color="auto" w:fill="D9D9D9" w:themeFill="background1" w:themeFillShade="D9"/>
            <w:vAlign w:val="center"/>
          </w:tcPr>
          <w:p w:rsidR="008B0918" w:rsidRDefault="008B0918" w:rsidP="00E960F1">
            <w:pPr>
              <w:pStyle w:val="Tableheaderrow"/>
              <w:jc w:val="right"/>
            </w:pPr>
            <w:r>
              <w:t>2003-07</w:t>
            </w:r>
          </w:p>
        </w:tc>
        <w:tc>
          <w:tcPr>
            <w:tcW w:w="1134" w:type="dxa"/>
            <w:shd w:val="clear" w:color="auto" w:fill="D9D9D9" w:themeFill="background1" w:themeFillShade="D9"/>
            <w:vAlign w:val="center"/>
          </w:tcPr>
          <w:p w:rsidR="008B0918" w:rsidRDefault="008B0918" w:rsidP="00E960F1">
            <w:pPr>
              <w:pStyle w:val="Tableheaderrow"/>
              <w:jc w:val="right"/>
            </w:pPr>
            <w:r>
              <w:t>2009-13</w:t>
            </w:r>
          </w:p>
        </w:tc>
        <w:tc>
          <w:tcPr>
            <w:tcW w:w="1134" w:type="dxa"/>
            <w:shd w:val="clear" w:color="auto" w:fill="D9D9D9" w:themeFill="background1" w:themeFillShade="D9"/>
            <w:vAlign w:val="center"/>
          </w:tcPr>
          <w:p w:rsidR="008B0918" w:rsidRDefault="008B0918" w:rsidP="00E960F1">
            <w:pPr>
              <w:pStyle w:val="Tableheaderrow"/>
              <w:jc w:val="right"/>
            </w:pPr>
            <w:r>
              <w:t xml:space="preserve">% </w:t>
            </w:r>
            <w:r w:rsidRPr="008C4D45">
              <w:rPr>
                <w:b w:val="0"/>
              </w:rPr>
              <w:t>change</w:t>
            </w:r>
          </w:p>
        </w:tc>
      </w:tr>
      <w:tr w:rsidR="008B0918" w:rsidTr="00E960F1">
        <w:tc>
          <w:tcPr>
            <w:tcW w:w="4479" w:type="dxa"/>
          </w:tcPr>
          <w:p w:rsidR="008F5732" w:rsidRDefault="008B0918" w:rsidP="008B0918">
            <w:pPr>
              <w:pStyle w:val="Tabletext"/>
            </w:pPr>
            <w:r>
              <w:t>Northern Territory</w:t>
            </w:r>
          </w:p>
        </w:tc>
        <w:tc>
          <w:tcPr>
            <w:tcW w:w="1134" w:type="dxa"/>
            <w:vAlign w:val="center"/>
          </w:tcPr>
          <w:p w:rsidR="008F5732" w:rsidRDefault="008B0918" w:rsidP="00E960F1">
            <w:pPr>
              <w:pStyle w:val="Tabletext"/>
              <w:jc w:val="right"/>
            </w:pPr>
            <w:r>
              <w:t>5</w:t>
            </w:r>
          </w:p>
        </w:tc>
        <w:tc>
          <w:tcPr>
            <w:tcW w:w="1134" w:type="dxa"/>
            <w:vAlign w:val="center"/>
          </w:tcPr>
          <w:p w:rsidR="008F5732" w:rsidRDefault="008B0918" w:rsidP="00E960F1">
            <w:pPr>
              <w:pStyle w:val="Tabletext"/>
              <w:jc w:val="right"/>
            </w:pPr>
            <w:r>
              <w:t>4</w:t>
            </w:r>
          </w:p>
        </w:tc>
        <w:tc>
          <w:tcPr>
            <w:tcW w:w="1134" w:type="dxa"/>
            <w:vAlign w:val="center"/>
          </w:tcPr>
          <w:p w:rsidR="008F5732" w:rsidRDefault="008B0918" w:rsidP="00E960F1">
            <w:pPr>
              <w:pStyle w:val="Tabletext"/>
              <w:jc w:val="right"/>
            </w:pPr>
            <w:r>
              <w:t>12.47</w:t>
            </w:r>
          </w:p>
        </w:tc>
        <w:tc>
          <w:tcPr>
            <w:tcW w:w="1134" w:type="dxa"/>
            <w:vAlign w:val="center"/>
          </w:tcPr>
          <w:p w:rsidR="008F5732" w:rsidRDefault="008B0918" w:rsidP="00E960F1">
            <w:pPr>
              <w:pStyle w:val="Tabletext"/>
              <w:jc w:val="right"/>
            </w:pPr>
            <w:r>
              <w:t>6.30</w:t>
            </w:r>
          </w:p>
        </w:tc>
        <w:tc>
          <w:tcPr>
            <w:tcW w:w="1134" w:type="dxa"/>
            <w:vAlign w:val="center"/>
          </w:tcPr>
          <w:p w:rsidR="008F5732" w:rsidRDefault="008B0918" w:rsidP="00E960F1">
            <w:pPr>
              <w:pStyle w:val="Tabletext"/>
              <w:jc w:val="right"/>
            </w:pPr>
            <w:r>
              <w:t>-49%</w:t>
            </w:r>
          </w:p>
        </w:tc>
      </w:tr>
      <w:tr w:rsidR="008B0918" w:rsidTr="00E960F1">
        <w:tc>
          <w:tcPr>
            <w:tcW w:w="4479" w:type="dxa"/>
          </w:tcPr>
          <w:p w:rsidR="008F5732" w:rsidRDefault="008B0918" w:rsidP="008B0918">
            <w:pPr>
              <w:pStyle w:val="Tabletext"/>
            </w:pPr>
            <w:r>
              <w:t>South Australia</w:t>
            </w:r>
          </w:p>
        </w:tc>
        <w:tc>
          <w:tcPr>
            <w:tcW w:w="1134" w:type="dxa"/>
            <w:vAlign w:val="center"/>
          </w:tcPr>
          <w:p w:rsidR="008F5732" w:rsidRDefault="008B0918" w:rsidP="00E960F1">
            <w:pPr>
              <w:pStyle w:val="Tabletext"/>
              <w:jc w:val="right"/>
            </w:pPr>
            <w:r>
              <w:t>10</w:t>
            </w:r>
          </w:p>
        </w:tc>
        <w:tc>
          <w:tcPr>
            <w:tcW w:w="1134" w:type="dxa"/>
            <w:vAlign w:val="center"/>
          </w:tcPr>
          <w:p w:rsidR="008F5732" w:rsidRDefault="008B0918" w:rsidP="00E960F1">
            <w:pPr>
              <w:pStyle w:val="Tabletext"/>
              <w:jc w:val="right"/>
            </w:pPr>
            <w:r>
              <w:t>14</w:t>
            </w:r>
          </w:p>
        </w:tc>
        <w:tc>
          <w:tcPr>
            <w:tcW w:w="1134" w:type="dxa"/>
            <w:vAlign w:val="center"/>
          </w:tcPr>
          <w:p w:rsidR="008F5732" w:rsidRDefault="008B0918" w:rsidP="00E960F1">
            <w:pPr>
              <w:pStyle w:val="Tabletext"/>
              <w:jc w:val="right"/>
            </w:pPr>
            <w:r>
              <w:t>3.83</w:t>
            </w:r>
          </w:p>
        </w:tc>
        <w:tc>
          <w:tcPr>
            <w:tcW w:w="1134" w:type="dxa"/>
            <w:vAlign w:val="center"/>
          </w:tcPr>
          <w:p w:rsidR="008F5732" w:rsidRDefault="008B0918" w:rsidP="00E960F1">
            <w:pPr>
              <w:pStyle w:val="Tabletext"/>
              <w:jc w:val="right"/>
            </w:pPr>
            <w:r>
              <w:t>4.11</w:t>
            </w:r>
          </w:p>
        </w:tc>
        <w:tc>
          <w:tcPr>
            <w:tcW w:w="1134" w:type="dxa"/>
            <w:vAlign w:val="center"/>
          </w:tcPr>
          <w:p w:rsidR="008F5732" w:rsidRDefault="008B0918" w:rsidP="00E960F1">
            <w:pPr>
              <w:pStyle w:val="Tabletext"/>
              <w:jc w:val="right"/>
            </w:pPr>
            <w:r>
              <w:t>7%</w:t>
            </w:r>
          </w:p>
        </w:tc>
      </w:tr>
      <w:tr w:rsidR="008B0918" w:rsidTr="00E960F1">
        <w:tc>
          <w:tcPr>
            <w:tcW w:w="4479" w:type="dxa"/>
          </w:tcPr>
          <w:p w:rsidR="008F5732" w:rsidRDefault="008B0918" w:rsidP="008B0918">
            <w:pPr>
              <w:pStyle w:val="Tabletext"/>
            </w:pPr>
            <w:r>
              <w:t>Tasmania</w:t>
            </w:r>
          </w:p>
        </w:tc>
        <w:tc>
          <w:tcPr>
            <w:tcW w:w="1134" w:type="dxa"/>
            <w:vAlign w:val="center"/>
          </w:tcPr>
          <w:p w:rsidR="008F5732" w:rsidRDefault="008B0918" w:rsidP="00E960F1">
            <w:pPr>
              <w:pStyle w:val="Tabletext"/>
              <w:jc w:val="right"/>
            </w:pPr>
            <w:r>
              <w:t>6</w:t>
            </w:r>
          </w:p>
        </w:tc>
        <w:tc>
          <w:tcPr>
            <w:tcW w:w="1134" w:type="dxa"/>
            <w:vAlign w:val="center"/>
          </w:tcPr>
          <w:p w:rsidR="008F5732" w:rsidRDefault="008B0918" w:rsidP="00E960F1">
            <w:pPr>
              <w:pStyle w:val="Tabletext"/>
              <w:jc w:val="right"/>
            </w:pPr>
            <w:r>
              <w:t>8</w:t>
            </w:r>
          </w:p>
        </w:tc>
        <w:tc>
          <w:tcPr>
            <w:tcW w:w="1134" w:type="dxa"/>
            <w:vAlign w:val="center"/>
          </w:tcPr>
          <w:p w:rsidR="008F5732" w:rsidRDefault="008B0918" w:rsidP="00E960F1">
            <w:pPr>
              <w:pStyle w:val="Tabletext"/>
              <w:jc w:val="right"/>
            </w:pPr>
            <w:r>
              <w:t>7.86</w:t>
            </w:r>
          </w:p>
        </w:tc>
        <w:tc>
          <w:tcPr>
            <w:tcW w:w="1134" w:type="dxa"/>
            <w:vAlign w:val="center"/>
          </w:tcPr>
          <w:p w:rsidR="008F5732" w:rsidRDefault="008B0918" w:rsidP="00E960F1">
            <w:pPr>
              <w:pStyle w:val="Tabletext"/>
              <w:jc w:val="right"/>
            </w:pPr>
            <w:r>
              <w:t>8.31</w:t>
            </w:r>
          </w:p>
        </w:tc>
        <w:tc>
          <w:tcPr>
            <w:tcW w:w="1134" w:type="dxa"/>
            <w:vAlign w:val="center"/>
          </w:tcPr>
          <w:p w:rsidR="008F5732" w:rsidRDefault="008B0918" w:rsidP="00E960F1">
            <w:pPr>
              <w:pStyle w:val="Tabletext"/>
              <w:jc w:val="right"/>
            </w:pPr>
            <w:r>
              <w:t>6%</w:t>
            </w:r>
          </w:p>
        </w:tc>
      </w:tr>
      <w:tr w:rsidR="008B0918" w:rsidTr="00E960F1">
        <w:tc>
          <w:tcPr>
            <w:tcW w:w="4479" w:type="dxa"/>
          </w:tcPr>
          <w:p w:rsidR="008F5732" w:rsidRDefault="008B0918" w:rsidP="008B0918">
            <w:pPr>
              <w:pStyle w:val="Tabletext"/>
            </w:pPr>
            <w:r>
              <w:t>Queensland</w:t>
            </w:r>
          </w:p>
        </w:tc>
        <w:tc>
          <w:tcPr>
            <w:tcW w:w="1134" w:type="dxa"/>
            <w:vAlign w:val="center"/>
          </w:tcPr>
          <w:p w:rsidR="008F5732" w:rsidRDefault="008B0918" w:rsidP="00E960F1">
            <w:pPr>
              <w:pStyle w:val="Tabletext"/>
              <w:jc w:val="right"/>
            </w:pPr>
            <w:r>
              <w:t>49</w:t>
            </w:r>
          </w:p>
        </w:tc>
        <w:tc>
          <w:tcPr>
            <w:tcW w:w="1134" w:type="dxa"/>
            <w:vAlign w:val="center"/>
          </w:tcPr>
          <w:p w:rsidR="008F5732" w:rsidRDefault="008B0918" w:rsidP="00E960F1">
            <w:pPr>
              <w:pStyle w:val="Tabletext"/>
              <w:jc w:val="right"/>
            </w:pPr>
            <w:r>
              <w:t>45</w:t>
            </w:r>
          </w:p>
        </w:tc>
        <w:tc>
          <w:tcPr>
            <w:tcW w:w="1134" w:type="dxa"/>
            <w:vAlign w:val="center"/>
          </w:tcPr>
          <w:p w:rsidR="008F5732" w:rsidRDefault="008B0918" w:rsidP="00E960F1">
            <w:pPr>
              <w:pStyle w:val="Tabletext"/>
              <w:jc w:val="right"/>
            </w:pPr>
            <w:r>
              <w:t>5.02</w:t>
            </w:r>
          </w:p>
        </w:tc>
        <w:tc>
          <w:tcPr>
            <w:tcW w:w="1134" w:type="dxa"/>
            <w:vAlign w:val="center"/>
          </w:tcPr>
          <w:p w:rsidR="008F5732" w:rsidRDefault="008B0918" w:rsidP="00E960F1">
            <w:pPr>
              <w:pStyle w:val="Tabletext"/>
              <w:jc w:val="right"/>
            </w:pPr>
            <w:r>
              <w:t>2.82</w:t>
            </w:r>
          </w:p>
        </w:tc>
        <w:tc>
          <w:tcPr>
            <w:tcW w:w="1134" w:type="dxa"/>
            <w:vAlign w:val="center"/>
          </w:tcPr>
          <w:p w:rsidR="008F5732" w:rsidRDefault="008B0918" w:rsidP="00E960F1">
            <w:pPr>
              <w:pStyle w:val="Tabletext"/>
              <w:jc w:val="right"/>
            </w:pPr>
            <w:r>
              <w:t>-24%</w:t>
            </w:r>
          </w:p>
        </w:tc>
      </w:tr>
      <w:tr w:rsidR="008B0918" w:rsidTr="00E960F1">
        <w:tc>
          <w:tcPr>
            <w:tcW w:w="4479" w:type="dxa"/>
          </w:tcPr>
          <w:p w:rsidR="008F5732" w:rsidRDefault="008B0918" w:rsidP="008B0918">
            <w:pPr>
              <w:pStyle w:val="Tabletext"/>
            </w:pPr>
            <w:r>
              <w:t>New South Wales</w:t>
            </w:r>
          </w:p>
        </w:tc>
        <w:tc>
          <w:tcPr>
            <w:tcW w:w="1134" w:type="dxa"/>
            <w:vAlign w:val="center"/>
          </w:tcPr>
          <w:p w:rsidR="008F5732" w:rsidRDefault="008B0918" w:rsidP="00E960F1">
            <w:pPr>
              <w:pStyle w:val="Tabletext"/>
              <w:jc w:val="right"/>
            </w:pPr>
            <w:r>
              <w:t>64</w:t>
            </w:r>
          </w:p>
        </w:tc>
        <w:tc>
          <w:tcPr>
            <w:tcW w:w="1134" w:type="dxa"/>
            <w:vAlign w:val="center"/>
          </w:tcPr>
          <w:p w:rsidR="008F5732" w:rsidRDefault="008B0918" w:rsidP="00E960F1">
            <w:pPr>
              <w:pStyle w:val="Tabletext"/>
              <w:jc w:val="right"/>
            </w:pPr>
            <w:r>
              <w:t>47</w:t>
            </w:r>
          </w:p>
        </w:tc>
        <w:tc>
          <w:tcPr>
            <w:tcW w:w="1134" w:type="dxa"/>
            <w:vAlign w:val="center"/>
          </w:tcPr>
          <w:p w:rsidR="008F5732" w:rsidRDefault="008B0918" w:rsidP="00E960F1">
            <w:pPr>
              <w:pStyle w:val="Tabletext"/>
              <w:jc w:val="right"/>
            </w:pPr>
            <w:r>
              <w:t>4.70</w:t>
            </w:r>
          </w:p>
        </w:tc>
        <w:tc>
          <w:tcPr>
            <w:tcW w:w="1134" w:type="dxa"/>
            <w:vAlign w:val="center"/>
          </w:tcPr>
          <w:p w:rsidR="008F5732" w:rsidRDefault="008B0918" w:rsidP="00E960F1">
            <w:pPr>
              <w:pStyle w:val="Tabletext"/>
              <w:jc w:val="right"/>
            </w:pPr>
            <w:r>
              <w:t>3.24</w:t>
            </w:r>
          </w:p>
        </w:tc>
        <w:tc>
          <w:tcPr>
            <w:tcW w:w="1134" w:type="dxa"/>
            <w:vAlign w:val="center"/>
          </w:tcPr>
          <w:p w:rsidR="008F5732" w:rsidRDefault="008B0918" w:rsidP="00E960F1">
            <w:pPr>
              <w:pStyle w:val="Tabletext"/>
              <w:jc w:val="right"/>
            </w:pPr>
            <w:r>
              <w:t>-31%</w:t>
            </w:r>
          </w:p>
        </w:tc>
      </w:tr>
      <w:tr w:rsidR="008B0918" w:rsidTr="00E960F1">
        <w:tc>
          <w:tcPr>
            <w:tcW w:w="4479" w:type="dxa"/>
          </w:tcPr>
          <w:p w:rsidR="008F5732" w:rsidRDefault="008B0918" w:rsidP="008B0918">
            <w:pPr>
              <w:pStyle w:val="Tabletext"/>
            </w:pPr>
            <w:r>
              <w:t>Australian Capital Territory</w:t>
            </w:r>
          </w:p>
        </w:tc>
        <w:tc>
          <w:tcPr>
            <w:tcW w:w="1134" w:type="dxa"/>
            <w:vAlign w:val="center"/>
          </w:tcPr>
          <w:p w:rsidR="008F5732" w:rsidRDefault="008B0918" w:rsidP="00E960F1">
            <w:pPr>
              <w:pStyle w:val="Tabletext"/>
              <w:jc w:val="right"/>
            </w:pPr>
            <w:r>
              <w:t>3</w:t>
            </w:r>
          </w:p>
        </w:tc>
        <w:tc>
          <w:tcPr>
            <w:tcW w:w="1134" w:type="dxa"/>
            <w:vAlign w:val="center"/>
          </w:tcPr>
          <w:p w:rsidR="008F5732" w:rsidRDefault="008B0918" w:rsidP="00E960F1">
            <w:pPr>
              <w:pStyle w:val="Tabletext"/>
              <w:jc w:val="right"/>
            </w:pPr>
            <w:r>
              <w:t>2</w:t>
            </w:r>
          </w:p>
        </w:tc>
        <w:tc>
          <w:tcPr>
            <w:tcW w:w="1134" w:type="dxa"/>
            <w:vAlign w:val="center"/>
          </w:tcPr>
          <w:p w:rsidR="008F5732" w:rsidRDefault="008B0918" w:rsidP="00E960F1">
            <w:pPr>
              <w:pStyle w:val="Tabletext"/>
              <w:jc w:val="right"/>
            </w:pPr>
            <w:r>
              <w:t>5.15</w:t>
            </w:r>
          </w:p>
        </w:tc>
        <w:tc>
          <w:tcPr>
            <w:tcW w:w="1134" w:type="dxa"/>
            <w:vAlign w:val="center"/>
          </w:tcPr>
          <w:p w:rsidR="008F5732" w:rsidRDefault="008B0918" w:rsidP="00E960F1">
            <w:pPr>
              <w:pStyle w:val="Tabletext"/>
              <w:jc w:val="right"/>
            </w:pPr>
            <w:r>
              <w:t>2.94</w:t>
            </w:r>
          </w:p>
        </w:tc>
        <w:tc>
          <w:tcPr>
            <w:tcW w:w="1134" w:type="dxa"/>
            <w:vAlign w:val="center"/>
          </w:tcPr>
          <w:p w:rsidR="008F5732" w:rsidRDefault="008B0918" w:rsidP="00E960F1">
            <w:pPr>
              <w:pStyle w:val="Tabletext"/>
              <w:jc w:val="right"/>
            </w:pPr>
            <w:r>
              <w:t>-43%</w:t>
            </w:r>
          </w:p>
        </w:tc>
      </w:tr>
      <w:tr w:rsidR="008B0918" w:rsidTr="00E960F1">
        <w:tc>
          <w:tcPr>
            <w:tcW w:w="4479" w:type="dxa"/>
          </w:tcPr>
          <w:p w:rsidR="008B0918" w:rsidRDefault="008B0918" w:rsidP="008B0918">
            <w:pPr>
              <w:pStyle w:val="Tabletext"/>
            </w:pPr>
            <w:r>
              <w:t>Victoria</w:t>
            </w:r>
          </w:p>
        </w:tc>
        <w:tc>
          <w:tcPr>
            <w:tcW w:w="1134" w:type="dxa"/>
            <w:vAlign w:val="center"/>
          </w:tcPr>
          <w:p w:rsidR="008B0918" w:rsidRDefault="008B0918" w:rsidP="00E960F1">
            <w:pPr>
              <w:pStyle w:val="Tabletext"/>
              <w:jc w:val="right"/>
            </w:pPr>
            <w:r>
              <w:t>40</w:t>
            </w:r>
          </w:p>
        </w:tc>
        <w:tc>
          <w:tcPr>
            <w:tcW w:w="1134" w:type="dxa"/>
            <w:vAlign w:val="center"/>
          </w:tcPr>
          <w:p w:rsidR="008B0918" w:rsidRDefault="008B0918" w:rsidP="00E960F1">
            <w:pPr>
              <w:pStyle w:val="Tabletext"/>
              <w:jc w:val="right"/>
            </w:pPr>
            <w:r>
              <w:t>32</w:t>
            </w:r>
          </w:p>
        </w:tc>
        <w:tc>
          <w:tcPr>
            <w:tcW w:w="1134" w:type="dxa"/>
            <w:vAlign w:val="center"/>
          </w:tcPr>
          <w:p w:rsidR="008B0918" w:rsidRDefault="008B0918" w:rsidP="00E960F1">
            <w:pPr>
              <w:pStyle w:val="Tabletext"/>
              <w:jc w:val="right"/>
            </w:pPr>
            <w:r>
              <w:t>3.96</w:t>
            </w:r>
          </w:p>
        </w:tc>
        <w:tc>
          <w:tcPr>
            <w:tcW w:w="1134" w:type="dxa"/>
            <w:vAlign w:val="center"/>
          </w:tcPr>
          <w:p w:rsidR="008B0918" w:rsidRDefault="008B0918" w:rsidP="00E960F1">
            <w:pPr>
              <w:pStyle w:val="Tabletext"/>
              <w:jc w:val="right"/>
            </w:pPr>
            <w:r>
              <w:t>2.61</w:t>
            </w:r>
          </w:p>
        </w:tc>
        <w:tc>
          <w:tcPr>
            <w:tcW w:w="1134" w:type="dxa"/>
            <w:vAlign w:val="center"/>
          </w:tcPr>
          <w:p w:rsidR="008B0918" w:rsidRDefault="008B0918" w:rsidP="00E960F1">
            <w:pPr>
              <w:pStyle w:val="Tabletext"/>
              <w:jc w:val="right"/>
            </w:pPr>
            <w:r>
              <w:t>-34%</w:t>
            </w:r>
          </w:p>
        </w:tc>
      </w:tr>
      <w:tr w:rsidR="008B0918" w:rsidTr="00E960F1">
        <w:tc>
          <w:tcPr>
            <w:tcW w:w="4479" w:type="dxa"/>
          </w:tcPr>
          <w:p w:rsidR="008B0918" w:rsidRDefault="008B0918" w:rsidP="008B0918">
            <w:pPr>
              <w:pStyle w:val="Tabletext"/>
            </w:pPr>
            <w:r>
              <w:t>Western Australia</w:t>
            </w:r>
          </w:p>
        </w:tc>
        <w:tc>
          <w:tcPr>
            <w:tcW w:w="1134" w:type="dxa"/>
            <w:vAlign w:val="center"/>
          </w:tcPr>
          <w:p w:rsidR="008B0918" w:rsidRDefault="008B0918" w:rsidP="00E960F1">
            <w:pPr>
              <w:pStyle w:val="Tabletext"/>
              <w:jc w:val="right"/>
            </w:pPr>
            <w:r>
              <w:t>19</w:t>
            </w:r>
          </w:p>
        </w:tc>
        <w:tc>
          <w:tcPr>
            <w:tcW w:w="1134" w:type="dxa"/>
            <w:vAlign w:val="center"/>
          </w:tcPr>
          <w:p w:rsidR="008B0918" w:rsidRDefault="008B0918" w:rsidP="00E960F1">
            <w:pPr>
              <w:pStyle w:val="Tabletext"/>
              <w:jc w:val="right"/>
            </w:pPr>
            <w:r>
              <w:t>15</w:t>
            </w:r>
          </w:p>
        </w:tc>
        <w:tc>
          <w:tcPr>
            <w:tcW w:w="1134" w:type="dxa"/>
            <w:vAlign w:val="center"/>
          </w:tcPr>
          <w:p w:rsidR="008B0918" w:rsidRDefault="008B0918" w:rsidP="00E960F1">
            <w:pPr>
              <w:pStyle w:val="Tabletext"/>
              <w:jc w:val="right"/>
            </w:pPr>
            <w:r>
              <w:t>3.89</w:t>
            </w:r>
          </w:p>
        </w:tc>
        <w:tc>
          <w:tcPr>
            <w:tcW w:w="1134" w:type="dxa"/>
            <w:vAlign w:val="center"/>
          </w:tcPr>
          <w:p w:rsidR="008B0918" w:rsidRDefault="008B0918" w:rsidP="00E960F1">
            <w:pPr>
              <w:pStyle w:val="Tabletext"/>
              <w:jc w:val="right"/>
            </w:pPr>
            <w:r>
              <w:t>2.30</w:t>
            </w:r>
          </w:p>
        </w:tc>
        <w:tc>
          <w:tcPr>
            <w:tcW w:w="1134" w:type="dxa"/>
            <w:vAlign w:val="center"/>
          </w:tcPr>
          <w:p w:rsidR="008B0918" w:rsidRDefault="008B0918" w:rsidP="00E960F1">
            <w:pPr>
              <w:pStyle w:val="Tabletext"/>
              <w:jc w:val="right"/>
            </w:pPr>
            <w:r>
              <w:t>41%</w:t>
            </w:r>
          </w:p>
        </w:tc>
      </w:tr>
      <w:tr w:rsidR="008B0918" w:rsidRPr="008C4D45" w:rsidTr="00E960F1">
        <w:tc>
          <w:tcPr>
            <w:tcW w:w="4479" w:type="dxa"/>
          </w:tcPr>
          <w:p w:rsidR="008B0918" w:rsidRPr="008C4D45" w:rsidRDefault="008B0918" w:rsidP="008B0918">
            <w:pPr>
              <w:pStyle w:val="Tabletext"/>
              <w:rPr>
                <w:b/>
              </w:rPr>
            </w:pPr>
            <w:r w:rsidRPr="008C4D45">
              <w:rPr>
                <w:b/>
              </w:rPr>
              <w:t>Total</w:t>
            </w:r>
          </w:p>
        </w:tc>
        <w:tc>
          <w:tcPr>
            <w:tcW w:w="1134" w:type="dxa"/>
            <w:vAlign w:val="center"/>
          </w:tcPr>
          <w:p w:rsidR="008B0918" w:rsidRPr="008C4D45" w:rsidRDefault="008B0918" w:rsidP="00E960F1">
            <w:pPr>
              <w:pStyle w:val="Tabletext"/>
              <w:jc w:val="right"/>
              <w:rPr>
                <w:b/>
              </w:rPr>
            </w:pPr>
            <w:r w:rsidRPr="008C4D45">
              <w:rPr>
                <w:b/>
              </w:rPr>
              <w:t>196</w:t>
            </w:r>
          </w:p>
        </w:tc>
        <w:tc>
          <w:tcPr>
            <w:tcW w:w="1134" w:type="dxa"/>
            <w:vAlign w:val="center"/>
          </w:tcPr>
          <w:p w:rsidR="008B0918" w:rsidRPr="008C4D45" w:rsidRDefault="008B0918" w:rsidP="00E960F1">
            <w:pPr>
              <w:pStyle w:val="Tabletext"/>
              <w:jc w:val="right"/>
              <w:rPr>
                <w:b/>
              </w:rPr>
            </w:pPr>
            <w:r w:rsidRPr="008C4D45">
              <w:rPr>
                <w:b/>
              </w:rPr>
              <w:t>167</w:t>
            </w:r>
          </w:p>
        </w:tc>
        <w:tc>
          <w:tcPr>
            <w:tcW w:w="1134" w:type="dxa"/>
            <w:vAlign w:val="center"/>
          </w:tcPr>
          <w:p w:rsidR="008B0918" w:rsidRPr="008C4D45" w:rsidRDefault="008B0918" w:rsidP="00E960F1">
            <w:pPr>
              <w:pStyle w:val="Tabletext"/>
              <w:jc w:val="right"/>
              <w:rPr>
                <w:b/>
              </w:rPr>
            </w:pPr>
            <w:r w:rsidRPr="008C4D45">
              <w:rPr>
                <w:b/>
              </w:rPr>
              <w:t>4.59</w:t>
            </w:r>
          </w:p>
        </w:tc>
        <w:tc>
          <w:tcPr>
            <w:tcW w:w="1134" w:type="dxa"/>
            <w:vAlign w:val="center"/>
          </w:tcPr>
          <w:p w:rsidR="008B0918" w:rsidRPr="008C4D45" w:rsidRDefault="008B0918" w:rsidP="00E960F1">
            <w:pPr>
              <w:pStyle w:val="Tabletext"/>
              <w:jc w:val="right"/>
              <w:rPr>
                <w:b/>
              </w:rPr>
            </w:pPr>
            <w:r w:rsidRPr="008C4D45">
              <w:rPr>
                <w:b/>
              </w:rPr>
              <w:t>3.29</w:t>
            </w:r>
          </w:p>
        </w:tc>
        <w:tc>
          <w:tcPr>
            <w:tcW w:w="1134" w:type="dxa"/>
            <w:vAlign w:val="center"/>
          </w:tcPr>
          <w:p w:rsidR="008B0918" w:rsidRPr="008C4D45" w:rsidRDefault="008B0918" w:rsidP="00E960F1">
            <w:pPr>
              <w:pStyle w:val="Tabletext"/>
              <w:jc w:val="right"/>
              <w:rPr>
                <w:b/>
              </w:rPr>
            </w:pPr>
            <w:r w:rsidRPr="008C4D45">
              <w:rPr>
                <w:b/>
              </w:rPr>
              <w:t>-28%</w:t>
            </w:r>
          </w:p>
        </w:tc>
      </w:tr>
    </w:tbl>
    <w:p w:rsidR="00513A50" w:rsidRDefault="00513A50" w:rsidP="00257F90">
      <w:pPr>
        <w:pStyle w:val="Heading2"/>
      </w:pPr>
    </w:p>
    <w:p w:rsidR="00513A50" w:rsidRDefault="00513A50" w:rsidP="00513A50">
      <w:pPr>
        <w:rPr>
          <w:rFonts w:ascii="Arial" w:eastAsiaTheme="majorEastAsia" w:hAnsi="Arial" w:cs="Arial"/>
          <w:color w:val="0070C0"/>
          <w:sz w:val="36"/>
          <w:szCs w:val="26"/>
          <w:lang w:val="en-US"/>
        </w:rPr>
      </w:pPr>
      <w:r>
        <w:br w:type="page"/>
      </w:r>
    </w:p>
    <w:p w:rsidR="008D2828" w:rsidRDefault="00982F9F" w:rsidP="00257F90">
      <w:pPr>
        <w:pStyle w:val="Heading2"/>
      </w:pPr>
      <w:bookmarkStart w:id="17" w:name="_Toc427590848"/>
      <w:r>
        <w:t>Fatalities by mechanism of incident</w:t>
      </w:r>
      <w:bookmarkEnd w:id="17"/>
    </w:p>
    <w:p w:rsidR="008D2828" w:rsidRPr="008D2828" w:rsidRDefault="008D2828" w:rsidP="00513A50">
      <w:pPr>
        <w:pStyle w:val="BodyText1"/>
      </w:pPr>
      <w:r w:rsidRPr="008D2828">
        <w:t>Table 12 shows how the fatalities occurred. These data show there has been no notable improvement in the number of fatalities within any of the main mechanisms of incident. Around one-quarter (28%) of fatalities in the construction industry over the 2003–13 period involved falls from a height</w:t>
      </w:r>
      <w:r w:rsidRPr="008D2828">
        <w:rPr>
          <w:spacing w:val="-2"/>
        </w:rPr>
        <w:t>.</w:t>
      </w:r>
    </w:p>
    <w:p w:rsidR="008D2828" w:rsidRDefault="008D2828" w:rsidP="00982F9F">
      <w:pPr>
        <w:pStyle w:val="Tableheading"/>
      </w:pPr>
      <w:r>
        <w:t>Table 12: Worker fatalities in the construction industry: number by mechanism of incident, 2003 to 2013</w:t>
      </w:r>
    </w:p>
    <w:tbl>
      <w:tblPr>
        <w:tblStyle w:val="TableGrid"/>
        <w:tblW w:w="0" w:type="auto"/>
        <w:tblLook w:val="04A0" w:firstRow="1" w:lastRow="0" w:firstColumn="1" w:lastColumn="0" w:noHBand="0" w:noVBand="1"/>
        <w:tblCaption w:val="Table 12: Worker fatalities in the construction industry: number by mechanism of incident, 2003 to 2013"/>
        <w:tblDescription w:val="Table 12 shows how the fatalities occurred. "/>
      </w:tblPr>
      <w:tblGrid>
        <w:gridCol w:w="1186"/>
        <w:gridCol w:w="1187"/>
        <w:gridCol w:w="1187"/>
        <w:gridCol w:w="1187"/>
        <w:gridCol w:w="1187"/>
        <w:gridCol w:w="1187"/>
        <w:gridCol w:w="1187"/>
        <w:gridCol w:w="1187"/>
        <w:gridCol w:w="1187"/>
      </w:tblGrid>
      <w:tr w:rsidR="0063170B" w:rsidRPr="0063170B" w:rsidTr="00715413">
        <w:trPr>
          <w:trHeight w:val="340"/>
          <w:tblHeader/>
        </w:trPr>
        <w:tc>
          <w:tcPr>
            <w:tcW w:w="1186" w:type="dxa"/>
            <w:shd w:val="clear" w:color="auto" w:fill="D9D9D9" w:themeFill="background1" w:themeFillShade="D9"/>
          </w:tcPr>
          <w:p w:rsidR="0063170B" w:rsidRPr="0063170B" w:rsidRDefault="0063170B" w:rsidP="00C95D45">
            <w:pPr>
              <w:rPr>
                <w:rFonts w:ascii="Arial" w:eastAsia="Arial Unicode MS" w:hAnsi="Arial" w:cs="Arial"/>
                <w:sz w:val="20"/>
                <w:szCs w:val="20"/>
              </w:rPr>
            </w:pPr>
          </w:p>
        </w:tc>
        <w:tc>
          <w:tcPr>
            <w:tcW w:w="9496" w:type="dxa"/>
            <w:gridSpan w:val="8"/>
            <w:shd w:val="clear" w:color="auto" w:fill="D9D9D9" w:themeFill="background1" w:themeFillShade="D9"/>
            <w:vAlign w:val="center"/>
          </w:tcPr>
          <w:p w:rsidR="0063170B" w:rsidRPr="0063170B" w:rsidRDefault="0063170B" w:rsidP="0063170B">
            <w:pPr>
              <w:jc w:val="center"/>
              <w:rPr>
                <w:rFonts w:ascii="Arial" w:eastAsia="Arial Unicode MS" w:hAnsi="Arial" w:cs="Arial"/>
                <w:sz w:val="20"/>
                <w:szCs w:val="20"/>
              </w:rPr>
            </w:pPr>
            <w:r w:rsidRPr="0063170B">
              <w:rPr>
                <w:rFonts w:ascii="Arial" w:eastAsia="Arial Unicode MS" w:hAnsi="Arial" w:cs="Arial"/>
                <w:sz w:val="20"/>
                <w:szCs w:val="20"/>
              </w:rPr>
              <w:t>Mech</w:t>
            </w:r>
            <w:r>
              <w:rPr>
                <w:rFonts w:ascii="Arial" w:eastAsia="Arial Unicode MS" w:hAnsi="Arial" w:cs="Arial"/>
                <w:sz w:val="20"/>
                <w:szCs w:val="20"/>
              </w:rPr>
              <w:t>anism of incident</w:t>
            </w:r>
          </w:p>
        </w:tc>
      </w:tr>
      <w:tr w:rsidR="008C4D45" w:rsidRPr="0063170B" w:rsidTr="00715413">
        <w:trPr>
          <w:tblHeader/>
        </w:trPr>
        <w:tc>
          <w:tcPr>
            <w:tcW w:w="1186" w:type="dxa"/>
            <w:shd w:val="clear" w:color="auto" w:fill="D9D9D9" w:themeFill="background1" w:themeFillShade="D9"/>
            <w:vAlign w:val="bottom"/>
          </w:tcPr>
          <w:p w:rsidR="008C4D45" w:rsidRPr="0063170B" w:rsidRDefault="008C4D45" w:rsidP="0063170B">
            <w:pPr>
              <w:rPr>
                <w:rFonts w:ascii="Arial" w:eastAsia="Arial Unicode MS" w:hAnsi="Arial" w:cs="Arial"/>
                <w:sz w:val="20"/>
                <w:szCs w:val="20"/>
              </w:rPr>
            </w:pPr>
            <w:r w:rsidRPr="0063170B">
              <w:rPr>
                <w:rFonts w:ascii="Arial" w:eastAsia="Arial Unicode MS" w:hAnsi="Arial" w:cs="Arial"/>
                <w:sz w:val="20"/>
                <w:szCs w:val="20"/>
              </w:rPr>
              <w:t>Year</w:t>
            </w:r>
          </w:p>
        </w:tc>
        <w:tc>
          <w:tcPr>
            <w:tcW w:w="1187" w:type="dxa"/>
            <w:shd w:val="clear" w:color="auto" w:fill="D9D9D9" w:themeFill="background1" w:themeFillShade="D9"/>
            <w:vAlign w:val="center"/>
          </w:tcPr>
          <w:p w:rsidR="008C4D45" w:rsidRPr="0063170B" w:rsidRDefault="008C4D45" w:rsidP="00E960F1">
            <w:pPr>
              <w:jc w:val="right"/>
              <w:rPr>
                <w:rFonts w:ascii="Arial" w:eastAsia="Arial Unicode MS" w:hAnsi="Arial" w:cs="Arial"/>
                <w:sz w:val="20"/>
                <w:szCs w:val="20"/>
              </w:rPr>
            </w:pPr>
            <w:r w:rsidRPr="0063170B">
              <w:rPr>
                <w:rFonts w:ascii="Arial" w:eastAsia="Arial Unicode MS" w:hAnsi="Arial" w:cs="Arial"/>
                <w:sz w:val="20"/>
                <w:szCs w:val="20"/>
              </w:rPr>
              <w:t>Falls</w:t>
            </w:r>
            <w:r w:rsidR="0063170B">
              <w:rPr>
                <w:rFonts w:ascii="Arial" w:eastAsia="Arial Unicode MS" w:hAnsi="Arial" w:cs="Arial"/>
                <w:sz w:val="20"/>
                <w:szCs w:val="20"/>
              </w:rPr>
              <w:t xml:space="preserve"> from a height</w:t>
            </w:r>
          </w:p>
        </w:tc>
        <w:tc>
          <w:tcPr>
            <w:tcW w:w="1187" w:type="dxa"/>
            <w:shd w:val="clear" w:color="auto" w:fill="D9D9D9" w:themeFill="background1" w:themeFillShade="D9"/>
            <w:vAlign w:val="center"/>
          </w:tcPr>
          <w:p w:rsidR="008C4D45" w:rsidRPr="0063170B" w:rsidRDefault="0063170B" w:rsidP="00E960F1">
            <w:pPr>
              <w:jc w:val="right"/>
              <w:rPr>
                <w:rFonts w:ascii="Arial" w:eastAsia="Arial Unicode MS" w:hAnsi="Arial" w:cs="Arial"/>
                <w:sz w:val="20"/>
                <w:szCs w:val="20"/>
              </w:rPr>
            </w:pPr>
            <w:r>
              <w:rPr>
                <w:rFonts w:ascii="Arial" w:eastAsia="Arial Unicode MS" w:hAnsi="Arial" w:cs="Arial"/>
                <w:sz w:val="20"/>
                <w:szCs w:val="20"/>
              </w:rPr>
              <w:t>Vehicle collision</w:t>
            </w:r>
          </w:p>
        </w:tc>
        <w:tc>
          <w:tcPr>
            <w:tcW w:w="1187" w:type="dxa"/>
            <w:shd w:val="clear" w:color="auto" w:fill="D9D9D9" w:themeFill="background1" w:themeFillShade="D9"/>
            <w:vAlign w:val="center"/>
          </w:tcPr>
          <w:p w:rsidR="008C4D45" w:rsidRPr="0063170B" w:rsidRDefault="0063170B" w:rsidP="00E960F1">
            <w:pPr>
              <w:jc w:val="right"/>
              <w:rPr>
                <w:rFonts w:ascii="Arial" w:eastAsia="Arial Unicode MS" w:hAnsi="Arial" w:cs="Arial"/>
                <w:sz w:val="20"/>
                <w:szCs w:val="20"/>
              </w:rPr>
            </w:pPr>
            <w:r>
              <w:rPr>
                <w:rFonts w:ascii="Arial" w:eastAsia="Arial Unicode MS" w:hAnsi="Arial" w:cs="Arial"/>
                <w:sz w:val="20"/>
                <w:szCs w:val="20"/>
              </w:rPr>
              <w:t>Contact with electricity</w:t>
            </w:r>
          </w:p>
        </w:tc>
        <w:tc>
          <w:tcPr>
            <w:tcW w:w="1187" w:type="dxa"/>
            <w:shd w:val="clear" w:color="auto" w:fill="D9D9D9" w:themeFill="background1" w:themeFillShade="D9"/>
            <w:vAlign w:val="center"/>
          </w:tcPr>
          <w:p w:rsidR="008C4D45" w:rsidRPr="0063170B" w:rsidRDefault="0063170B" w:rsidP="00E960F1">
            <w:pPr>
              <w:jc w:val="right"/>
              <w:rPr>
                <w:rFonts w:ascii="Arial" w:eastAsia="Arial Unicode MS" w:hAnsi="Arial" w:cs="Arial"/>
                <w:sz w:val="20"/>
                <w:szCs w:val="20"/>
              </w:rPr>
            </w:pPr>
            <w:r>
              <w:rPr>
                <w:rFonts w:ascii="Arial" w:eastAsia="Arial Unicode MS" w:hAnsi="Arial" w:cs="Arial"/>
                <w:sz w:val="20"/>
                <w:szCs w:val="20"/>
              </w:rPr>
              <w:t>Being hit by moving objects</w:t>
            </w:r>
          </w:p>
        </w:tc>
        <w:tc>
          <w:tcPr>
            <w:tcW w:w="1187" w:type="dxa"/>
            <w:shd w:val="clear" w:color="auto" w:fill="D9D9D9" w:themeFill="background1" w:themeFillShade="D9"/>
            <w:vAlign w:val="center"/>
          </w:tcPr>
          <w:p w:rsidR="008C4D45" w:rsidRPr="0063170B" w:rsidRDefault="0063170B" w:rsidP="00E960F1">
            <w:pPr>
              <w:jc w:val="right"/>
              <w:rPr>
                <w:rFonts w:ascii="Arial" w:eastAsia="Arial Unicode MS" w:hAnsi="Arial" w:cs="Arial"/>
                <w:sz w:val="20"/>
                <w:szCs w:val="20"/>
              </w:rPr>
            </w:pPr>
            <w:r>
              <w:rPr>
                <w:rFonts w:ascii="Arial" w:eastAsia="Arial Unicode MS" w:hAnsi="Arial" w:cs="Arial"/>
                <w:sz w:val="20"/>
                <w:szCs w:val="20"/>
              </w:rPr>
              <w:t>Being hit by falling objects</w:t>
            </w:r>
          </w:p>
        </w:tc>
        <w:tc>
          <w:tcPr>
            <w:tcW w:w="1187" w:type="dxa"/>
            <w:shd w:val="clear" w:color="auto" w:fill="D9D9D9" w:themeFill="background1" w:themeFillShade="D9"/>
            <w:vAlign w:val="center"/>
          </w:tcPr>
          <w:p w:rsidR="008C4D45" w:rsidRPr="0063170B" w:rsidRDefault="0063170B" w:rsidP="00E960F1">
            <w:pPr>
              <w:jc w:val="right"/>
              <w:rPr>
                <w:rFonts w:ascii="Arial" w:eastAsia="Arial Unicode MS" w:hAnsi="Arial" w:cs="Arial"/>
                <w:sz w:val="20"/>
                <w:szCs w:val="20"/>
              </w:rPr>
            </w:pPr>
            <w:r>
              <w:rPr>
                <w:rFonts w:ascii="Arial" w:eastAsia="Arial Unicode MS" w:hAnsi="Arial" w:cs="Arial"/>
                <w:sz w:val="20"/>
                <w:szCs w:val="20"/>
              </w:rPr>
              <w:t>Trapped between or in equipment</w:t>
            </w:r>
          </w:p>
        </w:tc>
        <w:tc>
          <w:tcPr>
            <w:tcW w:w="1187" w:type="dxa"/>
            <w:shd w:val="clear" w:color="auto" w:fill="D9D9D9" w:themeFill="background1" w:themeFillShade="D9"/>
            <w:vAlign w:val="center"/>
          </w:tcPr>
          <w:p w:rsidR="008C4D45" w:rsidRPr="0063170B" w:rsidRDefault="0063170B" w:rsidP="00E960F1">
            <w:pPr>
              <w:jc w:val="right"/>
              <w:rPr>
                <w:rFonts w:ascii="Arial" w:eastAsia="Arial Unicode MS" w:hAnsi="Arial" w:cs="Arial"/>
                <w:sz w:val="20"/>
                <w:szCs w:val="20"/>
              </w:rPr>
            </w:pPr>
            <w:r>
              <w:rPr>
                <w:rFonts w:ascii="Arial" w:eastAsia="Arial Unicode MS" w:hAnsi="Arial" w:cs="Arial"/>
                <w:sz w:val="20"/>
                <w:szCs w:val="20"/>
              </w:rPr>
              <w:t>Other</w:t>
            </w:r>
          </w:p>
        </w:tc>
        <w:tc>
          <w:tcPr>
            <w:tcW w:w="1187" w:type="dxa"/>
            <w:shd w:val="clear" w:color="auto" w:fill="D9D9D9" w:themeFill="background1" w:themeFillShade="D9"/>
            <w:vAlign w:val="center"/>
          </w:tcPr>
          <w:p w:rsidR="008C4D45" w:rsidRPr="0063170B" w:rsidRDefault="0063170B" w:rsidP="00E960F1">
            <w:pPr>
              <w:jc w:val="right"/>
              <w:rPr>
                <w:rFonts w:ascii="Arial" w:eastAsia="Arial Unicode MS" w:hAnsi="Arial" w:cs="Arial"/>
                <w:sz w:val="20"/>
                <w:szCs w:val="20"/>
              </w:rPr>
            </w:pPr>
            <w:r>
              <w:rPr>
                <w:rFonts w:ascii="Arial" w:eastAsia="Arial Unicode MS" w:hAnsi="Arial" w:cs="Arial"/>
                <w:sz w:val="20"/>
                <w:szCs w:val="20"/>
              </w:rPr>
              <w:t>Total</w:t>
            </w:r>
          </w:p>
        </w:tc>
      </w:tr>
      <w:tr w:rsidR="008C4D45" w:rsidRPr="0063170B" w:rsidTr="00E960F1">
        <w:trPr>
          <w:trHeight w:val="283"/>
        </w:trPr>
        <w:tc>
          <w:tcPr>
            <w:tcW w:w="1186" w:type="dxa"/>
            <w:vAlign w:val="center"/>
          </w:tcPr>
          <w:p w:rsidR="008C4D45" w:rsidRPr="0063170B" w:rsidRDefault="008C4D45" w:rsidP="0063170B">
            <w:pPr>
              <w:rPr>
                <w:rFonts w:ascii="Arial" w:hAnsi="Arial" w:cs="Arial"/>
                <w:sz w:val="20"/>
                <w:szCs w:val="20"/>
              </w:rPr>
            </w:pPr>
            <w:r w:rsidRPr="0063170B">
              <w:rPr>
                <w:rFonts w:ascii="Arial" w:hAnsi="Arial" w:cs="Arial"/>
                <w:sz w:val="20"/>
                <w:szCs w:val="20"/>
              </w:rPr>
              <w:t>2003</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14</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5</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9</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8</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4</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1</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2</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43</w:t>
            </w:r>
          </w:p>
        </w:tc>
      </w:tr>
      <w:tr w:rsidR="008C4D45" w:rsidRPr="0063170B" w:rsidTr="00E960F1">
        <w:trPr>
          <w:trHeight w:val="283"/>
        </w:trPr>
        <w:tc>
          <w:tcPr>
            <w:tcW w:w="1186" w:type="dxa"/>
            <w:vAlign w:val="center"/>
          </w:tcPr>
          <w:p w:rsidR="008C4D45" w:rsidRPr="0063170B" w:rsidRDefault="008C4D45" w:rsidP="0063170B">
            <w:pPr>
              <w:rPr>
                <w:rFonts w:ascii="Arial" w:hAnsi="Arial" w:cs="Arial"/>
                <w:sz w:val="20"/>
                <w:szCs w:val="20"/>
              </w:rPr>
            </w:pPr>
            <w:r w:rsidRPr="0063170B">
              <w:rPr>
                <w:rFonts w:ascii="Arial" w:hAnsi="Arial" w:cs="Arial"/>
                <w:sz w:val="20"/>
                <w:szCs w:val="20"/>
              </w:rPr>
              <w:t>2004</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11</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7</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6</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4</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3</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3</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1</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35</w:t>
            </w:r>
          </w:p>
        </w:tc>
      </w:tr>
      <w:tr w:rsidR="008C4D45" w:rsidRPr="0063170B" w:rsidTr="00E960F1">
        <w:trPr>
          <w:trHeight w:val="283"/>
        </w:trPr>
        <w:tc>
          <w:tcPr>
            <w:tcW w:w="1186" w:type="dxa"/>
            <w:vAlign w:val="center"/>
          </w:tcPr>
          <w:p w:rsidR="008C4D45" w:rsidRPr="0063170B" w:rsidRDefault="008C4D45" w:rsidP="0063170B">
            <w:pPr>
              <w:rPr>
                <w:rFonts w:ascii="Arial" w:hAnsi="Arial" w:cs="Arial"/>
                <w:sz w:val="20"/>
                <w:szCs w:val="20"/>
              </w:rPr>
            </w:pPr>
            <w:r w:rsidRPr="0063170B">
              <w:rPr>
                <w:rFonts w:ascii="Arial" w:hAnsi="Arial" w:cs="Arial"/>
                <w:sz w:val="20"/>
                <w:szCs w:val="20"/>
              </w:rPr>
              <w:t>2005</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7</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6</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6</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4</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1</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2</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4</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30</w:t>
            </w:r>
          </w:p>
        </w:tc>
      </w:tr>
      <w:tr w:rsidR="008C4D45" w:rsidRPr="0063170B" w:rsidTr="00E960F1">
        <w:trPr>
          <w:trHeight w:val="283"/>
        </w:trPr>
        <w:tc>
          <w:tcPr>
            <w:tcW w:w="1186" w:type="dxa"/>
            <w:vAlign w:val="center"/>
          </w:tcPr>
          <w:p w:rsidR="008C4D45" w:rsidRPr="0063170B" w:rsidRDefault="008C4D45" w:rsidP="0063170B">
            <w:pPr>
              <w:rPr>
                <w:rFonts w:ascii="Arial" w:hAnsi="Arial" w:cs="Arial"/>
                <w:sz w:val="20"/>
                <w:szCs w:val="20"/>
              </w:rPr>
            </w:pPr>
            <w:r w:rsidRPr="0063170B">
              <w:rPr>
                <w:rFonts w:ascii="Arial" w:hAnsi="Arial" w:cs="Arial"/>
                <w:sz w:val="20"/>
                <w:szCs w:val="20"/>
              </w:rPr>
              <w:t>2006</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16</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7</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7</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3</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6</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2</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2</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43</w:t>
            </w:r>
          </w:p>
        </w:tc>
      </w:tr>
      <w:tr w:rsidR="008C4D45" w:rsidRPr="0063170B" w:rsidTr="00E960F1">
        <w:trPr>
          <w:trHeight w:val="283"/>
        </w:trPr>
        <w:tc>
          <w:tcPr>
            <w:tcW w:w="1186" w:type="dxa"/>
            <w:vAlign w:val="center"/>
          </w:tcPr>
          <w:p w:rsidR="008C4D45" w:rsidRPr="0063170B" w:rsidRDefault="008C4D45" w:rsidP="0063170B">
            <w:pPr>
              <w:rPr>
                <w:rFonts w:ascii="Arial" w:hAnsi="Arial" w:cs="Arial"/>
                <w:sz w:val="20"/>
                <w:szCs w:val="20"/>
              </w:rPr>
            </w:pPr>
            <w:r w:rsidRPr="0063170B">
              <w:rPr>
                <w:rFonts w:ascii="Arial" w:hAnsi="Arial" w:cs="Arial"/>
                <w:sz w:val="20"/>
                <w:szCs w:val="20"/>
              </w:rPr>
              <w:t>2007</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10</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10</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5</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7</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1</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1</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11</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45</w:t>
            </w:r>
          </w:p>
        </w:tc>
      </w:tr>
      <w:tr w:rsidR="008C4D45" w:rsidRPr="0063170B" w:rsidTr="00E960F1">
        <w:trPr>
          <w:trHeight w:val="283"/>
        </w:trPr>
        <w:tc>
          <w:tcPr>
            <w:tcW w:w="1186" w:type="dxa"/>
            <w:vAlign w:val="center"/>
          </w:tcPr>
          <w:p w:rsidR="008C4D45" w:rsidRPr="0063170B" w:rsidRDefault="008C4D45" w:rsidP="0063170B">
            <w:pPr>
              <w:rPr>
                <w:rFonts w:ascii="Arial" w:hAnsi="Arial" w:cs="Arial"/>
                <w:sz w:val="20"/>
                <w:szCs w:val="20"/>
              </w:rPr>
            </w:pPr>
            <w:r w:rsidRPr="0063170B">
              <w:rPr>
                <w:rFonts w:ascii="Arial" w:hAnsi="Arial" w:cs="Arial"/>
                <w:sz w:val="20"/>
                <w:szCs w:val="20"/>
              </w:rPr>
              <w:t>2008</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11</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4</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5</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7</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5</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2</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4</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38</w:t>
            </w:r>
          </w:p>
        </w:tc>
      </w:tr>
      <w:tr w:rsidR="008C4D45" w:rsidRPr="0063170B" w:rsidTr="00E960F1">
        <w:trPr>
          <w:trHeight w:val="283"/>
        </w:trPr>
        <w:tc>
          <w:tcPr>
            <w:tcW w:w="1186" w:type="dxa"/>
            <w:vAlign w:val="center"/>
          </w:tcPr>
          <w:p w:rsidR="008C4D45" w:rsidRPr="0063170B" w:rsidRDefault="008C4D45" w:rsidP="0063170B">
            <w:pPr>
              <w:rPr>
                <w:rFonts w:ascii="Arial" w:hAnsi="Arial" w:cs="Arial"/>
                <w:sz w:val="20"/>
                <w:szCs w:val="20"/>
              </w:rPr>
            </w:pPr>
            <w:r w:rsidRPr="0063170B">
              <w:rPr>
                <w:rFonts w:ascii="Arial" w:hAnsi="Arial" w:cs="Arial"/>
                <w:sz w:val="20"/>
                <w:szCs w:val="20"/>
              </w:rPr>
              <w:t>2009</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8</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3</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7</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3</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6</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4</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5</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36</w:t>
            </w:r>
          </w:p>
        </w:tc>
      </w:tr>
      <w:tr w:rsidR="008C4D45" w:rsidRPr="0063170B" w:rsidTr="00E960F1">
        <w:trPr>
          <w:trHeight w:val="283"/>
        </w:trPr>
        <w:tc>
          <w:tcPr>
            <w:tcW w:w="1186" w:type="dxa"/>
            <w:vAlign w:val="center"/>
          </w:tcPr>
          <w:p w:rsidR="008C4D45" w:rsidRPr="0063170B" w:rsidRDefault="008C4D45" w:rsidP="0063170B">
            <w:pPr>
              <w:rPr>
                <w:rFonts w:ascii="Arial" w:hAnsi="Arial" w:cs="Arial"/>
                <w:sz w:val="20"/>
                <w:szCs w:val="20"/>
              </w:rPr>
            </w:pPr>
            <w:r w:rsidRPr="0063170B">
              <w:rPr>
                <w:rFonts w:ascii="Arial" w:hAnsi="Arial" w:cs="Arial"/>
                <w:sz w:val="20"/>
                <w:szCs w:val="20"/>
              </w:rPr>
              <w:t>2010</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9</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9</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4</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4</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5</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6</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4</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41</w:t>
            </w:r>
          </w:p>
        </w:tc>
      </w:tr>
      <w:tr w:rsidR="008C4D45" w:rsidRPr="0063170B" w:rsidTr="00E960F1">
        <w:trPr>
          <w:trHeight w:val="283"/>
        </w:trPr>
        <w:tc>
          <w:tcPr>
            <w:tcW w:w="1186" w:type="dxa"/>
            <w:vAlign w:val="center"/>
          </w:tcPr>
          <w:p w:rsidR="008C4D45" w:rsidRPr="0063170B" w:rsidRDefault="008C4D45" w:rsidP="0063170B">
            <w:pPr>
              <w:rPr>
                <w:rFonts w:ascii="Arial" w:hAnsi="Arial" w:cs="Arial"/>
                <w:sz w:val="20"/>
                <w:szCs w:val="20"/>
              </w:rPr>
            </w:pPr>
            <w:r w:rsidRPr="0063170B">
              <w:rPr>
                <w:rFonts w:ascii="Arial" w:hAnsi="Arial" w:cs="Arial"/>
                <w:sz w:val="20"/>
                <w:szCs w:val="20"/>
              </w:rPr>
              <w:t>2011</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9</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10</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6</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2</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7</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6</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1</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41</w:t>
            </w:r>
          </w:p>
        </w:tc>
      </w:tr>
      <w:tr w:rsidR="008C4D45" w:rsidRPr="0063170B" w:rsidTr="00E960F1">
        <w:trPr>
          <w:trHeight w:val="283"/>
        </w:trPr>
        <w:tc>
          <w:tcPr>
            <w:tcW w:w="1186" w:type="dxa"/>
            <w:vAlign w:val="center"/>
          </w:tcPr>
          <w:p w:rsidR="008C4D45" w:rsidRPr="0063170B" w:rsidRDefault="008C4D45" w:rsidP="0063170B">
            <w:pPr>
              <w:rPr>
                <w:rFonts w:ascii="Arial" w:hAnsi="Arial" w:cs="Arial"/>
                <w:sz w:val="20"/>
                <w:szCs w:val="20"/>
              </w:rPr>
            </w:pPr>
            <w:r w:rsidRPr="0063170B">
              <w:rPr>
                <w:rFonts w:ascii="Arial" w:hAnsi="Arial" w:cs="Arial"/>
                <w:sz w:val="20"/>
                <w:szCs w:val="20"/>
              </w:rPr>
              <w:t>2012</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12</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3</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3</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4</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4</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2</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2</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30</w:t>
            </w:r>
          </w:p>
        </w:tc>
      </w:tr>
      <w:tr w:rsidR="008C4D45" w:rsidRPr="0063170B" w:rsidTr="00E960F1">
        <w:trPr>
          <w:trHeight w:val="283"/>
        </w:trPr>
        <w:tc>
          <w:tcPr>
            <w:tcW w:w="1186" w:type="dxa"/>
            <w:vAlign w:val="center"/>
          </w:tcPr>
          <w:p w:rsidR="008C4D45" w:rsidRPr="0063170B" w:rsidRDefault="008C4D45" w:rsidP="0063170B">
            <w:pPr>
              <w:rPr>
                <w:rFonts w:ascii="Arial" w:hAnsi="Arial" w:cs="Arial"/>
                <w:sz w:val="20"/>
                <w:szCs w:val="20"/>
              </w:rPr>
            </w:pPr>
            <w:r w:rsidRPr="0063170B">
              <w:rPr>
                <w:rFonts w:ascii="Arial" w:hAnsi="Arial" w:cs="Arial"/>
                <w:sz w:val="20"/>
                <w:szCs w:val="20"/>
              </w:rPr>
              <w:t>2013</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5</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1</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3</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2</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4</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2</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2</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19</w:t>
            </w:r>
          </w:p>
        </w:tc>
      </w:tr>
      <w:tr w:rsidR="008C4D45" w:rsidRPr="0063170B" w:rsidTr="00E960F1">
        <w:trPr>
          <w:trHeight w:val="283"/>
        </w:trPr>
        <w:tc>
          <w:tcPr>
            <w:tcW w:w="1186" w:type="dxa"/>
            <w:vAlign w:val="center"/>
          </w:tcPr>
          <w:p w:rsidR="008C4D45" w:rsidRPr="0063170B" w:rsidRDefault="008C4D45" w:rsidP="0063170B">
            <w:pPr>
              <w:rPr>
                <w:rFonts w:ascii="Arial" w:hAnsi="Arial" w:cs="Arial"/>
                <w:sz w:val="20"/>
                <w:szCs w:val="20"/>
              </w:rPr>
            </w:pPr>
            <w:r w:rsidRPr="0063170B">
              <w:rPr>
                <w:rFonts w:ascii="Arial" w:hAnsi="Arial" w:cs="Arial"/>
                <w:sz w:val="20"/>
                <w:szCs w:val="20"/>
              </w:rPr>
              <w:t>Total</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112</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65</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61</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48</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46</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31</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38</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401</w:t>
            </w:r>
          </w:p>
        </w:tc>
      </w:tr>
      <w:tr w:rsidR="008C4D45" w:rsidRPr="0063170B" w:rsidTr="00E960F1">
        <w:trPr>
          <w:trHeight w:val="283"/>
        </w:trPr>
        <w:tc>
          <w:tcPr>
            <w:tcW w:w="1186" w:type="dxa"/>
            <w:vAlign w:val="center"/>
          </w:tcPr>
          <w:p w:rsidR="008C4D45" w:rsidRPr="0063170B" w:rsidRDefault="0063170B" w:rsidP="0063170B">
            <w:pPr>
              <w:rPr>
                <w:rFonts w:ascii="Arial" w:hAnsi="Arial" w:cs="Arial"/>
                <w:sz w:val="20"/>
                <w:szCs w:val="20"/>
              </w:rPr>
            </w:pPr>
            <w:r>
              <w:rPr>
                <w:rFonts w:ascii="Arial" w:hAnsi="Arial" w:cs="Arial"/>
                <w:sz w:val="20"/>
                <w:szCs w:val="20"/>
              </w:rPr>
              <w:t>% of total</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28%</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16%</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15%</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12%</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11%</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8%</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9%</w:t>
            </w:r>
          </w:p>
        </w:tc>
        <w:tc>
          <w:tcPr>
            <w:tcW w:w="1187" w:type="dxa"/>
            <w:vAlign w:val="center"/>
          </w:tcPr>
          <w:p w:rsidR="008C4D45" w:rsidRPr="0063170B" w:rsidRDefault="008C4D45" w:rsidP="00E960F1">
            <w:pPr>
              <w:jc w:val="right"/>
              <w:rPr>
                <w:rFonts w:ascii="Arial" w:hAnsi="Arial" w:cs="Arial"/>
                <w:sz w:val="20"/>
                <w:szCs w:val="20"/>
              </w:rPr>
            </w:pPr>
            <w:r w:rsidRPr="0063170B">
              <w:rPr>
                <w:rFonts w:ascii="Arial" w:hAnsi="Arial" w:cs="Arial"/>
                <w:sz w:val="20"/>
                <w:szCs w:val="20"/>
              </w:rPr>
              <w:t>100%</w:t>
            </w:r>
          </w:p>
        </w:tc>
      </w:tr>
    </w:tbl>
    <w:p w:rsidR="008D2828" w:rsidRDefault="004519EB" w:rsidP="00513A50">
      <w:pPr>
        <w:pStyle w:val="BodyText1"/>
      </w:pPr>
      <w:r w:rsidRPr="008D2828">
        <w:t xml:space="preserve">Of the 112 fatalities due to falls from a height, 40 involved ladders, mobile ramps &amp; stairways, &amp; scaffolding, 32 involved a fall from a </w:t>
      </w:r>
      <w:r>
        <w:t>r</w:t>
      </w:r>
      <w:r w:rsidRPr="008D2828">
        <w:t>oof and 17 involved buildings under construction or demolition.</w:t>
      </w:r>
    </w:p>
    <w:p w:rsidR="008D2828" w:rsidRDefault="00982F9F" w:rsidP="00905D87">
      <w:pPr>
        <w:pStyle w:val="Heading3"/>
      </w:pPr>
      <w:bookmarkStart w:id="18" w:name="_Toc427590849"/>
      <w:r>
        <w:t>State/territory by mechanism of incident</w:t>
      </w:r>
      <w:bookmarkEnd w:id="18"/>
    </w:p>
    <w:p w:rsidR="008D2828" w:rsidRPr="008D2828" w:rsidRDefault="008D2828" w:rsidP="00513A50">
      <w:pPr>
        <w:pStyle w:val="BodyText1"/>
      </w:pPr>
      <w:r w:rsidRPr="008D2828">
        <w:t xml:space="preserve">There are some differences in the pattern of mechanisms of incident by state. Table 13 shows that New South Wales has a higher percentage of </w:t>
      </w:r>
      <w:r w:rsidRPr="008D2828">
        <w:rPr>
          <w:spacing w:val="-2"/>
        </w:rPr>
        <w:t xml:space="preserve">falls </w:t>
      </w:r>
      <w:proofErr w:type="gramStart"/>
      <w:r w:rsidRPr="008D2828">
        <w:rPr>
          <w:spacing w:val="-2"/>
        </w:rPr>
        <w:t xml:space="preserve">from a height </w:t>
      </w:r>
      <w:r w:rsidRPr="008D2828">
        <w:t>fatalities</w:t>
      </w:r>
      <w:proofErr w:type="gramEnd"/>
      <w:r w:rsidRPr="008D2828">
        <w:t xml:space="preserve"> in the construction industry than the other states but a lower percentage due to being hit by moving objects.</w:t>
      </w:r>
    </w:p>
    <w:p w:rsidR="008D2828" w:rsidRPr="008D2828" w:rsidRDefault="008D2828" w:rsidP="00513A50">
      <w:pPr>
        <w:pStyle w:val="BodyText1"/>
      </w:pPr>
      <w:r w:rsidRPr="008D2828">
        <w:t>Western Australia has a considerably smaller percentage of construction fatalities due to vehicle collision</w:t>
      </w:r>
      <w:r w:rsidRPr="008D2828">
        <w:rPr>
          <w:i/>
          <w:iCs/>
        </w:rPr>
        <w:t xml:space="preserve"> </w:t>
      </w:r>
      <w:r w:rsidRPr="008D2828">
        <w:t>but has the highest percentage due to being hit by moving objects.</w:t>
      </w:r>
    </w:p>
    <w:p w:rsidR="008D2828" w:rsidRDefault="008D2828" w:rsidP="00513A50">
      <w:pPr>
        <w:pStyle w:val="BodyText1"/>
      </w:pPr>
      <w:r w:rsidRPr="008D2828">
        <w:t>Data are not shown for the Northern Territory or the Australian Capital Territory due to the small numbers involved</w:t>
      </w:r>
      <w:r>
        <w:t>.</w:t>
      </w:r>
    </w:p>
    <w:p w:rsidR="00513A50" w:rsidRDefault="00513A50">
      <w:pPr>
        <w:rPr>
          <w:rFonts w:ascii="Arial" w:hAnsi="Arial" w:cs="Arial"/>
          <w:b/>
          <w:sz w:val="20"/>
          <w:lang w:val="en-US"/>
        </w:rPr>
      </w:pPr>
      <w:r>
        <w:br w:type="page"/>
      </w:r>
    </w:p>
    <w:p w:rsidR="008D2828" w:rsidRDefault="008D2828" w:rsidP="00982F9F">
      <w:pPr>
        <w:pStyle w:val="Tableheading"/>
      </w:pPr>
      <w:r>
        <w:t xml:space="preserve">Table 13: Worker fatalities in the construction industry: number and percentage by mechanism of incident and state or </w:t>
      </w:r>
      <w:proofErr w:type="spellStart"/>
      <w:r>
        <w:t>territory</w:t>
      </w:r>
      <w:r>
        <w:rPr>
          <w:vertAlign w:val="superscript"/>
        </w:rPr>
        <w:t>a</w:t>
      </w:r>
      <w:proofErr w:type="spellEnd"/>
      <w:r>
        <w:t xml:space="preserve"> of death, 2003 to 2013 combined</w:t>
      </w:r>
    </w:p>
    <w:tbl>
      <w:tblPr>
        <w:tblStyle w:val="TableGrid"/>
        <w:tblW w:w="0" w:type="auto"/>
        <w:tblLook w:val="04A0" w:firstRow="1" w:lastRow="0" w:firstColumn="1" w:lastColumn="0" w:noHBand="0" w:noVBand="1"/>
        <w:tblCaption w:val="Table 13: Worker fatalities in the construction industry: number and percentage by mechanism of incident and state or territorya of death, 2003 to 2013 combined"/>
        <w:tblDescription w:val="Table 13 shows that New South Wales has a higher percentage of falls from a height fatalities in the construction industry than the other states but a lower percentage due to being hit by moving objects."/>
      </w:tblPr>
      <w:tblGrid>
        <w:gridCol w:w="2381"/>
        <w:gridCol w:w="1191"/>
        <w:gridCol w:w="1134"/>
        <w:gridCol w:w="1247"/>
        <w:gridCol w:w="1134"/>
        <w:gridCol w:w="1134"/>
        <w:gridCol w:w="1134"/>
        <w:gridCol w:w="1134"/>
      </w:tblGrid>
      <w:tr w:rsidR="00A04693" w:rsidTr="00715413">
        <w:trPr>
          <w:tblHeader/>
        </w:trPr>
        <w:tc>
          <w:tcPr>
            <w:tcW w:w="2381" w:type="dxa"/>
            <w:shd w:val="clear" w:color="auto" w:fill="D9D9D9" w:themeFill="background1" w:themeFillShade="D9"/>
            <w:vAlign w:val="bottom"/>
          </w:tcPr>
          <w:p w:rsidR="00A04693" w:rsidRDefault="00A04693" w:rsidP="00A04693">
            <w:pPr>
              <w:pStyle w:val="Tableheaderrow"/>
              <w:jc w:val="left"/>
            </w:pPr>
            <w:r>
              <w:t>Mechanism of incident</w:t>
            </w:r>
          </w:p>
        </w:tc>
        <w:tc>
          <w:tcPr>
            <w:tcW w:w="1191" w:type="dxa"/>
            <w:shd w:val="clear" w:color="auto" w:fill="D9D9D9" w:themeFill="background1" w:themeFillShade="D9"/>
            <w:vAlign w:val="center"/>
          </w:tcPr>
          <w:p w:rsidR="00A04693" w:rsidRPr="00130BBE" w:rsidRDefault="00A04693" w:rsidP="00E960F1">
            <w:pPr>
              <w:pStyle w:val="Tableheaderrow"/>
              <w:jc w:val="right"/>
            </w:pPr>
            <w:r w:rsidRPr="00130BBE">
              <w:t>N</w:t>
            </w:r>
            <w:r>
              <w:t xml:space="preserve">ew </w:t>
            </w:r>
            <w:r w:rsidRPr="00130BBE">
              <w:t>S</w:t>
            </w:r>
            <w:r>
              <w:t xml:space="preserve">outh </w:t>
            </w:r>
            <w:r w:rsidRPr="00130BBE">
              <w:t>W</w:t>
            </w:r>
            <w:r>
              <w:t>ales</w:t>
            </w:r>
          </w:p>
        </w:tc>
        <w:tc>
          <w:tcPr>
            <w:tcW w:w="1134" w:type="dxa"/>
            <w:shd w:val="clear" w:color="auto" w:fill="D9D9D9" w:themeFill="background1" w:themeFillShade="D9"/>
            <w:vAlign w:val="center"/>
          </w:tcPr>
          <w:p w:rsidR="00A04693" w:rsidRPr="00130BBE" w:rsidRDefault="00A04693" w:rsidP="00E960F1">
            <w:pPr>
              <w:pStyle w:val="Tableheaderrow"/>
              <w:jc w:val="right"/>
            </w:pPr>
            <w:r w:rsidRPr="00130BBE">
              <w:t>V</w:t>
            </w:r>
            <w:r>
              <w:t>ictoria</w:t>
            </w:r>
          </w:p>
        </w:tc>
        <w:tc>
          <w:tcPr>
            <w:tcW w:w="1247" w:type="dxa"/>
            <w:shd w:val="clear" w:color="auto" w:fill="D9D9D9" w:themeFill="background1" w:themeFillShade="D9"/>
            <w:vAlign w:val="center"/>
          </w:tcPr>
          <w:p w:rsidR="00A04693" w:rsidRPr="00130BBE" w:rsidRDefault="00A04693" w:rsidP="00E960F1">
            <w:pPr>
              <w:pStyle w:val="Tableheaderrow"/>
              <w:jc w:val="right"/>
            </w:pPr>
            <w:r w:rsidRPr="00130BBE">
              <w:t>Q</w:t>
            </w:r>
            <w:r>
              <w:t>ueensland</w:t>
            </w:r>
          </w:p>
        </w:tc>
        <w:tc>
          <w:tcPr>
            <w:tcW w:w="1134" w:type="dxa"/>
            <w:shd w:val="clear" w:color="auto" w:fill="D9D9D9" w:themeFill="background1" w:themeFillShade="D9"/>
            <w:vAlign w:val="center"/>
          </w:tcPr>
          <w:p w:rsidR="00A04693" w:rsidRPr="00130BBE" w:rsidRDefault="00A04693" w:rsidP="00E960F1">
            <w:pPr>
              <w:pStyle w:val="Tableheaderrow"/>
              <w:jc w:val="right"/>
            </w:pPr>
            <w:r w:rsidRPr="00130BBE">
              <w:t>W</w:t>
            </w:r>
            <w:r>
              <w:t xml:space="preserve">estern </w:t>
            </w:r>
            <w:r w:rsidRPr="00130BBE">
              <w:t>A</w:t>
            </w:r>
            <w:r>
              <w:t>ustralia</w:t>
            </w:r>
          </w:p>
        </w:tc>
        <w:tc>
          <w:tcPr>
            <w:tcW w:w="1134" w:type="dxa"/>
            <w:shd w:val="clear" w:color="auto" w:fill="D9D9D9" w:themeFill="background1" w:themeFillShade="D9"/>
            <w:vAlign w:val="center"/>
          </w:tcPr>
          <w:p w:rsidR="00A04693" w:rsidRPr="00130BBE" w:rsidRDefault="00A04693" w:rsidP="00E960F1">
            <w:pPr>
              <w:pStyle w:val="Tableheaderrow"/>
              <w:jc w:val="right"/>
            </w:pPr>
            <w:r w:rsidRPr="00130BBE">
              <w:t>S</w:t>
            </w:r>
            <w:r>
              <w:t xml:space="preserve">outh </w:t>
            </w:r>
            <w:r w:rsidRPr="00130BBE">
              <w:t>A</w:t>
            </w:r>
            <w:r>
              <w:t>ustralia</w:t>
            </w:r>
          </w:p>
        </w:tc>
        <w:tc>
          <w:tcPr>
            <w:tcW w:w="1134" w:type="dxa"/>
            <w:shd w:val="clear" w:color="auto" w:fill="D9D9D9" w:themeFill="background1" w:themeFillShade="D9"/>
            <w:vAlign w:val="center"/>
          </w:tcPr>
          <w:p w:rsidR="00A04693" w:rsidRDefault="00A04693" w:rsidP="00E960F1">
            <w:pPr>
              <w:pStyle w:val="Tableheaderrow"/>
              <w:jc w:val="right"/>
            </w:pPr>
            <w:r w:rsidRPr="00130BBE">
              <w:t>T</w:t>
            </w:r>
            <w:r>
              <w:t>asmania</w:t>
            </w:r>
          </w:p>
        </w:tc>
        <w:tc>
          <w:tcPr>
            <w:tcW w:w="1134" w:type="dxa"/>
            <w:shd w:val="clear" w:color="auto" w:fill="D9D9D9" w:themeFill="background1" w:themeFillShade="D9"/>
            <w:vAlign w:val="center"/>
          </w:tcPr>
          <w:p w:rsidR="00A04693" w:rsidRDefault="00A04693" w:rsidP="00E960F1">
            <w:pPr>
              <w:pStyle w:val="Tableheaderrow"/>
              <w:jc w:val="right"/>
            </w:pPr>
            <w:r>
              <w:t>Australia</w:t>
            </w:r>
          </w:p>
        </w:tc>
      </w:tr>
      <w:tr w:rsidR="00A04693" w:rsidTr="007B1111">
        <w:tc>
          <w:tcPr>
            <w:tcW w:w="10489" w:type="dxa"/>
            <w:gridSpan w:val="8"/>
          </w:tcPr>
          <w:p w:rsidR="00A04693" w:rsidRDefault="00A04693" w:rsidP="004A7D8A">
            <w:pPr>
              <w:pStyle w:val="Tablerowheadings"/>
            </w:pPr>
            <w:r>
              <w:t>Number of fatalities</w:t>
            </w:r>
          </w:p>
        </w:tc>
      </w:tr>
      <w:tr w:rsidR="00401818" w:rsidTr="00E960F1">
        <w:tc>
          <w:tcPr>
            <w:tcW w:w="2381" w:type="dxa"/>
          </w:tcPr>
          <w:p w:rsidR="00401818" w:rsidRPr="00D64225" w:rsidRDefault="00401818" w:rsidP="00401818">
            <w:pPr>
              <w:pStyle w:val="Tabletext"/>
            </w:pPr>
            <w:r w:rsidRPr="00D64225">
              <w:t xml:space="preserve">Falls from a height  </w:t>
            </w:r>
          </w:p>
        </w:tc>
        <w:tc>
          <w:tcPr>
            <w:tcW w:w="1191" w:type="dxa"/>
            <w:vAlign w:val="center"/>
          </w:tcPr>
          <w:p w:rsidR="00401818" w:rsidRPr="00D64225" w:rsidRDefault="00401818" w:rsidP="00E960F1">
            <w:pPr>
              <w:pStyle w:val="Tabletext"/>
              <w:jc w:val="right"/>
            </w:pPr>
            <w:r w:rsidRPr="00D64225">
              <w:t>42</w:t>
            </w:r>
          </w:p>
        </w:tc>
        <w:tc>
          <w:tcPr>
            <w:tcW w:w="1134" w:type="dxa"/>
            <w:vAlign w:val="center"/>
          </w:tcPr>
          <w:p w:rsidR="00401818" w:rsidRPr="00D64225" w:rsidRDefault="00401818" w:rsidP="00E960F1">
            <w:pPr>
              <w:pStyle w:val="Tabletext"/>
              <w:jc w:val="right"/>
            </w:pPr>
            <w:r w:rsidRPr="00D64225">
              <w:t>23</w:t>
            </w:r>
          </w:p>
        </w:tc>
        <w:tc>
          <w:tcPr>
            <w:tcW w:w="1247" w:type="dxa"/>
            <w:vAlign w:val="center"/>
          </w:tcPr>
          <w:p w:rsidR="00401818" w:rsidRPr="00D64225" w:rsidRDefault="00401818" w:rsidP="00E960F1">
            <w:pPr>
              <w:pStyle w:val="Tabletext"/>
              <w:jc w:val="right"/>
            </w:pPr>
            <w:r w:rsidRPr="00D64225">
              <w:t>23</w:t>
            </w:r>
          </w:p>
        </w:tc>
        <w:tc>
          <w:tcPr>
            <w:tcW w:w="1134" w:type="dxa"/>
            <w:vAlign w:val="center"/>
          </w:tcPr>
          <w:p w:rsidR="00401818" w:rsidRPr="00D64225" w:rsidRDefault="00401818" w:rsidP="00E960F1">
            <w:pPr>
              <w:pStyle w:val="Tabletext"/>
              <w:jc w:val="right"/>
            </w:pPr>
            <w:r w:rsidRPr="00D64225">
              <w:t>9</w:t>
            </w:r>
          </w:p>
        </w:tc>
        <w:tc>
          <w:tcPr>
            <w:tcW w:w="1134" w:type="dxa"/>
            <w:vAlign w:val="center"/>
          </w:tcPr>
          <w:p w:rsidR="00401818" w:rsidRPr="00D64225" w:rsidRDefault="00401818" w:rsidP="00E960F1">
            <w:pPr>
              <w:pStyle w:val="Tabletext"/>
              <w:jc w:val="right"/>
            </w:pPr>
            <w:r w:rsidRPr="00D64225">
              <w:t>7</w:t>
            </w:r>
          </w:p>
        </w:tc>
        <w:tc>
          <w:tcPr>
            <w:tcW w:w="1134" w:type="dxa"/>
            <w:vAlign w:val="center"/>
          </w:tcPr>
          <w:p w:rsidR="00401818" w:rsidRPr="00D64225" w:rsidRDefault="00401818" w:rsidP="00E960F1">
            <w:pPr>
              <w:pStyle w:val="Tabletext"/>
              <w:jc w:val="right"/>
            </w:pPr>
            <w:r w:rsidRPr="00D64225">
              <w:t>3</w:t>
            </w:r>
          </w:p>
        </w:tc>
        <w:tc>
          <w:tcPr>
            <w:tcW w:w="1134" w:type="dxa"/>
            <w:vAlign w:val="center"/>
          </w:tcPr>
          <w:p w:rsidR="00401818" w:rsidRPr="00BE5264" w:rsidRDefault="00401818" w:rsidP="00E960F1">
            <w:pPr>
              <w:pStyle w:val="Tabletext"/>
              <w:jc w:val="right"/>
            </w:pPr>
            <w:r w:rsidRPr="00BE5264">
              <w:t>112</w:t>
            </w:r>
          </w:p>
        </w:tc>
      </w:tr>
      <w:tr w:rsidR="00401818" w:rsidTr="00E960F1">
        <w:tc>
          <w:tcPr>
            <w:tcW w:w="2381" w:type="dxa"/>
          </w:tcPr>
          <w:p w:rsidR="00401818" w:rsidRPr="00D64225" w:rsidRDefault="00401818" w:rsidP="00401818">
            <w:pPr>
              <w:pStyle w:val="Tabletext"/>
            </w:pPr>
            <w:r w:rsidRPr="00D64225">
              <w:t>Vehicle collision</w:t>
            </w:r>
          </w:p>
        </w:tc>
        <w:tc>
          <w:tcPr>
            <w:tcW w:w="1191" w:type="dxa"/>
            <w:vAlign w:val="center"/>
          </w:tcPr>
          <w:p w:rsidR="00401818" w:rsidRPr="00D64225" w:rsidRDefault="00401818" w:rsidP="00E960F1">
            <w:pPr>
              <w:pStyle w:val="Tabletext"/>
              <w:jc w:val="right"/>
            </w:pPr>
            <w:r w:rsidRPr="00D64225">
              <w:t>19</w:t>
            </w:r>
          </w:p>
        </w:tc>
        <w:tc>
          <w:tcPr>
            <w:tcW w:w="1134" w:type="dxa"/>
            <w:vAlign w:val="center"/>
          </w:tcPr>
          <w:p w:rsidR="00401818" w:rsidRPr="00D64225" w:rsidRDefault="00401818" w:rsidP="00E960F1">
            <w:pPr>
              <w:pStyle w:val="Tabletext"/>
              <w:jc w:val="right"/>
            </w:pPr>
            <w:r w:rsidRPr="00D64225">
              <w:t>15</w:t>
            </w:r>
          </w:p>
        </w:tc>
        <w:tc>
          <w:tcPr>
            <w:tcW w:w="1247" w:type="dxa"/>
            <w:vAlign w:val="center"/>
          </w:tcPr>
          <w:p w:rsidR="00401818" w:rsidRPr="00D64225" w:rsidRDefault="00401818" w:rsidP="00E960F1">
            <w:pPr>
              <w:pStyle w:val="Tabletext"/>
              <w:jc w:val="right"/>
            </w:pPr>
            <w:r w:rsidRPr="00D64225">
              <w:t>19</w:t>
            </w:r>
          </w:p>
        </w:tc>
        <w:tc>
          <w:tcPr>
            <w:tcW w:w="1134" w:type="dxa"/>
            <w:vAlign w:val="center"/>
          </w:tcPr>
          <w:p w:rsidR="00401818" w:rsidRPr="00D64225" w:rsidRDefault="00401818" w:rsidP="00E960F1">
            <w:pPr>
              <w:pStyle w:val="Tabletext"/>
              <w:jc w:val="right"/>
            </w:pPr>
            <w:r w:rsidRPr="00D64225">
              <w:t>2</w:t>
            </w:r>
          </w:p>
        </w:tc>
        <w:tc>
          <w:tcPr>
            <w:tcW w:w="1134" w:type="dxa"/>
            <w:vAlign w:val="center"/>
          </w:tcPr>
          <w:p w:rsidR="00401818" w:rsidRPr="00D64225" w:rsidRDefault="00401818" w:rsidP="00E960F1">
            <w:pPr>
              <w:pStyle w:val="Tabletext"/>
              <w:jc w:val="right"/>
            </w:pPr>
            <w:r w:rsidRPr="00D64225">
              <w:t>4</w:t>
            </w:r>
          </w:p>
        </w:tc>
        <w:tc>
          <w:tcPr>
            <w:tcW w:w="1134" w:type="dxa"/>
            <w:vAlign w:val="center"/>
          </w:tcPr>
          <w:p w:rsidR="00401818" w:rsidRPr="00D64225" w:rsidRDefault="00401818" w:rsidP="00E960F1">
            <w:pPr>
              <w:pStyle w:val="Tabletext"/>
              <w:jc w:val="right"/>
            </w:pPr>
            <w:r w:rsidRPr="00D64225">
              <w:t>4</w:t>
            </w:r>
          </w:p>
        </w:tc>
        <w:tc>
          <w:tcPr>
            <w:tcW w:w="1134" w:type="dxa"/>
            <w:vAlign w:val="center"/>
          </w:tcPr>
          <w:p w:rsidR="00401818" w:rsidRPr="00BE5264" w:rsidRDefault="00401818" w:rsidP="00E960F1">
            <w:pPr>
              <w:pStyle w:val="Tabletext"/>
              <w:jc w:val="right"/>
            </w:pPr>
            <w:r w:rsidRPr="00BE5264">
              <w:t>65</w:t>
            </w:r>
          </w:p>
        </w:tc>
      </w:tr>
      <w:tr w:rsidR="00401818" w:rsidTr="00E960F1">
        <w:tc>
          <w:tcPr>
            <w:tcW w:w="2381" w:type="dxa"/>
          </w:tcPr>
          <w:p w:rsidR="00401818" w:rsidRPr="00D64225" w:rsidRDefault="00401818" w:rsidP="00401818">
            <w:pPr>
              <w:pStyle w:val="Tabletext"/>
            </w:pPr>
            <w:r w:rsidRPr="00D64225">
              <w:t>Contact with electricity</w:t>
            </w:r>
          </w:p>
        </w:tc>
        <w:tc>
          <w:tcPr>
            <w:tcW w:w="1191" w:type="dxa"/>
            <w:vAlign w:val="center"/>
          </w:tcPr>
          <w:p w:rsidR="00401818" w:rsidRPr="00D64225" w:rsidRDefault="00401818" w:rsidP="00E960F1">
            <w:pPr>
              <w:pStyle w:val="Tabletext"/>
              <w:jc w:val="right"/>
            </w:pPr>
            <w:r w:rsidRPr="00D64225">
              <w:t>20</w:t>
            </w:r>
          </w:p>
        </w:tc>
        <w:tc>
          <w:tcPr>
            <w:tcW w:w="1134" w:type="dxa"/>
            <w:vAlign w:val="center"/>
          </w:tcPr>
          <w:p w:rsidR="00401818" w:rsidRPr="00D64225" w:rsidRDefault="00401818" w:rsidP="00E960F1">
            <w:pPr>
              <w:pStyle w:val="Tabletext"/>
              <w:jc w:val="right"/>
            </w:pPr>
            <w:r w:rsidRPr="00D64225">
              <w:t>9</w:t>
            </w:r>
          </w:p>
        </w:tc>
        <w:tc>
          <w:tcPr>
            <w:tcW w:w="1247" w:type="dxa"/>
            <w:vAlign w:val="center"/>
          </w:tcPr>
          <w:p w:rsidR="00401818" w:rsidRPr="00D64225" w:rsidRDefault="00401818" w:rsidP="00E960F1">
            <w:pPr>
              <w:pStyle w:val="Tabletext"/>
              <w:jc w:val="right"/>
            </w:pPr>
            <w:r w:rsidRPr="00D64225">
              <w:t>20</w:t>
            </w:r>
          </w:p>
        </w:tc>
        <w:tc>
          <w:tcPr>
            <w:tcW w:w="1134" w:type="dxa"/>
            <w:vAlign w:val="center"/>
          </w:tcPr>
          <w:p w:rsidR="00401818" w:rsidRPr="00D64225" w:rsidRDefault="00401818" w:rsidP="00E960F1">
            <w:pPr>
              <w:pStyle w:val="Tabletext"/>
              <w:jc w:val="right"/>
            </w:pPr>
            <w:r w:rsidRPr="00D64225">
              <w:t>5</w:t>
            </w:r>
          </w:p>
        </w:tc>
        <w:tc>
          <w:tcPr>
            <w:tcW w:w="1134" w:type="dxa"/>
            <w:vAlign w:val="center"/>
          </w:tcPr>
          <w:p w:rsidR="00401818" w:rsidRPr="00D64225" w:rsidRDefault="00401818" w:rsidP="00E960F1">
            <w:pPr>
              <w:pStyle w:val="Tabletext"/>
              <w:jc w:val="right"/>
            </w:pPr>
            <w:r w:rsidRPr="00D64225">
              <w:t>2</w:t>
            </w:r>
          </w:p>
        </w:tc>
        <w:tc>
          <w:tcPr>
            <w:tcW w:w="1134" w:type="dxa"/>
            <w:vAlign w:val="center"/>
          </w:tcPr>
          <w:p w:rsidR="00401818" w:rsidRPr="00D64225" w:rsidRDefault="00401818" w:rsidP="00E960F1">
            <w:pPr>
              <w:pStyle w:val="Tabletext"/>
              <w:jc w:val="right"/>
            </w:pPr>
            <w:r w:rsidRPr="00D64225">
              <w:t>1</w:t>
            </w:r>
          </w:p>
        </w:tc>
        <w:tc>
          <w:tcPr>
            <w:tcW w:w="1134" w:type="dxa"/>
            <w:vAlign w:val="center"/>
          </w:tcPr>
          <w:p w:rsidR="00401818" w:rsidRPr="00BE5264" w:rsidRDefault="00401818" w:rsidP="00E960F1">
            <w:pPr>
              <w:pStyle w:val="Tabletext"/>
              <w:jc w:val="right"/>
            </w:pPr>
            <w:r w:rsidRPr="00BE5264">
              <w:t>61</w:t>
            </w:r>
          </w:p>
        </w:tc>
      </w:tr>
      <w:tr w:rsidR="00401818" w:rsidTr="00E960F1">
        <w:tc>
          <w:tcPr>
            <w:tcW w:w="2381" w:type="dxa"/>
          </w:tcPr>
          <w:p w:rsidR="00401818" w:rsidRPr="00D64225" w:rsidRDefault="00401818" w:rsidP="00401818">
            <w:pPr>
              <w:pStyle w:val="Tabletext"/>
            </w:pPr>
            <w:r w:rsidRPr="00D64225">
              <w:t>Being hit by moving objects</w:t>
            </w:r>
          </w:p>
        </w:tc>
        <w:tc>
          <w:tcPr>
            <w:tcW w:w="1191" w:type="dxa"/>
            <w:vAlign w:val="center"/>
          </w:tcPr>
          <w:p w:rsidR="00401818" w:rsidRPr="00D64225" w:rsidRDefault="00401818" w:rsidP="00E960F1">
            <w:pPr>
              <w:pStyle w:val="Tabletext"/>
              <w:jc w:val="right"/>
            </w:pPr>
            <w:r w:rsidRPr="00D64225">
              <w:t>8</w:t>
            </w:r>
          </w:p>
        </w:tc>
        <w:tc>
          <w:tcPr>
            <w:tcW w:w="1134" w:type="dxa"/>
            <w:vAlign w:val="center"/>
          </w:tcPr>
          <w:p w:rsidR="00401818" w:rsidRPr="00D64225" w:rsidRDefault="00401818" w:rsidP="00E960F1">
            <w:pPr>
              <w:pStyle w:val="Tabletext"/>
              <w:jc w:val="right"/>
            </w:pPr>
            <w:r w:rsidRPr="00D64225">
              <w:t>9</w:t>
            </w:r>
          </w:p>
        </w:tc>
        <w:tc>
          <w:tcPr>
            <w:tcW w:w="1247" w:type="dxa"/>
            <w:vAlign w:val="center"/>
          </w:tcPr>
          <w:p w:rsidR="00401818" w:rsidRPr="00D64225" w:rsidRDefault="00401818" w:rsidP="00E960F1">
            <w:pPr>
              <w:pStyle w:val="Tabletext"/>
              <w:jc w:val="right"/>
            </w:pPr>
            <w:r w:rsidRPr="00D64225">
              <w:t>15</w:t>
            </w:r>
          </w:p>
        </w:tc>
        <w:tc>
          <w:tcPr>
            <w:tcW w:w="1134" w:type="dxa"/>
            <w:vAlign w:val="center"/>
          </w:tcPr>
          <w:p w:rsidR="00401818" w:rsidRPr="00D64225" w:rsidRDefault="00401818" w:rsidP="00E960F1">
            <w:pPr>
              <w:pStyle w:val="Tabletext"/>
              <w:jc w:val="right"/>
            </w:pPr>
            <w:r w:rsidRPr="00D64225">
              <w:t>9</w:t>
            </w:r>
          </w:p>
        </w:tc>
        <w:tc>
          <w:tcPr>
            <w:tcW w:w="1134" w:type="dxa"/>
            <w:vAlign w:val="center"/>
          </w:tcPr>
          <w:p w:rsidR="00401818" w:rsidRPr="00D64225" w:rsidRDefault="00401818" w:rsidP="00E960F1">
            <w:pPr>
              <w:pStyle w:val="Tabletext"/>
              <w:jc w:val="right"/>
            </w:pPr>
            <w:r w:rsidRPr="00D64225">
              <w:t>4</w:t>
            </w:r>
          </w:p>
        </w:tc>
        <w:tc>
          <w:tcPr>
            <w:tcW w:w="1134" w:type="dxa"/>
            <w:vAlign w:val="center"/>
          </w:tcPr>
          <w:p w:rsidR="00401818" w:rsidRPr="00D64225" w:rsidRDefault="00401818" w:rsidP="00E960F1">
            <w:pPr>
              <w:pStyle w:val="Tabletext"/>
              <w:jc w:val="right"/>
            </w:pPr>
            <w:r w:rsidRPr="00D64225">
              <w:t>3</w:t>
            </w:r>
          </w:p>
        </w:tc>
        <w:tc>
          <w:tcPr>
            <w:tcW w:w="1134" w:type="dxa"/>
            <w:vAlign w:val="center"/>
          </w:tcPr>
          <w:p w:rsidR="00401818" w:rsidRPr="00BE5264" w:rsidRDefault="00401818" w:rsidP="00E960F1">
            <w:pPr>
              <w:pStyle w:val="Tabletext"/>
              <w:jc w:val="right"/>
            </w:pPr>
            <w:r w:rsidRPr="00BE5264">
              <w:t>48</w:t>
            </w:r>
          </w:p>
        </w:tc>
      </w:tr>
      <w:tr w:rsidR="00401818" w:rsidTr="00E960F1">
        <w:tc>
          <w:tcPr>
            <w:tcW w:w="2381" w:type="dxa"/>
          </w:tcPr>
          <w:p w:rsidR="00401818" w:rsidRPr="00D64225" w:rsidRDefault="00401818" w:rsidP="00401818">
            <w:pPr>
              <w:pStyle w:val="Tabletext"/>
            </w:pPr>
            <w:r w:rsidRPr="00D64225">
              <w:t>Being hit by falling objects</w:t>
            </w:r>
          </w:p>
        </w:tc>
        <w:tc>
          <w:tcPr>
            <w:tcW w:w="1191" w:type="dxa"/>
            <w:vAlign w:val="center"/>
          </w:tcPr>
          <w:p w:rsidR="00401818" w:rsidRPr="00D64225" w:rsidRDefault="00401818" w:rsidP="00E960F1">
            <w:pPr>
              <w:pStyle w:val="Tabletext"/>
              <w:jc w:val="right"/>
            </w:pPr>
            <w:r w:rsidRPr="00D64225">
              <w:t>14</w:t>
            </w:r>
          </w:p>
        </w:tc>
        <w:tc>
          <w:tcPr>
            <w:tcW w:w="1134" w:type="dxa"/>
            <w:vAlign w:val="center"/>
          </w:tcPr>
          <w:p w:rsidR="00401818" w:rsidRPr="00D64225" w:rsidRDefault="00401818" w:rsidP="00E960F1">
            <w:pPr>
              <w:pStyle w:val="Tabletext"/>
              <w:jc w:val="right"/>
            </w:pPr>
            <w:r w:rsidRPr="00D64225">
              <w:t>9</w:t>
            </w:r>
          </w:p>
        </w:tc>
        <w:tc>
          <w:tcPr>
            <w:tcW w:w="1247" w:type="dxa"/>
            <w:vAlign w:val="center"/>
          </w:tcPr>
          <w:p w:rsidR="00401818" w:rsidRPr="00D64225" w:rsidRDefault="00401818" w:rsidP="00E960F1">
            <w:pPr>
              <w:pStyle w:val="Tabletext"/>
              <w:jc w:val="right"/>
            </w:pPr>
            <w:r w:rsidRPr="00D64225">
              <w:t>14</w:t>
            </w:r>
          </w:p>
        </w:tc>
        <w:tc>
          <w:tcPr>
            <w:tcW w:w="1134" w:type="dxa"/>
            <w:vAlign w:val="center"/>
          </w:tcPr>
          <w:p w:rsidR="00401818" w:rsidRPr="00D64225" w:rsidRDefault="00401818" w:rsidP="00E960F1">
            <w:pPr>
              <w:pStyle w:val="Tabletext"/>
              <w:jc w:val="right"/>
            </w:pPr>
            <w:r w:rsidRPr="00D64225">
              <w:t>5</w:t>
            </w:r>
          </w:p>
        </w:tc>
        <w:tc>
          <w:tcPr>
            <w:tcW w:w="1134" w:type="dxa"/>
            <w:vAlign w:val="center"/>
          </w:tcPr>
          <w:p w:rsidR="00401818" w:rsidRPr="00D64225" w:rsidRDefault="00401818" w:rsidP="00E960F1">
            <w:pPr>
              <w:pStyle w:val="Tabletext"/>
              <w:jc w:val="right"/>
            </w:pPr>
            <w:r w:rsidRPr="00D64225">
              <w:t>1</w:t>
            </w:r>
          </w:p>
        </w:tc>
        <w:tc>
          <w:tcPr>
            <w:tcW w:w="1134" w:type="dxa"/>
            <w:vAlign w:val="center"/>
          </w:tcPr>
          <w:p w:rsidR="00401818" w:rsidRPr="00D64225" w:rsidRDefault="00401818" w:rsidP="00E960F1">
            <w:pPr>
              <w:pStyle w:val="Tabletext"/>
              <w:jc w:val="right"/>
            </w:pPr>
            <w:r w:rsidRPr="00D64225">
              <w:t>2</w:t>
            </w:r>
          </w:p>
        </w:tc>
        <w:tc>
          <w:tcPr>
            <w:tcW w:w="1134" w:type="dxa"/>
            <w:vAlign w:val="center"/>
          </w:tcPr>
          <w:p w:rsidR="00401818" w:rsidRPr="00BE5264" w:rsidRDefault="00401818" w:rsidP="00E960F1">
            <w:pPr>
              <w:pStyle w:val="Tabletext"/>
              <w:jc w:val="right"/>
            </w:pPr>
            <w:r w:rsidRPr="00BE5264">
              <w:t>46</w:t>
            </w:r>
          </w:p>
        </w:tc>
      </w:tr>
      <w:tr w:rsidR="00401818" w:rsidTr="00E960F1">
        <w:tc>
          <w:tcPr>
            <w:tcW w:w="2381" w:type="dxa"/>
          </w:tcPr>
          <w:p w:rsidR="00401818" w:rsidRPr="00D64225" w:rsidRDefault="00401818" w:rsidP="00401818">
            <w:pPr>
              <w:pStyle w:val="Tabletext"/>
            </w:pPr>
            <w:r w:rsidRPr="00D64225">
              <w:t>Other mechanisms</w:t>
            </w:r>
          </w:p>
        </w:tc>
        <w:tc>
          <w:tcPr>
            <w:tcW w:w="1191" w:type="dxa"/>
            <w:vAlign w:val="center"/>
          </w:tcPr>
          <w:p w:rsidR="00401818" w:rsidRPr="00D64225" w:rsidRDefault="00401818" w:rsidP="00E960F1">
            <w:pPr>
              <w:pStyle w:val="Tabletext"/>
              <w:jc w:val="right"/>
            </w:pPr>
            <w:r w:rsidRPr="00D64225">
              <w:t>16</w:t>
            </w:r>
          </w:p>
        </w:tc>
        <w:tc>
          <w:tcPr>
            <w:tcW w:w="1134" w:type="dxa"/>
            <w:vAlign w:val="center"/>
          </w:tcPr>
          <w:p w:rsidR="00401818" w:rsidRPr="00D64225" w:rsidRDefault="00401818" w:rsidP="00E960F1">
            <w:pPr>
              <w:pStyle w:val="Tabletext"/>
              <w:jc w:val="right"/>
            </w:pPr>
            <w:r w:rsidRPr="00D64225">
              <w:t>14</w:t>
            </w:r>
          </w:p>
        </w:tc>
        <w:tc>
          <w:tcPr>
            <w:tcW w:w="1247" w:type="dxa"/>
            <w:vAlign w:val="center"/>
          </w:tcPr>
          <w:p w:rsidR="00401818" w:rsidRPr="00D64225" w:rsidRDefault="00401818" w:rsidP="00E960F1">
            <w:pPr>
              <w:pStyle w:val="Tabletext"/>
              <w:jc w:val="right"/>
            </w:pPr>
            <w:r w:rsidRPr="00D64225">
              <w:t>20</w:t>
            </w:r>
          </w:p>
        </w:tc>
        <w:tc>
          <w:tcPr>
            <w:tcW w:w="1134" w:type="dxa"/>
            <w:vAlign w:val="center"/>
          </w:tcPr>
          <w:p w:rsidR="00401818" w:rsidRPr="00D64225" w:rsidRDefault="00401818" w:rsidP="00E960F1">
            <w:pPr>
              <w:pStyle w:val="Tabletext"/>
              <w:jc w:val="right"/>
            </w:pPr>
            <w:r w:rsidRPr="00D64225">
              <w:t>7</w:t>
            </w:r>
          </w:p>
        </w:tc>
        <w:tc>
          <w:tcPr>
            <w:tcW w:w="1134" w:type="dxa"/>
            <w:vAlign w:val="center"/>
          </w:tcPr>
          <w:p w:rsidR="00401818" w:rsidRPr="00D64225" w:rsidRDefault="00401818" w:rsidP="00E960F1">
            <w:pPr>
              <w:pStyle w:val="Tabletext"/>
              <w:jc w:val="right"/>
            </w:pPr>
            <w:r w:rsidRPr="00D64225">
              <w:t>9</w:t>
            </w:r>
          </w:p>
        </w:tc>
        <w:tc>
          <w:tcPr>
            <w:tcW w:w="1134" w:type="dxa"/>
            <w:vAlign w:val="center"/>
          </w:tcPr>
          <w:p w:rsidR="00401818" w:rsidRPr="00D64225" w:rsidRDefault="00401818" w:rsidP="00E960F1">
            <w:pPr>
              <w:pStyle w:val="Tabletext"/>
              <w:jc w:val="right"/>
            </w:pPr>
            <w:r w:rsidRPr="00D64225">
              <w:t>1</w:t>
            </w:r>
          </w:p>
        </w:tc>
        <w:tc>
          <w:tcPr>
            <w:tcW w:w="1134" w:type="dxa"/>
            <w:vAlign w:val="center"/>
          </w:tcPr>
          <w:p w:rsidR="00401818" w:rsidRPr="00BE5264" w:rsidRDefault="00401818" w:rsidP="00E960F1">
            <w:pPr>
              <w:pStyle w:val="Tabletext"/>
              <w:jc w:val="right"/>
            </w:pPr>
            <w:r w:rsidRPr="00BE5264">
              <w:t>69</w:t>
            </w:r>
          </w:p>
        </w:tc>
      </w:tr>
      <w:tr w:rsidR="00401818" w:rsidRPr="00401818" w:rsidTr="00E960F1">
        <w:tc>
          <w:tcPr>
            <w:tcW w:w="2381" w:type="dxa"/>
          </w:tcPr>
          <w:p w:rsidR="00401818" w:rsidRPr="00401818" w:rsidRDefault="00401818" w:rsidP="00401818">
            <w:pPr>
              <w:pStyle w:val="Tabletext"/>
              <w:rPr>
                <w:b/>
              </w:rPr>
            </w:pPr>
            <w:r w:rsidRPr="00401818">
              <w:rPr>
                <w:b/>
              </w:rPr>
              <w:t>Total</w:t>
            </w:r>
          </w:p>
        </w:tc>
        <w:tc>
          <w:tcPr>
            <w:tcW w:w="1191" w:type="dxa"/>
            <w:vAlign w:val="center"/>
          </w:tcPr>
          <w:p w:rsidR="00401818" w:rsidRPr="00401818" w:rsidRDefault="00401818" w:rsidP="00E960F1">
            <w:pPr>
              <w:pStyle w:val="Tabletext"/>
              <w:jc w:val="right"/>
              <w:rPr>
                <w:b/>
              </w:rPr>
            </w:pPr>
            <w:r w:rsidRPr="00401818">
              <w:rPr>
                <w:b/>
              </w:rPr>
              <w:t>119</w:t>
            </w:r>
          </w:p>
        </w:tc>
        <w:tc>
          <w:tcPr>
            <w:tcW w:w="1134" w:type="dxa"/>
            <w:vAlign w:val="center"/>
          </w:tcPr>
          <w:p w:rsidR="00401818" w:rsidRPr="00401818" w:rsidRDefault="00401818" w:rsidP="00E960F1">
            <w:pPr>
              <w:pStyle w:val="Tabletext"/>
              <w:jc w:val="right"/>
              <w:rPr>
                <w:b/>
              </w:rPr>
            </w:pPr>
            <w:r w:rsidRPr="00401818">
              <w:rPr>
                <w:b/>
              </w:rPr>
              <w:t>79</w:t>
            </w:r>
          </w:p>
        </w:tc>
        <w:tc>
          <w:tcPr>
            <w:tcW w:w="1247" w:type="dxa"/>
            <w:vAlign w:val="center"/>
          </w:tcPr>
          <w:p w:rsidR="00401818" w:rsidRPr="00401818" w:rsidRDefault="00401818" w:rsidP="00E960F1">
            <w:pPr>
              <w:pStyle w:val="Tabletext"/>
              <w:jc w:val="right"/>
              <w:rPr>
                <w:b/>
              </w:rPr>
            </w:pPr>
            <w:r w:rsidRPr="00401818">
              <w:rPr>
                <w:b/>
              </w:rPr>
              <w:t>111</w:t>
            </w:r>
          </w:p>
        </w:tc>
        <w:tc>
          <w:tcPr>
            <w:tcW w:w="1134" w:type="dxa"/>
            <w:vAlign w:val="center"/>
          </w:tcPr>
          <w:p w:rsidR="00401818" w:rsidRPr="00401818" w:rsidRDefault="00401818" w:rsidP="00E960F1">
            <w:pPr>
              <w:pStyle w:val="Tabletext"/>
              <w:jc w:val="right"/>
              <w:rPr>
                <w:b/>
              </w:rPr>
            </w:pPr>
            <w:r w:rsidRPr="00401818">
              <w:rPr>
                <w:b/>
              </w:rPr>
              <w:t>37</w:t>
            </w:r>
          </w:p>
        </w:tc>
        <w:tc>
          <w:tcPr>
            <w:tcW w:w="1134" w:type="dxa"/>
            <w:vAlign w:val="center"/>
          </w:tcPr>
          <w:p w:rsidR="00401818" w:rsidRPr="00401818" w:rsidRDefault="00401818" w:rsidP="00E960F1">
            <w:pPr>
              <w:pStyle w:val="Tabletext"/>
              <w:jc w:val="right"/>
              <w:rPr>
                <w:b/>
              </w:rPr>
            </w:pPr>
            <w:r w:rsidRPr="00401818">
              <w:rPr>
                <w:b/>
              </w:rPr>
              <w:t>27</w:t>
            </w:r>
          </w:p>
        </w:tc>
        <w:tc>
          <w:tcPr>
            <w:tcW w:w="1134" w:type="dxa"/>
            <w:vAlign w:val="center"/>
          </w:tcPr>
          <w:p w:rsidR="00401818" w:rsidRPr="00401818" w:rsidRDefault="00401818" w:rsidP="00E960F1">
            <w:pPr>
              <w:pStyle w:val="Tabletext"/>
              <w:jc w:val="right"/>
              <w:rPr>
                <w:b/>
              </w:rPr>
            </w:pPr>
            <w:r w:rsidRPr="00401818">
              <w:rPr>
                <w:b/>
              </w:rPr>
              <w:t>14</w:t>
            </w:r>
          </w:p>
        </w:tc>
        <w:tc>
          <w:tcPr>
            <w:tcW w:w="1134" w:type="dxa"/>
            <w:vAlign w:val="center"/>
          </w:tcPr>
          <w:p w:rsidR="00401818" w:rsidRPr="00401818" w:rsidRDefault="00401818" w:rsidP="00E960F1">
            <w:pPr>
              <w:pStyle w:val="Tabletext"/>
              <w:jc w:val="right"/>
              <w:rPr>
                <w:b/>
              </w:rPr>
            </w:pPr>
            <w:r w:rsidRPr="00401818">
              <w:rPr>
                <w:b/>
              </w:rPr>
              <w:t>401</w:t>
            </w:r>
          </w:p>
        </w:tc>
      </w:tr>
      <w:tr w:rsidR="00401818" w:rsidTr="00E960F1">
        <w:tc>
          <w:tcPr>
            <w:tcW w:w="10489" w:type="dxa"/>
            <w:gridSpan w:val="8"/>
            <w:vAlign w:val="center"/>
          </w:tcPr>
          <w:p w:rsidR="00401818" w:rsidRDefault="00401818" w:rsidP="004519EB">
            <w:pPr>
              <w:pStyle w:val="Tablerowheadings"/>
            </w:pPr>
            <w:r w:rsidRPr="00401818">
              <w:t>Percentage of fatalities</w:t>
            </w:r>
          </w:p>
        </w:tc>
      </w:tr>
      <w:tr w:rsidR="00401818" w:rsidTr="00E960F1">
        <w:tc>
          <w:tcPr>
            <w:tcW w:w="2381" w:type="dxa"/>
          </w:tcPr>
          <w:p w:rsidR="00401818" w:rsidRPr="00D64225" w:rsidRDefault="00401818" w:rsidP="00401818">
            <w:pPr>
              <w:pStyle w:val="Tabletext"/>
            </w:pPr>
            <w:r w:rsidRPr="00D64225">
              <w:t xml:space="preserve">Falls from a height  </w:t>
            </w:r>
          </w:p>
        </w:tc>
        <w:tc>
          <w:tcPr>
            <w:tcW w:w="1191" w:type="dxa"/>
            <w:vAlign w:val="center"/>
          </w:tcPr>
          <w:p w:rsidR="00401818" w:rsidRPr="004F4E4E" w:rsidRDefault="00401818" w:rsidP="00E960F1">
            <w:pPr>
              <w:pStyle w:val="Tabletext"/>
              <w:jc w:val="right"/>
            </w:pPr>
            <w:r w:rsidRPr="004F4E4E">
              <w:t>35%</w:t>
            </w:r>
          </w:p>
        </w:tc>
        <w:tc>
          <w:tcPr>
            <w:tcW w:w="1134" w:type="dxa"/>
            <w:vAlign w:val="center"/>
          </w:tcPr>
          <w:p w:rsidR="00401818" w:rsidRPr="004F4E4E" w:rsidRDefault="00401818" w:rsidP="00E960F1">
            <w:pPr>
              <w:pStyle w:val="Tabletext"/>
              <w:jc w:val="right"/>
            </w:pPr>
            <w:r w:rsidRPr="004F4E4E">
              <w:t>29%</w:t>
            </w:r>
          </w:p>
        </w:tc>
        <w:tc>
          <w:tcPr>
            <w:tcW w:w="1247" w:type="dxa"/>
            <w:vAlign w:val="center"/>
          </w:tcPr>
          <w:p w:rsidR="00401818" w:rsidRPr="004F4E4E" w:rsidRDefault="00401818" w:rsidP="00E960F1">
            <w:pPr>
              <w:pStyle w:val="Tabletext"/>
              <w:jc w:val="right"/>
            </w:pPr>
            <w:r w:rsidRPr="004F4E4E">
              <w:t>21%</w:t>
            </w:r>
          </w:p>
        </w:tc>
        <w:tc>
          <w:tcPr>
            <w:tcW w:w="1134" w:type="dxa"/>
            <w:vAlign w:val="center"/>
          </w:tcPr>
          <w:p w:rsidR="00401818" w:rsidRPr="004F4E4E" w:rsidRDefault="00401818" w:rsidP="00E960F1">
            <w:pPr>
              <w:pStyle w:val="Tabletext"/>
              <w:jc w:val="right"/>
            </w:pPr>
            <w:r w:rsidRPr="004F4E4E">
              <w:t>24%</w:t>
            </w:r>
          </w:p>
        </w:tc>
        <w:tc>
          <w:tcPr>
            <w:tcW w:w="1134" w:type="dxa"/>
            <w:vAlign w:val="center"/>
          </w:tcPr>
          <w:p w:rsidR="00401818" w:rsidRPr="004F4E4E" w:rsidRDefault="00401818" w:rsidP="00E960F1">
            <w:pPr>
              <w:pStyle w:val="Tabletext"/>
              <w:jc w:val="right"/>
            </w:pPr>
            <w:r w:rsidRPr="004F4E4E">
              <w:t>26%</w:t>
            </w:r>
          </w:p>
        </w:tc>
        <w:tc>
          <w:tcPr>
            <w:tcW w:w="1134" w:type="dxa"/>
            <w:vAlign w:val="center"/>
          </w:tcPr>
          <w:p w:rsidR="00401818" w:rsidRPr="004F4E4E" w:rsidRDefault="00401818" w:rsidP="00E960F1">
            <w:pPr>
              <w:pStyle w:val="Tabletext"/>
              <w:jc w:val="right"/>
            </w:pPr>
            <w:r w:rsidRPr="004F4E4E">
              <w:t>21%</w:t>
            </w:r>
          </w:p>
        </w:tc>
        <w:tc>
          <w:tcPr>
            <w:tcW w:w="1134" w:type="dxa"/>
            <w:vAlign w:val="center"/>
          </w:tcPr>
          <w:p w:rsidR="00401818" w:rsidRPr="003521D4" w:rsidRDefault="00401818" w:rsidP="00E960F1">
            <w:pPr>
              <w:pStyle w:val="Tabletext"/>
              <w:jc w:val="right"/>
            </w:pPr>
            <w:r w:rsidRPr="003521D4">
              <w:t>28%</w:t>
            </w:r>
          </w:p>
        </w:tc>
      </w:tr>
      <w:tr w:rsidR="00401818" w:rsidTr="00E960F1">
        <w:tc>
          <w:tcPr>
            <w:tcW w:w="2381" w:type="dxa"/>
          </w:tcPr>
          <w:p w:rsidR="00401818" w:rsidRPr="00D64225" w:rsidRDefault="00401818" w:rsidP="00401818">
            <w:pPr>
              <w:pStyle w:val="Tabletext"/>
            </w:pPr>
            <w:r w:rsidRPr="00D64225">
              <w:t>Vehicle collision</w:t>
            </w:r>
          </w:p>
        </w:tc>
        <w:tc>
          <w:tcPr>
            <w:tcW w:w="1191" w:type="dxa"/>
            <w:vAlign w:val="center"/>
          </w:tcPr>
          <w:p w:rsidR="00401818" w:rsidRPr="004F4E4E" w:rsidRDefault="00401818" w:rsidP="00E960F1">
            <w:pPr>
              <w:pStyle w:val="Tabletext"/>
              <w:jc w:val="right"/>
            </w:pPr>
            <w:r w:rsidRPr="004F4E4E">
              <w:t>16%</w:t>
            </w:r>
          </w:p>
        </w:tc>
        <w:tc>
          <w:tcPr>
            <w:tcW w:w="1134" w:type="dxa"/>
            <w:vAlign w:val="center"/>
          </w:tcPr>
          <w:p w:rsidR="00401818" w:rsidRPr="004F4E4E" w:rsidRDefault="00401818" w:rsidP="00E960F1">
            <w:pPr>
              <w:pStyle w:val="Tabletext"/>
              <w:jc w:val="right"/>
            </w:pPr>
            <w:r w:rsidRPr="004F4E4E">
              <w:t>19%</w:t>
            </w:r>
          </w:p>
        </w:tc>
        <w:tc>
          <w:tcPr>
            <w:tcW w:w="1247" w:type="dxa"/>
            <w:vAlign w:val="center"/>
          </w:tcPr>
          <w:p w:rsidR="00401818" w:rsidRPr="004F4E4E" w:rsidRDefault="00401818" w:rsidP="00E960F1">
            <w:pPr>
              <w:pStyle w:val="Tabletext"/>
              <w:jc w:val="right"/>
            </w:pPr>
            <w:r w:rsidRPr="004F4E4E">
              <w:t>17%</w:t>
            </w:r>
          </w:p>
        </w:tc>
        <w:tc>
          <w:tcPr>
            <w:tcW w:w="1134" w:type="dxa"/>
            <w:vAlign w:val="center"/>
          </w:tcPr>
          <w:p w:rsidR="00401818" w:rsidRPr="004F4E4E" w:rsidRDefault="00401818" w:rsidP="00E960F1">
            <w:pPr>
              <w:pStyle w:val="Tabletext"/>
              <w:jc w:val="right"/>
            </w:pPr>
            <w:r w:rsidRPr="004F4E4E">
              <w:t>5%</w:t>
            </w:r>
          </w:p>
        </w:tc>
        <w:tc>
          <w:tcPr>
            <w:tcW w:w="1134" w:type="dxa"/>
            <w:vAlign w:val="center"/>
          </w:tcPr>
          <w:p w:rsidR="00401818" w:rsidRPr="004F4E4E" w:rsidRDefault="00401818" w:rsidP="00E960F1">
            <w:pPr>
              <w:pStyle w:val="Tabletext"/>
              <w:jc w:val="right"/>
            </w:pPr>
            <w:r w:rsidRPr="004F4E4E">
              <w:t>15%</w:t>
            </w:r>
          </w:p>
        </w:tc>
        <w:tc>
          <w:tcPr>
            <w:tcW w:w="1134" w:type="dxa"/>
            <w:vAlign w:val="center"/>
          </w:tcPr>
          <w:p w:rsidR="00401818" w:rsidRPr="004F4E4E" w:rsidRDefault="00401818" w:rsidP="00E960F1">
            <w:pPr>
              <w:pStyle w:val="Tabletext"/>
              <w:jc w:val="right"/>
            </w:pPr>
            <w:r w:rsidRPr="004F4E4E">
              <w:t>29%</w:t>
            </w:r>
          </w:p>
        </w:tc>
        <w:tc>
          <w:tcPr>
            <w:tcW w:w="1134" w:type="dxa"/>
            <w:vAlign w:val="center"/>
          </w:tcPr>
          <w:p w:rsidR="00401818" w:rsidRPr="003521D4" w:rsidRDefault="00401818" w:rsidP="00E960F1">
            <w:pPr>
              <w:pStyle w:val="Tabletext"/>
              <w:jc w:val="right"/>
            </w:pPr>
            <w:r w:rsidRPr="003521D4">
              <w:t>16%</w:t>
            </w:r>
          </w:p>
        </w:tc>
      </w:tr>
      <w:tr w:rsidR="00401818" w:rsidTr="00E960F1">
        <w:tc>
          <w:tcPr>
            <w:tcW w:w="2381" w:type="dxa"/>
          </w:tcPr>
          <w:p w:rsidR="00401818" w:rsidRPr="00D64225" w:rsidRDefault="00401818" w:rsidP="00401818">
            <w:pPr>
              <w:pStyle w:val="Tabletext"/>
            </w:pPr>
            <w:r w:rsidRPr="00D64225">
              <w:t>Contact with electricity</w:t>
            </w:r>
          </w:p>
        </w:tc>
        <w:tc>
          <w:tcPr>
            <w:tcW w:w="1191" w:type="dxa"/>
            <w:vAlign w:val="center"/>
          </w:tcPr>
          <w:p w:rsidR="00401818" w:rsidRPr="004F4E4E" w:rsidRDefault="00401818" w:rsidP="00E960F1">
            <w:pPr>
              <w:pStyle w:val="Tabletext"/>
              <w:jc w:val="right"/>
            </w:pPr>
            <w:r w:rsidRPr="004F4E4E">
              <w:t>17%</w:t>
            </w:r>
          </w:p>
        </w:tc>
        <w:tc>
          <w:tcPr>
            <w:tcW w:w="1134" w:type="dxa"/>
            <w:vAlign w:val="center"/>
          </w:tcPr>
          <w:p w:rsidR="00401818" w:rsidRPr="004F4E4E" w:rsidRDefault="00401818" w:rsidP="00E960F1">
            <w:pPr>
              <w:pStyle w:val="Tabletext"/>
              <w:jc w:val="right"/>
            </w:pPr>
            <w:r w:rsidRPr="004F4E4E">
              <w:t>11%</w:t>
            </w:r>
          </w:p>
        </w:tc>
        <w:tc>
          <w:tcPr>
            <w:tcW w:w="1247" w:type="dxa"/>
            <w:vAlign w:val="center"/>
          </w:tcPr>
          <w:p w:rsidR="00401818" w:rsidRPr="004F4E4E" w:rsidRDefault="00401818" w:rsidP="00E960F1">
            <w:pPr>
              <w:pStyle w:val="Tabletext"/>
              <w:jc w:val="right"/>
            </w:pPr>
            <w:r w:rsidRPr="004F4E4E">
              <w:t>18%</w:t>
            </w:r>
          </w:p>
        </w:tc>
        <w:tc>
          <w:tcPr>
            <w:tcW w:w="1134" w:type="dxa"/>
            <w:vAlign w:val="center"/>
          </w:tcPr>
          <w:p w:rsidR="00401818" w:rsidRPr="004F4E4E" w:rsidRDefault="00401818" w:rsidP="00E960F1">
            <w:pPr>
              <w:pStyle w:val="Tabletext"/>
              <w:jc w:val="right"/>
            </w:pPr>
            <w:r w:rsidRPr="004F4E4E">
              <w:t>14%</w:t>
            </w:r>
          </w:p>
        </w:tc>
        <w:tc>
          <w:tcPr>
            <w:tcW w:w="1134" w:type="dxa"/>
            <w:vAlign w:val="center"/>
          </w:tcPr>
          <w:p w:rsidR="00401818" w:rsidRPr="004F4E4E" w:rsidRDefault="00401818" w:rsidP="00E960F1">
            <w:pPr>
              <w:pStyle w:val="Tabletext"/>
              <w:jc w:val="right"/>
            </w:pPr>
            <w:r w:rsidRPr="004F4E4E">
              <w:t>7%</w:t>
            </w:r>
          </w:p>
        </w:tc>
        <w:tc>
          <w:tcPr>
            <w:tcW w:w="1134" w:type="dxa"/>
            <w:vAlign w:val="center"/>
          </w:tcPr>
          <w:p w:rsidR="00401818" w:rsidRPr="004F4E4E" w:rsidRDefault="00401818" w:rsidP="00E960F1">
            <w:pPr>
              <w:pStyle w:val="Tabletext"/>
              <w:jc w:val="right"/>
            </w:pPr>
            <w:r w:rsidRPr="004F4E4E">
              <w:t>7%</w:t>
            </w:r>
          </w:p>
        </w:tc>
        <w:tc>
          <w:tcPr>
            <w:tcW w:w="1134" w:type="dxa"/>
            <w:vAlign w:val="center"/>
          </w:tcPr>
          <w:p w:rsidR="00401818" w:rsidRPr="003521D4" w:rsidRDefault="00401818" w:rsidP="00E960F1">
            <w:pPr>
              <w:pStyle w:val="Tabletext"/>
              <w:jc w:val="right"/>
            </w:pPr>
            <w:r w:rsidRPr="003521D4">
              <w:t>15%</w:t>
            </w:r>
          </w:p>
        </w:tc>
      </w:tr>
      <w:tr w:rsidR="00401818" w:rsidTr="00E960F1">
        <w:tc>
          <w:tcPr>
            <w:tcW w:w="2381" w:type="dxa"/>
          </w:tcPr>
          <w:p w:rsidR="00401818" w:rsidRPr="00D64225" w:rsidRDefault="00401818" w:rsidP="00401818">
            <w:pPr>
              <w:pStyle w:val="Tabletext"/>
            </w:pPr>
            <w:r w:rsidRPr="00D64225">
              <w:t>Being hit by moving objects</w:t>
            </w:r>
          </w:p>
        </w:tc>
        <w:tc>
          <w:tcPr>
            <w:tcW w:w="1191" w:type="dxa"/>
            <w:vAlign w:val="center"/>
          </w:tcPr>
          <w:p w:rsidR="00401818" w:rsidRPr="004F4E4E" w:rsidRDefault="00401818" w:rsidP="00E960F1">
            <w:pPr>
              <w:pStyle w:val="Tabletext"/>
              <w:jc w:val="right"/>
            </w:pPr>
            <w:r w:rsidRPr="004F4E4E">
              <w:t>7%</w:t>
            </w:r>
          </w:p>
        </w:tc>
        <w:tc>
          <w:tcPr>
            <w:tcW w:w="1134" w:type="dxa"/>
            <w:vAlign w:val="center"/>
          </w:tcPr>
          <w:p w:rsidR="00401818" w:rsidRPr="004F4E4E" w:rsidRDefault="00401818" w:rsidP="00E960F1">
            <w:pPr>
              <w:pStyle w:val="Tabletext"/>
              <w:jc w:val="right"/>
            </w:pPr>
            <w:r w:rsidRPr="004F4E4E">
              <w:t>11%</w:t>
            </w:r>
          </w:p>
        </w:tc>
        <w:tc>
          <w:tcPr>
            <w:tcW w:w="1247" w:type="dxa"/>
            <w:vAlign w:val="center"/>
          </w:tcPr>
          <w:p w:rsidR="00401818" w:rsidRPr="004F4E4E" w:rsidRDefault="00401818" w:rsidP="00E960F1">
            <w:pPr>
              <w:pStyle w:val="Tabletext"/>
              <w:jc w:val="right"/>
            </w:pPr>
            <w:r w:rsidRPr="004F4E4E">
              <w:t>14%</w:t>
            </w:r>
          </w:p>
        </w:tc>
        <w:tc>
          <w:tcPr>
            <w:tcW w:w="1134" w:type="dxa"/>
            <w:vAlign w:val="center"/>
          </w:tcPr>
          <w:p w:rsidR="00401818" w:rsidRPr="004F4E4E" w:rsidRDefault="00401818" w:rsidP="00E960F1">
            <w:pPr>
              <w:pStyle w:val="Tabletext"/>
              <w:jc w:val="right"/>
            </w:pPr>
            <w:r w:rsidRPr="004F4E4E">
              <w:t>24%</w:t>
            </w:r>
          </w:p>
        </w:tc>
        <w:tc>
          <w:tcPr>
            <w:tcW w:w="1134" w:type="dxa"/>
            <w:vAlign w:val="center"/>
          </w:tcPr>
          <w:p w:rsidR="00401818" w:rsidRPr="004F4E4E" w:rsidRDefault="00401818" w:rsidP="00E960F1">
            <w:pPr>
              <w:pStyle w:val="Tabletext"/>
              <w:jc w:val="right"/>
            </w:pPr>
            <w:r w:rsidRPr="004F4E4E">
              <w:t>15%</w:t>
            </w:r>
          </w:p>
        </w:tc>
        <w:tc>
          <w:tcPr>
            <w:tcW w:w="1134" w:type="dxa"/>
            <w:vAlign w:val="center"/>
          </w:tcPr>
          <w:p w:rsidR="00401818" w:rsidRPr="004F4E4E" w:rsidRDefault="00401818" w:rsidP="00E960F1">
            <w:pPr>
              <w:pStyle w:val="Tabletext"/>
              <w:jc w:val="right"/>
            </w:pPr>
            <w:r w:rsidRPr="004F4E4E">
              <w:t>21%</w:t>
            </w:r>
          </w:p>
        </w:tc>
        <w:tc>
          <w:tcPr>
            <w:tcW w:w="1134" w:type="dxa"/>
            <w:vAlign w:val="center"/>
          </w:tcPr>
          <w:p w:rsidR="00401818" w:rsidRPr="003521D4" w:rsidRDefault="00401818" w:rsidP="00E960F1">
            <w:pPr>
              <w:pStyle w:val="Tabletext"/>
              <w:jc w:val="right"/>
            </w:pPr>
            <w:r w:rsidRPr="003521D4">
              <w:t>12%</w:t>
            </w:r>
          </w:p>
        </w:tc>
      </w:tr>
      <w:tr w:rsidR="00401818" w:rsidTr="00E960F1">
        <w:tc>
          <w:tcPr>
            <w:tcW w:w="2381" w:type="dxa"/>
          </w:tcPr>
          <w:p w:rsidR="00401818" w:rsidRPr="00D64225" w:rsidRDefault="00401818" w:rsidP="00401818">
            <w:pPr>
              <w:pStyle w:val="Tabletext"/>
            </w:pPr>
            <w:r w:rsidRPr="00D64225">
              <w:t>Being hit by falling objects</w:t>
            </w:r>
          </w:p>
        </w:tc>
        <w:tc>
          <w:tcPr>
            <w:tcW w:w="1191" w:type="dxa"/>
            <w:vAlign w:val="center"/>
          </w:tcPr>
          <w:p w:rsidR="00401818" w:rsidRPr="004F4E4E" w:rsidRDefault="00401818" w:rsidP="00E960F1">
            <w:pPr>
              <w:pStyle w:val="Tabletext"/>
              <w:jc w:val="right"/>
            </w:pPr>
            <w:r w:rsidRPr="004F4E4E">
              <w:t>12%</w:t>
            </w:r>
          </w:p>
        </w:tc>
        <w:tc>
          <w:tcPr>
            <w:tcW w:w="1134" w:type="dxa"/>
            <w:vAlign w:val="center"/>
          </w:tcPr>
          <w:p w:rsidR="00401818" w:rsidRPr="004F4E4E" w:rsidRDefault="00401818" w:rsidP="00E960F1">
            <w:pPr>
              <w:pStyle w:val="Tabletext"/>
              <w:jc w:val="right"/>
            </w:pPr>
            <w:r w:rsidRPr="004F4E4E">
              <w:t>11%</w:t>
            </w:r>
          </w:p>
        </w:tc>
        <w:tc>
          <w:tcPr>
            <w:tcW w:w="1247" w:type="dxa"/>
            <w:vAlign w:val="center"/>
          </w:tcPr>
          <w:p w:rsidR="00401818" w:rsidRPr="004F4E4E" w:rsidRDefault="00401818" w:rsidP="00E960F1">
            <w:pPr>
              <w:pStyle w:val="Tabletext"/>
              <w:jc w:val="right"/>
            </w:pPr>
            <w:r w:rsidRPr="004F4E4E">
              <w:t>13%</w:t>
            </w:r>
          </w:p>
        </w:tc>
        <w:tc>
          <w:tcPr>
            <w:tcW w:w="1134" w:type="dxa"/>
            <w:vAlign w:val="center"/>
          </w:tcPr>
          <w:p w:rsidR="00401818" w:rsidRPr="004F4E4E" w:rsidRDefault="00401818" w:rsidP="00E960F1">
            <w:pPr>
              <w:pStyle w:val="Tabletext"/>
              <w:jc w:val="right"/>
            </w:pPr>
            <w:r w:rsidRPr="004F4E4E">
              <w:t>14%</w:t>
            </w:r>
          </w:p>
        </w:tc>
        <w:tc>
          <w:tcPr>
            <w:tcW w:w="1134" w:type="dxa"/>
            <w:vAlign w:val="center"/>
          </w:tcPr>
          <w:p w:rsidR="00401818" w:rsidRPr="004F4E4E" w:rsidRDefault="00401818" w:rsidP="00E960F1">
            <w:pPr>
              <w:pStyle w:val="Tabletext"/>
              <w:jc w:val="right"/>
            </w:pPr>
            <w:r w:rsidRPr="004F4E4E">
              <w:t>4%</w:t>
            </w:r>
          </w:p>
        </w:tc>
        <w:tc>
          <w:tcPr>
            <w:tcW w:w="1134" w:type="dxa"/>
            <w:vAlign w:val="center"/>
          </w:tcPr>
          <w:p w:rsidR="00401818" w:rsidRPr="004F4E4E" w:rsidRDefault="00401818" w:rsidP="00E960F1">
            <w:pPr>
              <w:pStyle w:val="Tabletext"/>
              <w:jc w:val="right"/>
            </w:pPr>
            <w:r w:rsidRPr="004F4E4E">
              <w:t>14%</w:t>
            </w:r>
          </w:p>
        </w:tc>
        <w:tc>
          <w:tcPr>
            <w:tcW w:w="1134" w:type="dxa"/>
            <w:vAlign w:val="center"/>
          </w:tcPr>
          <w:p w:rsidR="00401818" w:rsidRPr="003521D4" w:rsidRDefault="00401818" w:rsidP="00E960F1">
            <w:pPr>
              <w:pStyle w:val="Tabletext"/>
              <w:jc w:val="right"/>
            </w:pPr>
            <w:r w:rsidRPr="003521D4">
              <w:t>11%</w:t>
            </w:r>
          </w:p>
        </w:tc>
      </w:tr>
      <w:tr w:rsidR="00401818" w:rsidTr="00E960F1">
        <w:tc>
          <w:tcPr>
            <w:tcW w:w="2381" w:type="dxa"/>
          </w:tcPr>
          <w:p w:rsidR="00401818" w:rsidRPr="00D64225" w:rsidRDefault="00401818" w:rsidP="00401818">
            <w:pPr>
              <w:pStyle w:val="Tabletext"/>
            </w:pPr>
            <w:r w:rsidRPr="00D64225">
              <w:t>Other mechanisms</w:t>
            </w:r>
          </w:p>
        </w:tc>
        <w:tc>
          <w:tcPr>
            <w:tcW w:w="1191" w:type="dxa"/>
            <w:vAlign w:val="center"/>
          </w:tcPr>
          <w:p w:rsidR="00401818" w:rsidRPr="004F4E4E" w:rsidRDefault="00401818" w:rsidP="00E960F1">
            <w:pPr>
              <w:pStyle w:val="Tabletext"/>
              <w:jc w:val="right"/>
            </w:pPr>
            <w:r w:rsidRPr="004F4E4E">
              <w:t>13%</w:t>
            </w:r>
          </w:p>
        </w:tc>
        <w:tc>
          <w:tcPr>
            <w:tcW w:w="1134" w:type="dxa"/>
            <w:vAlign w:val="center"/>
          </w:tcPr>
          <w:p w:rsidR="00401818" w:rsidRPr="004F4E4E" w:rsidRDefault="00401818" w:rsidP="00E960F1">
            <w:pPr>
              <w:pStyle w:val="Tabletext"/>
              <w:jc w:val="right"/>
            </w:pPr>
            <w:r w:rsidRPr="004F4E4E">
              <w:t>18%</w:t>
            </w:r>
          </w:p>
        </w:tc>
        <w:tc>
          <w:tcPr>
            <w:tcW w:w="1247" w:type="dxa"/>
            <w:vAlign w:val="center"/>
          </w:tcPr>
          <w:p w:rsidR="00401818" w:rsidRPr="004F4E4E" w:rsidRDefault="00401818" w:rsidP="00E960F1">
            <w:pPr>
              <w:pStyle w:val="Tabletext"/>
              <w:jc w:val="right"/>
            </w:pPr>
            <w:r w:rsidRPr="004F4E4E">
              <w:t>18%</w:t>
            </w:r>
          </w:p>
        </w:tc>
        <w:tc>
          <w:tcPr>
            <w:tcW w:w="1134" w:type="dxa"/>
            <w:vAlign w:val="center"/>
          </w:tcPr>
          <w:p w:rsidR="00401818" w:rsidRPr="004F4E4E" w:rsidRDefault="00401818" w:rsidP="00E960F1">
            <w:pPr>
              <w:pStyle w:val="Tabletext"/>
              <w:jc w:val="right"/>
            </w:pPr>
            <w:r w:rsidRPr="004F4E4E">
              <w:t>19%</w:t>
            </w:r>
          </w:p>
        </w:tc>
        <w:tc>
          <w:tcPr>
            <w:tcW w:w="1134" w:type="dxa"/>
            <w:vAlign w:val="center"/>
          </w:tcPr>
          <w:p w:rsidR="00401818" w:rsidRPr="004F4E4E" w:rsidRDefault="00401818" w:rsidP="00E960F1">
            <w:pPr>
              <w:pStyle w:val="Tabletext"/>
              <w:jc w:val="right"/>
            </w:pPr>
            <w:r w:rsidRPr="004F4E4E">
              <w:t>33%</w:t>
            </w:r>
          </w:p>
        </w:tc>
        <w:tc>
          <w:tcPr>
            <w:tcW w:w="1134" w:type="dxa"/>
            <w:vAlign w:val="center"/>
          </w:tcPr>
          <w:p w:rsidR="00401818" w:rsidRPr="004F4E4E" w:rsidRDefault="00401818" w:rsidP="00E960F1">
            <w:pPr>
              <w:pStyle w:val="Tabletext"/>
              <w:jc w:val="right"/>
            </w:pPr>
            <w:r w:rsidRPr="004F4E4E">
              <w:t>7%</w:t>
            </w:r>
          </w:p>
        </w:tc>
        <w:tc>
          <w:tcPr>
            <w:tcW w:w="1134" w:type="dxa"/>
            <w:vAlign w:val="center"/>
          </w:tcPr>
          <w:p w:rsidR="00401818" w:rsidRPr="003521D4" w:rsidRDefault="00401818" w:rsidP="00E960F1">
            <w:pPr>
              <w:pStyle w:val="Tabletext"/>
              <w:jc w:val="right"/>
            </w:pPr>
            <w:r w:rsidRPr="003521D4">
              <w:t>17%</w:t>
            </w:r>
          </w:p>
        </w:tc>
      </w:tr>
      <w:tr w:rsidR="00401818" w:rsidRPr="00401818" w:rsidTr="00E960F1">
        <w:tc>
          <w:tcPr>
            <w:tcW w:w="2381" w:type="dxa"/>
          </w:tcPr>
          <w:p w:rsidR="00401818" w:rsidRPr="00401818" w:rsidRDefault="00401818" w:rsidP="00401818">
            <w:pPr>
              <w:pStyle w:val="Tabletext"/>
              <w:rPr>
                <w:b/>
              </w:rPr>
            </w:pPr>
            <w:r w:rsidRPr="00401818">
              <w:rPr>
                <w:b/>
              </w:rPr>
              <w:t>Total</w:t>
            </w:r>
          </w:p>
        </w:tc>
        <w:tc>
          <w:tcPr>
            <w:tcW w:w="1191" w:type="dxa"/>
            <w:vAlign w:val="center"/>
          </w:tcPr>
          <w:p w:rsidR="00401818" w:rsidRPr="00401818" w:rsidRDefault="00401818" w:rsidP="00E960F1">
            <w:pPr>
              <w:pStyle w:val="Tabletext"/>
              <w:jc w:val="right"/>
              <w:rPr>
                <w:b/>
              </w:rPr>
            </w:pPr>
            <w:r w:rsidRPr="00401818">
              <w:rPr>
                <w:b/>
              </w:rPr>
              <w:t>100%</w:t>
            </w:r>
          </w:p>
        </w:tc>
        <w:tc>
          <w:tcPr>
            <w:tcW w:w="1134" w:type="dxa"/>
            <w:vAlign w:val="center"/>
          </w:tcPr>
          <w:p w:rsidR="00401818" w:rsidRPr="00401818" w:rsidRDefault="00401818" w:rsidP="00E960F1">
            <w:pPr>
              <w:pStyle w:val="Tabletext"/>
              <w:jc w:val="right"/>
              <w:rPr>
                <w:b/>
              </w:rPr>
            </w:pPr>
            <w:r w:rsidRPr="00401818">
              <w:rPr>
                <w:b/>
              </w:rPr>
              <w:t>100%</w:t>
            </w:r>
          </w:p>
        </w:tc>
        <w:tc>
          <w:tcPr>
            <w:tcW w:w="1247" w:type="dxa"/>
            <w:vAlign w:val="center"/>
          </w:tcPr>
          <w:p w:rsidR="00401818" w:rsidRPr="00401818" w:rsidRDefault="00401818" w:rsidP="00E960F1">
            <w:pPr>
              <w:pStyle w:val="Tabletext"/>
              <w:jc w:val="right"/>
              <w:rPr>
                <w:b/>
              </w:rPr>
            </w:pPr>
            <w:r w:rsidRPr="00401818">
              <w:rPr>
                <w:b/>
              </w:rPr>
              <w:t>100%</w:t>
            </w:r>
          </w:p>
        </w:tc>
        <w:tc>
          <w:tcPr>
            <w:tcW w:w="1134" w:type="dxa"/>
            <w:vAlign w:val="center"/>
          </w:tcPr>
          <w:p w:rsidR="00401818" w:rsidRPr="00401818" w:rsidRDefault="00401818" w:rsidP="00E960F1">
            <w:pPr>
              <w:pStyle w:val="Tabletext"/>
              <w:jc w:val="right"/>
              <w:rPr>
                <w:b/>
              </w:rPr>
            </w:pPr>
            <w:r w:rsidRPr="00401818">
              <w:rPr>
                <w:b/>
              </w:rPr>
              <w:t>100%</w:t>
            </w:r>
          </w:p>
        </w:tc>
        <w:tc>
          <w:tcPr>
            <w:tcW w:w="1134" w:type="dxa"/>
            <w:vAlign w:val="center"/>
          </w:tcPr>
          <w:p w:rsidR="00401818" w:rsidRPr="00401818" w:rsidRDefault="00401818" w:rsidP="00E960F1">
            <w:pPr>
              <w:pStyle w:val="Tabletext"/>
              <w:jc w:val="right"/>
              <w:rPr>
                <w:b/>
              </w:rPr>
            </w:pPr>
            <w:r w:rsidRPr="00401818">
              <w:rPr>
                <w:b/>
              </w:rPr>
              <w:t>100%</w:t>
            </w:r>
          </w:p>
        </w:tc>
        <w:tc>
          <w:tcPr>
            <w:tcW w:w="1134" w:type="dxa"/>
            <w:vAlign w:val="center"/>
          </w:tcPr>
          <w:p w:rsidR="00401818" w:rsidRPr="00401818" w:rsidRDefault="00401818" w:rsidP="00E960F1">
            <w:pPr>
              <w:pStyle w:val="Tabletext"/>
              <w:jc w:val="right"/>
              <w:rPr>
                <w:b/>
              </w:rPr>
            </w:pPr>
            <w:r w:rsidRPr="00401818">
              <w:rPr>
                <w:b/>
              </w:rPr>
              <w:t>100%</w:t>
            </w:r>
          </w:p>
        </w:tc>
        <w:tc>
          <w:tcPr>
            <w:tcW w:w="1134" w:type="dxa"/>
            <w:vAlign w:val="center"/>
          </w:tcPr>
          <w:p w:rsidR="00401818" w:rsidRPr="00401818" w:rsidRDefault="00401818" w:rsidP="00E960F1">
            <w:pPr>
              <w:pStyle w:val="Tabletext"/>
              <w:jc w:val="right"/>
              <w:rPr>
                <w:b/>
              </w:rPr>
            </w:pPr>
            <w:r w:rsidRPr="00401818">
              <w:rPr>
                <w:b/>
              </w:rPr>
              <w:t>100%</w:t>
            </w:r>
          </w:p>
        </w:tc>
      </w:tr>
    </w:tbl>
    <w:p w:rsidR="008D2828" w:rsidRDefault="008D2828" w:rsidP="008D2828">
      <w:pPr>
        <w:pStyle w:val="Footnote"/>
        <w:ind w:left="0"/>
      </w:pPr>
      <w:proofErr w:type="gramStart"/>
      <w:r>
        <w:rPr>
          <w:vertAlign w:val="superscript"/>
        </w:rPr>
        <w:t>a</w:t>
      </w:r>
      <w:proofErr w:type="gramEnd"/>
      <w:r>
        <w:t xml:space="preserve"> Data are not shown for the Northern Territory or the Australian Capital Territory due to the small numbers involved.</w:t>
      </w:r>
    </w:p>
    <w:p w:rsidR="008D2828" w:rsidRPr="008D2828" w:rsidRDefault="008D2828" w:rsidP="00513A50">
      <w:pPr>
        <w:pStyle w:val="BodyText1"/>
      </w:pPr>
      <w:r w:rsidRPr="008D2828">
        <w:t>Figure 6 shows the impact of taking into account the number of workers in each state. These data indicate that construction workers in New South Wales had a fatality rate due to falls from a height 45% higher than Victoria and 41% higher than in Queensland.</w:t>
      </w:r>
    </w:p>
    <w:p w:rsidR="008D2828" w:rsidRPr="008D2828" w:rsidRDefault="008D2828" w:rsidP="00513A50">
      <w:pPr>
        <w:pStyle w:val="BodyText1"/>
      </w:pPr>
      <w:r w:rsidRPr="008D2828">
        <w:t>Fatality rates for other states and mechanisms have not been shown due to the small numbers involved.</w:t>
      </w:r>
    </w:p>
    <w:p w:rsidR="008D2828" w:rsidRDefault="008D2828" w:rsidP="00982F9F">
      <w:pPr>
        <w:pStyle w:val="Figureheadings"/>
      </w:pPr>
      <w:r>
        <w:t>Figure 6: Worker fatalities in the construction industry: fatality rates for selected states and mechanisms, 2003 to 2013 combined</w:t>
      </w:r>
    </w:p>
    <w:p w:rsidR="008D2828" w:rsidRDefault="00401818" w:rsidP="008D2828">
      <w:r>
        <w:rPr>
          <w:noProof/>
        </w:rPr>
        <w:drawing>
          <wp:inline distT="0" distB="0" distL="0" distR="0" wp14:anchorId="2BA7F5DD" wp14:editId="658FF108">
            <wp:extent cx="4572000" cy="2743200"/>
            <wp:effectExtent l="0" t="0" r="0" b="0"/>
            <wp:docPr id="6" name="Chart 6" descr="Fatality rates" title="Figure 6: Worker fatalities in the construction industry: fatality rates for selected states and mechanisms, 2003 to 2013 combin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D72B2" w:rsidRDefault="008D72B2">
      <w:pPr>
        <w:rPr>
          <w:rFonts w:ascii="Arial" w:eastAsiaTheme="majorEastAsia" w:hAnsi="Arial" w:cs="Arial"/>
          <w:b/>
          <w:bCs/>
          <w:color w:val="0070C0"/>
          <w:sz w:val="36"/>
          <w:szCs w:val="26"/>
          <w:lang w:val="en-US"/>
        </w:rPr>
      </w:pPr>
      <w:r>
        <w:br w:type="page"/>
      </w:r>
    </w:p>
    <w:p w:rsidR="008D2828" w:rsidRDefault="00982F9F" w:rsidP="00257F90">
      <w:pPr>
        <w:pStyle w:val="Heading2"/>
      </w:pPr>
      <w:bookmarkStart w:id="19" w:name="_Toc427590850"/>
      <w:r>
        <w:t>Fatalities by breakdown agency</w:t>
      </w:r>
      <w:bookmarkEnd w:id="19"/>
    </w:p>
    <w:p w:rsidR="008D2828" w:rsidRPr="008D2828" w:rsidRDefault="008D2828" w:rsidP="00513A50">
      <w:pPr>
        <w:pStyle w:val="BodyText1"/>
      </w:pPr>
      <w:r w:rsidRPr="008D2828">
        <w:t xml:space="preserve">The breakdown agency describes the object or substance that led to the most serious injury. Table 14 shows the breakdown agency associated with the highest number of fatalities is mobile plant &amp; transport, which accounted for 37% of fatalities in the construction industry over the 2003–13 </w:t>
      </w:r>
      <w:proofErr w:type="gramStart"/>
      <w:r w:rsidRPr="008D2828">
        <w:t>period</w:t>
      </w:r>
      <w:proofErr w:type="gramEnd"/>
      <w:r w:rsidRPr="008D2828">
        <w:t xml:space="preserve">. Vehicle collisions involving trucks, semi-trailers, </w:t>
      </w:r>
      <w:proofErr w:type="gramStart"/>
      <w:r w:rsidRPr="008D2828">
        <w:t>lorries</w:t>
      </w:r>
      <w:proofErr w:type="gramEnd"/>
      <w:r w:rsidRPr="008D2828">
        <w:t xml:space="preserve"> and cars, station wagons, vans, utilities accounted for 51 of the 148 fatalities in this category. </w:t>
      </w:r>
      <w:proofErr w:type="gramStart"/>
      <w:r w:rsidRPr="008D2828">
        <w:t>Hit by moving object, of which many involved trucks and cars, accounted for a further 24 fatalities.</w:t>
      </w:r>
      <w:proofErr w:type="gramEnd"/>
    </w:p>
    <w:p w:rsidR="008D2828" w:rsidRPr="008D2828" w:rsidRDefault="008D2828" w:rsidP="00513A50">
      <w:pPr>
        <w:pStyle w:val="BodyText1"/>
      </w:pPr>
      <w:r w:rsidRPr="008D2828">
        <w:t>Natural and man-made structures come under the environmental agencies group, with 53 of the 85 fatalities in this category due to falls from a height from buildings &amp; other structures.</w:t>
      </w:r>
    </w:p>
    <w:p w:rsidR="008D2828" w:rsidRPr="008D2828" w:rsidRDefault="008D2828" w:rsidP="00513A50">
      <w:pPr>
        <w:pStyle w:val="BodyText1"/>
      </w:pPr>
      <w:r w:rsidRPr="008D2828">
        <w:t>Within the machinery &amp; (mainly) fixed plant category 40 of the 76 fatalities were due to contact with electricity while working on electrical installations.</w:t>
      </w:r>
    </w:p>
    <w:p w:rsidR="008D2828" w:rsidRPr="008D2828" w:rsidRDefault="008D2828" w:rsidP="00513A50">
      <w:pPr>
        <w:pStyle w:val="BodyText1"/>
      </w:pPr>
      <w:r w:rsidRPr="008D2828">
        <w:t xml:space="preserve">Fatalities involving non-powered </w:t>
      </w:r>
      <w:proofErr w:type="spellStart"/>
      <w:r w:rsidRPr="008D2828">
        <w:t>handtools</w:t>
      </w:r>
      <w:proofErr w:type="spellEnd"/>
      <w:r w:rsidRPr="008D2828">
        <w:t>, appliances &amp; equipment were due to falls from a height from ladders or scaffolding in 39 of the 55 cases.</w:t>
      </w:r>
    </w:p>
    <w:p w:rsidR="007A509C" w:rsidRDefault="007A509C" w:rsidP="00982F9F">
      <w:pPr>
        <w:pStyle w:val="Tableheading"/>
      </w:pPr>
      <w:r>
        <w:t>Table 14: Worker fatalities in the construction industry: number and percentage by breakdown agency and mechanism of incident, 2003 to 2013 combined</w:t>
      </w:r>
    </w:p>
    <w:tbl>
      <w:tblPr>
        <w:tblStyle w:val="TableGrid"/>
        <w:tblW w:w="0" w:type="auto"/>
        <w:tblLook w:val="04A0" w:firstRow="1" w:lastRow="0" w:firstColumn="1" w:lastColumn="0" w:noHBand="0" w:noVBand="1"/>
        <w:tblCaption w:val="Table 14: Worker fatalities in the construction industry: number and percentage by breakdown agency and mechanism of incident, 2003 to 2013 combined"/>
        <w:tblDescription w:val="Table 14 shows the breakdown agency associated with the highest number of fatalities is mobile plant &amp; transport, which accounted for 37% of fatalities in the construction industry over the 2003–13 period. "/>
      </w:tblPr>
      <w:tblGrid>
        <w:gridCol w:w="5046"/>
        <w:gridCol w:w="1701"/>
        <w:gridCol w:w="1701"/>
      </w:tblGrid>
      <w:tr w:rsidR="00F5592F" w:rsidTr="00715413">
        <w:trPr>
          <w:trHeight w:val="283"/>
          <w:tblHeader/>
        </w:trPr>
        <w:tc>
          <w:tcPr>
            <w:tcW w:w="5046" w:type="dxa"/>
            <w:shd w:val="clear" w:color="auto" w:fill="D9D9D9" w:themeFill="background1" w:themeFillShade="D9"/>
            <w:vAlign w:val="center"/>
          </w:tcPr>
          <w:p w:rsidR="003C6C21" w:rsidRDefault="003C6C21" w:rsidP="003C6C21">
            <w:pPr>
              <w:pStyle w:val="Tableheaderrow"/>
              <w:jc w:val="left"/>
            </w:pPr>
            <w:r>
              <w:t>Breakdown agency/Mechanism of incident</w:t>
            </w:r>
          </w:p>
        </w:tc>
        <w:tc>
          <w:tcPr>
            <w:tcW w:w="1701" w:type="dxa"/>
            <w:shd w:val="clear" w:color="auto" w:fill="D9D9D9" w:themeFill="background1" w:themeFillShade="D9"/>
            <w:vAlign w:val="center"/>
          </w:tcPr>
          <w:p w:rsidR="003C6C21" w:rsidRDefault="003C6C21" w:rsidP="00E960F1">
            <w:pPr>
              <w:pStyle w:val="Tableheaderrow"/>
              <w:jc w:val="right"/>
            </w:pPr>
            <w:r>
              <w:t>No. of fatalities</w:t>
            </w:r>
          </w:p>
        </w:tc>
        <w:tc>
          <w:tcPr>
            <w:tcW w:w="1701" w:type="dxa"/>
            <w:shd w:val="clear" w:color="auto" w:fill="D9D9D9" w:themeFill="background1" w:themeFillShade="D9"/>
            <w:vAlign w:val="center"/>
          </w:tcPr>
          <w:p w:rsidR="003C6C21" w:rsidRDefault="003C6C21" w:rsidP="00E960F1">
            <w:pPr>
              <w:pStyle w:val="Tableheaderrow"/>
              <w:jc w:val="right"/>
            </w:pPr>
            <w:r>
              <w:t>% of total</w:t>
            </w:r>
          </w:p>
        </w:tc>
      </w:tr>
      <w:tr w:rsidR="003C6C21" w:rsidTr="00E960F1">
        <w:tc>
          <w:tcPr>
            <w:tcW w:w="5046" w:type="dxa"/>
          </w:tcPr>
          <w:p w:rsidR="003C6C21" w:rsidRPr="00A0635D" w:rsidRDefault="003C6C21" w:rsidP="003C6C21">
            <w:pPr>
              <w:pStyle w:val="Tablerowheadings"/>
            </w:pPr>
            <w:r w:rsidRPr="00A0635D">
              <w:t>Mobile plant &amp; transport</w:t>
            </w:r>
          </w:p>
        </w:tc>
        <w:tc>
          <w:tcPr>
            <w:tcW w:w="1701" w:type="dxa"/>
            <w:vAlign w:val="center"/>
          </w:tcPr>
          <w:p w:rsidR="003C6C21" w:rsidRPr="00A0635D" w:rsidRDefault="003C6C21" w:rsidP="00E960F1">
            <w:pPr>
              <w:pStyle w:val="Tablerowheadings"/>
              <w:jc w:val="right"/>
            </w:pPr>
            <w:r w:rsidRPr="00A0635D">
              <w:t>148</w:t>
            </w:r>
          </w:p>
        </w:tc>
        <w:tc>
          <w:tcPr>
            <w:tcW w:w="1701" w:type="dxa"/>
            <w:vAlign w:val="center"/>
          </w:tcPr>
          <w:p w:rsidR="003C6C21" w:rsidRPr="00A0635D" w:rsidRDefault="003C6C21" w:rsidP="00E960F1">
            <w:pPr>
              <w:pStyle w:val="Tablerowheadings"/>
              <w:jc w:val="right"/>
            </w:pPr>
            <w:r w:rsidRPr="00A0635D">
              <w:t>37%</w:t>
            </w:r>
          </w:p>
        </w:tc>
      </w:tr>
      <w:tr w:rsidR="003C6C21" w:rsidTr="00E960F1">
        <w:tc>
          <w:tcPr>
            <w:tcW w:w="5046" w:type="dxa"/>
          </w:tcPr>
          <w:p w:rsidR="003C6C21" w:rsidRPr="00A0635D" w:rsidRDefault="003C6C21" w:rsidP="003C6C21">
            <w:pPr>
              <w:pStyle w:val="Tabletext"/>
            </w:pPr>
            <w:r w:rsidRPr="00A0635D">
              <w:t>Trucks, semi-trailers, lorries</w:t>
            </w:r>
          </w:p>
        </w:tc>
        <w:tc>
          <w:tcPr>
            <w:tcW w:w="1701" w:type="dxa"/>
            <w:vAlign w:val="center"/>
          </w:tcPr>
          <w:p w:rsidR="003C6C21" w:rsidRPr="00A0635D" w:rsidRDefault="003C6C21" w:rsidP="00E960F1">
            <w:pPr>
              <w:pStyle w:val="Tabletext"/>
              <w:jc w:val="right"/>
            </w:pPr>
            <w:r w:rsidRPr="00A0635D">
              <w:t>42</w:t>
            </w:r>
          </w:p>
        </w:tc>
        <w:tc>
          <w:tcPr>
            <w:tcW w:w="1701" w:type="dxa"/>
            <w:vAlign w:val="center"/>
          </w:tcPr>
          <w:p w:rsidR="003C6C21" w:rsidRPr="00A0635D" w:rsidRDefault="003C6C21" w:rsidP="00E960F1">
            <w:pPr>
              <w:pStyle w:val="Tabletext"/>
              <w:jc w:val="right"/>
            </w:pPr>
            <w:r w:rsidRPr="00A0635D">
              <w:t>10%</w:t>
            </w:r>
          </w:p>
        </w:tc>
      </w:tr>
      <w:tr w:rsidR="003C6C21" w:rsidRPr="00F5592F" w:rsidTr="00E960F1">
        <w:tc>
          <w:tcPr>
            <w:tcW w:w="5046" w:type="dxa"/>
          </w:tcPr>
          <w:p w:rsidR="003C6C21" w:rsidRPr="00F5592F" w:rsidRDefault="003C6C21" w:rsidP="003C6C21">
            <w:pPr>
              <w:pStyle w:val="Tabletext"/>
              <w:rPr>
                <w:i/>
              </w:rPr>
            </w:pPr>
            <w:r w:rsidRPr="00F5592F">
              <w:rPr>
                <w:i/>
              </w:rPr>
              <w:t>Vehicle collision</w:t>
            </w:r>
          </w:p>
        </w:tc>
        <w:tc>
          <w:tcPr>
            <w:tcW w:w="1701" w:type="dxa"/>
            <w:vAlign w:val="center"/>
          </w:tcPr>
          <w:p w:rsidR="003C6C21" w:rsidRPr="00F5592F" w:rsidRDefault="003C6C21" w:rsidP="00E960F1">
            <w:pPr>
              <w:pStyle w:val="Tabletext"/>
              <w:jc w:val="right"/>
              <w:rPr>
                <w:i/>
              </w:rPr>
            </w:pPr>
            <w:r w:rsidRPr="00F5592F">
              <w:rPr>
                <w:i/>
              </w:rPr>
              <w:t>19</w:t>
            </w:r>
          </w:p>
        </w:tc>
        <w:tc>
          <w:tcPr>
            <w:tcW w:w="1701" w:type="dxa"/>
            <w:vAlign w:val="center"/>
          </w:tcPr>
          <w:p w:rsidR="003C6C21" w:rsidRPr="00F5592F" w:rsidRDefault="003C6C21" w:rsidP="00E960F1">
            <w:pPr>
              <w:pStyle w:val="Tabletext"/>
              <w:jc w:val="right"/>
              <w:rPr>
                <w:i/>
              </w:rPr>
            </w:pPr>
            <w:r w:rsidRPr="00F5592F">
              <w:rPr>
                <w:i/>
              </w:rPr>
              <w:t>5%</w:t>
            </w:r>
          </w:p>
        </w:tc>
      </w:tr>
      <w:tr w:rsidR="003C6C21" w:rsidRPr="00F5592F" w:rsidTr="00E960F1">
        <w:tc>
          <w:tcPr>
            <w:tcW w:w="5046" w:type="dxa"/>
          </w:tcPr>
          <w:p w:rsidR="003C6C21" w:rsidRPr="00F5592F" w:rsidRDefault="003C6C21" w:rsidP="003C6C21">
            <w:pPr>
              <w:pStyle w:val="Tabletext"/>
              <w:rPr>
                <w:i/>
              </w:rPr>
            </w:pPr>
            <w:r w:rsidRPr="00F5592F">
              <w:rPr>
                <w:i/>
              </w:rPr>
              <w:t>Hit by moving object</w:t>
            </w:r>
          </w:p>
        </w:tc>
        <w:tc>
          <w:tcPr>
            <w:tcW w:w="1701" w:type="dxa"/>
            <w:vAlign w:val="center"/>
          </w:tcPr>
          <w:p w:rsidR="003C6C21" w:rsidRPr="00F5592F" w:rsidRDefault="003C6C21" w:rsidP="00E960F1">
            <w:pPr>
              <w:pStyle w:val="Tabletext"/>
              <w:jc w:val="right"/>
              <w:rPr>
                <w:i/>
              </w:rPr>
            </w:pPr>
            <w:r w:rsidRPr="00F5592F">
              <w:rPr>
                <w:i/>
              </w:rPr>
              <w:t>13</w:t>
            </w:r>
          </w:p>
        </w:tc>
        <w:tc>
          <w:tcPr>
            <w:tcW w:w="1701" w:type="dxa"/>
            <w:vAlign w:val="center"/>
          </w:tcPr>
          <w:p w:rsidR="003C6C21" w:rsidRPr="00F5592F" w:rsidRDefault="003C6C21" w:rsidP="00E960F1">
            <w:pPr>
              <w:pStyle w:val="Tabletext"/>
              <w:jc w:val="right"/>
              <w:rPr>
                <w:i/>
              </w:rPr>
            </w:pPr>
            <w:r w:rsidRPr="00F5592F">
              <w:rPr>
                <w:i/>
              </w:rPr>
              <w:t>3%</w:t>
            </w:r>
          </w:p>
        </w:tc>
      </w:tr>
      <w:tr w:rsidR="003C6C21" w:rsidTr="00E960F1">
        <w:tc>
          <w:tcPr>
            <w:tcW w:w="5046" w:type="dxa"/>
          </w:tcPr>
          <w:p w:rsidR="003C6C21" w:rsidRPr="00A0635D" w:rsidRDefault="003C6C21" w:rsidP="003C6C21">
            <w:pPr>
              <w:pStyle w:val="Tabletext"/>
            </w:pPr>
            <w:r w:rsidRPr="00A0635D">
              <w:t>Cars, station wagons, vans, utilities</w:t>
            </w:r>
          </w:p>
        </w:tc>
        <w:tc>
          <w:tcPr>
            <w:tcW w:w="1701" w:type="dxa"/>
            <w:vAlign w:val="center"/>
          </w:tcPr>
          <w:p w:rsidR="003C6C21" w:rsidRPr="00A0635D" w:rsidRDefault="003C6C21" w:rsidP="00E960F1">
            <w:pPr>
              <w:pStyle w:val="Tabletext"/>
              <w:jc w:val="right"/>
            </w:pPr>
            <w:r w:rsidRPr="00A0635D">
              <w:t>38</w:t>
            </w:r>
          </w:p>
        </w:tc>
        <w:tc>
          <w:tcPr>
            <w:tcW w:w="1701" w:type="dxa"/>
            <w:vAlign w:val="center"/>
          </w:tcPr>
          <w:p w:rsidR="003C6C21" w:rsidRPr="00A0635D" w:rsidRDefault="003C6C21" w:rsidP="00E960F1">
            <w:pPr>
              <w:pStyle w:val="Tabletext"/>
              <w:jc w:val="right"/>
            </w:pPr>
            <w:r w:rsidRPr="00A0635D">
              <w:t>9%</w:t>
            </w:r>
          </w:p>
        </w:tc>
      </w:tr>
      <w:tr w:rsidR="003C6C21" w:rsidRPr="00F5592F" w:rsidTr="00E960F1">
        <w:tc>
          <w:tcPr>
            <w:tcW w:w="5046" w:type="dxa"/>
          </w:tcPr>
          <w:p w:rsidR="003C6C21" w:rsidRPr="00F5592F" w:rsidRDefault="003C6C21" w:rsidP="003C6C21">
            <w:pPr>
              <w:pStyle w:val="Tabletext"/>
              <w:rPr>
                <w:i/>
              </w:rPr>
            </w:pPr>
            <w:r w:rsidRPr="00F5592F">
              <w:rPr>
                <w:i/>
              </w:rPr>
              <w:t>Vehicle collision</w:t>
            </w:r>
          </w:p>
        </w:tc>
        <w:tc>
          <w:tcPr>
            <w:tcW w:w="1701" w:type="dxa"/>
            <w:vAlign w:val="center"/>
          </w:tcPr>
          <w:p w:rsidR="003C6C21" w:rsidRPr="00F5592F" w:rsidRDefault="003C6C21" w:rsidP="00E960F1">
            <w:pPr>
              <w:pStyle w:val="Tabletext"/>
              <w:jc w:val="right"/>
              <w:rPr>
                <w:i/>
              </w:rPr>
            </w:pPr>
            <w:r w:rsidRPr="00F5592F">
              <w:rPr>
                <w:i/>
              </w:rPr>
              <w:t>32</w:t>
            </w:r>
          </w:p>
        </w:tc>
        <w:tc>
          <w:tcPr>
            <w:tcW w:w="1701" w:type="dxa"/>
            <w:vAlign w:val="center"/>
          </w:tcPr>
          <w:p w:rsidR="003C6C21" w:rsidRPr="00F5592F" w:rsidRDefault="003C6C21" w:rsidP="00E960F1">
            <w:pPr>
              <w:pStyle w:val="Tabletext"/>
              <w:jc w:val="right"/>
              <w:rPr>
                <w:i/>
              </w:rPr>
            </w:pPr>
            <w:r w:rsidRPr="00F5592F">
              <w:rPr>
                <w:i/>
              </w:rPr>
              <w:t>8%</w:t>
            </w:r>
          </w:p>
        </w:tc>
      </w:tr>
      <w:tr w:rsidR="003C6C21" w:rsidTr="00E960F1">
        <w:tc>
          <w:tcPr>
            <w:tcW w:w="5046" w:type="dxa"/>
          </w:tcPr>
          <w:p w:rsidR="003C6C21" w:rsidRPr="00A0635D" w:rsidRDefault="003C6C21" w:rsidP="003C6C21">
            <w:pPr>
              <w:pStyle w:val="Tabletext"/>
            </w:pPr>
            <w:r w:rsidRPr="00A0635D">
              <w:t>Self-propelled plant</w:t>
            </w:r>
          </w:p>
        </w:tc>
        <w:tc>
          <w:tcPr>
            <w:tcW w:w="1701" w:type="dxa"/>
            <w:vAlign w:val="center"/>
          </w:tcPr>
          <w:p w:rsidR="003C6C21" w:rsidRPr="00A0635D" w:rsidRDefault="003C6C21" w:rsidP="00E960F1">
            <w:pPr>
              <w:pStyle w:val="Tabletext"/>
              <w:jc w:val="right"/>
            </w:pPr>
            <w:r w:rsidRPr="00A0635D">
              <w:t>36</w:t>
            </w:r>
          </w:p>
        </w:tc>
        <w:tc>
          <w:tcPr>
            <w:tcW w:w="1701" w:type="dxa"/>
            <w:vAlign w:val="center"/>
          </w:tcPr>
          <w:p w:rsidR="003C6C21" w:rsidRPr="00A0635D" w:rsidRDefault="003C6C21" w:rsidP="00E960F1">
            <w:pPr>
              <w:pStyle w:val="Tabletext"/>
              <w:jc w:val="right"/>
            </w:pPr>
            <w:r w:rsidRPr="00A0635D">
              <w:t>9%</w:t>
            </w:r>
          </w:p>
        </w:tc>
      </w:tr>
      <w:tr w:rsidR="003C6C21" w:rsidRPr="00F5592F" w:rsidTr="00E960F1">
        <w:tc>
          <w:tcPr>
            <w:tcW w:w="5046" w:type="dxa"/>
          </w:tcPr>
          <w:p w:rsidR="003C6C21" w:rsidRPr="00F5592F" w:rsidRDefault="003C6C21" w:rsidP="003C6C21">
            <w:pPr>
              <w:pStyle w:val="Tabletext"/>
              <w:rPr>
                <w:i/>
              </w:rPr>
            </w:pPr>
            <w:r w:rsidRPr="00F5592F">
              <w:rPr>
                <w:i/>
              </w:rPr>
              <w:t>Hit by moving object</w:t>
            </w:r>
          </w:p>
        </w:tc>
        <w:tc>
          <w:tcPr>
            <w:tcW w:w="1701" w:type="dxa"/>
            <w:vAlign w:val="center"/>
          </w:tcPr>
          <w:p w:rsidR="003C6C21" w:rsidRPr="00F5592F" w:rsidRDefault="003C6C21" w:rsidP="00E960F1">
            <w:pPr>
              <w:pStyle w:val="Tabletext"/>
              <w:jc w:val="right"/>
              <w:rPr>
                <w:i/>
              </w:rPr>
            </w:pPr>
            <w:r w:rsidRPr="00F5592F">
              <w:rPr>
                <w:i/>
              </w:rPr>
              <w:t>11</w:t>
            </w:r>
          </w:p>
        </w:tc>
        <w:tc>
          <w:tcPr>
            <w:tcW w:w="1701" w:type="dxa"/>
            <w:vAlign w:val="center"/>
          </w:tcPr>
          <w:p w:rsidR="003C6C21" w:rsidRPr="00F5592F" w:rsidRDefault="003C6C21" w:rsidP="00E960F1">
            <w:pPr>
              <w:pStyle w:val="Tabletext"/>
              <w:jc w:val="right"/>
              <w:rPr>
                <w:i/>
              </w:rPr>
            </w:pPr>
            <w:r w:rsidRPr="00F5592F">
              <w:rPr>
                <w:i/>
              </w:rPr>
              <w:t>3%</w:t>
            </w:r>
          </w:p>
        </w:tc>
      </w:tr>
      <w:tr w:rsidR="003C6C21" w:rsidRPr="00F5592F" w:rsidTr="00E960F1">
        <w:tc>
          <w:tcPr>
            <w:tcW w:w="5046" w:type="dxa"/>
          </w:tcPr>
          <w:p w:rsidR="003C6C21" w:rsidRPr="00F5592F" w:rsidRDefault="003C6C21" w:rsidP="003C6C21">
            <w:pPr>
              <w:pStyle w:val="Tabletext"/>
              <w:rPr>
                <w:i/>
              </w:rPr>
            </w:pPr>
            <w:r w:rsidRPr="00F5592F">
              <w:rPr>
                <w:i/>
              </w:rPr>
              <w:t>Roll over of non-road vehicle</w:t>
            </w:r>
          </w:p>
        </w:tc>
        <w:tc>
          <w:tcPr>
            <w:tcW w:w="1701" w:type="dxa"/>
            <w:vAlign w:val="center"/>
          </w:tcPr>
          <w:p w:rsidR="003C6C21" w:rsidRPr="00F5592F" w:rsidRDefault="003C6C21" w:rsidP="00E960F1">
            <w:pPr>
              <w:pStyle w:val="Tabletext"/>
              <w:jc w:val="right"/>
              <w:rPr>
                <w:i/>
              </w:rPr>
            </w:pPr>
            <w:r w:rsidRPr="00F5592F">
              <w:rPr>
                <w:i/>
              </w:rPr>
              <w:t>9</w:t>
            </w:r>
          </w:p>
        </w:tc>
        <w:tc>
          <w:tcPr>
            <w:tcW w:w="1701" w:type="dxa"/>
            <w:vAlign w:val="center"/>
          </w:tcPr>
          <w:p w:rsidR="003C6C21" w:rsidRPr="00F5592F" w:rsidRDefault="003C6C21" w:rsidP="00E960F1">
            <w:pPr>
              <w:pStyle w:val="Tabletext"/>
              <w:jc w:val="right"/>
              <w:rPr>
                <w:i/>
              </w:rPr>
            </w:pPr>
            <w:r w:rsidRPr="00F5592F">
              <w:rPr>
                <w:i/>
              </w:rPr>
              <w:t>2%</w:t>
            </w:r>
          </w:p>
        </w:tc>
      </w:tr>
      <w:tr w:rsidR="003C6C21" w:rsidRPr="00F5592F" w:rsidTr="00E960F1">
        <w:tc>
          <w:tcPr>
            <w:tcW w:w="5046" w:type="dxa"/>
          </w:tcPr>
          <w:p w:rsidR="003C6C21" w:rsidRPr="00F5592F" w:rsidRDefault="003C6C21" w:rsidP="003C6C21">
            <w:pPr>
              <w:pStyle w:val="Tabletext"/>
              <w:rPr>
                <w:i/>
              </w:rPr>
            </w:pPr>
            <w:r w:rsidRPr="00F5592F">
              <w:rPr>
                <w:i/>
              </w:rPr>
              <w:t>Being hit by falling objects</w:t>
            </w:r>
          </w:p>
        </w:tc>
        <w:tc>
          <w:tcPr>
            <w:tcW w:w="1701" w:type="dxa"/>
            <w:vAlign w:val="center"/>
          </w:tcPr>
          <w:p w:rsidR="003C6C21" w:rsidRPr="00F5592F" w:rsidRDefault="003C6C21" w:rsidP="00E960F1">
            <w:pPr>
              <w:pStyle w:val="Tabletext"/>
              <w:jc w:val="right"/>
              <w:rPr>
                <w:i/>
              </w:rPr>
            </w:pPr>
            <w:r w:rsidRPr="00F5592F">
              <w:rPr>
                <w:i/>
              </w:rPr>
              <w:t>7</w:t>
            </w:r>
          </w:p>
        </w:tc>
        <w:tc>
          <w:tcPr>
            <w:tcW w:w="1701" w:type="dxa"/>
            <w:vAlign w:val="center"/>
          </w:tcPr>
          <w:p w:rsidR="003C6C21" w:rsidRPr="00F5592F" w:rsidRDefault="003C6C21" w:rsidP="00E960F1">
            <w:pPr>
              <w:pStyle w:val="Tabletext"/>
              <w:jc w:val="right"/>
              <w:rPr>
                <w:i/>
              </w:rPr>
            </w:pPr>
            <w:r w:rsidRPr="00F5592F">
              <w:rPr>
                <w:i/>
              </w:rPr>
              <w:t>2%</w:t>
            </w:r>
          </w:p>
        </w:tc>
      </w:tr>
      <w:tr w:rsidR="003C6C21" w:rsidTr="00E960F1">
        <w:tc>
          <w:tcPr>
            <w:tcW w:w="5046" w:type="dxa"/>
          </w:tcPr>
          <w:p w:rsidR="003C6C21" w:rsidRPr="00A0635D" w:rsidRDefault="003C6C21" w:rsidP="003C6C21">
            <w:pPr>
              <w:pStyle w:val="Tablerowheadings"/>
            </w:pPr>
            <w:r w:rsidRPr="00A0635D">
              <w:t>Environmental agencies</w:t>
            </w:r>
          </w:p>
        </w:tc>
        <w:tc>
          <w:tcPr>
            <w:tcW w:w="1701" w:type="dxa"/>
            <w:vAlign w:val="center"/>
          </w:tcPr>
          <w:p w:rsidR="003C6C21" w:rsidRPr="00A0635D" w:rsidRDefault="003C6C21" w:rsidP="00E960F1">
            <w:pPr>
              <w:pStyle w:val="Tablerowheadings"/>
              <w:jc w:val="right"/>
            </w:pPr>
            <w:r w:rsidRPr="00A0635D">
              <w:t>85</w:t>
            </w:r>
          </w:p>
        </w:tc>
        <w:tc>
          <w:tcPr>
            <w:tcW w:w="1701" w:type="dxa"/>
            <w:vAlign w:val="center"/>
          </w:tcPr>
          <w:p w:rsidR="003C6C21" w:rsidRPr="00A0635D" w:rsidRDefault="003C6C21" w:rsidP="00E960F1">
            <w:pPr>
              <w:pStyle w:val="Tablerowheadings"/>
              <w:jc w:val="right"/>
            </w:pPr>
            <w:r w:rsidRPr="00A0635D">
              <w:t>21%</w:t>
            </w:r>
          </w:p>
        </w:tc>
      </w:tr>
      <w:tr w:rsidR="003C6C21" w:rsidTr="00E960F1">
        <w:tc>
          <w:tcPr>
            <w:tcW w:w="5046" w:type="dxa"/>
          </w:tcPr>
          <w:p w:rsidR="003C6C21" w:rsidRPr="00A0635D" w:rsidRDefault="003C6C21" w:rsidP="003C6C21">
            <w:pPr>
              <w:pStyle w:val="Tabletext"/>
            </w:pPr>
            <w:r w:rsidRPr="00A0635D">
              <w:t>Buildings and other structures</w:t>
            </w:r>
          </w:p>
        </w:tc>
        <w:tc>
          <w:tcPr>
            <w:tcW w:w="1701" w:type="dxa"/>
            <w:vAlign w:val="center"/>
          </w:tcPr>
          <w:p w:rsidR="003C6C21" w:rsidRPr="00A0635D" w:rsidRDefault="003C6C21" w:rsidP="00E960F1">
            <w:pPr>
              <w:pStyle w:val="Tabletext"/>
              <w:jc w:val="right"/>
            </w:pPr>
            <w:r w:rsidRPr="00A0635D">
              <w:t>61</w:t>
            </w:r>
          </w:p>
        </w:tc>
        <w:tc>
          <w:tcPr>
            <w:tcW w:w="1701" w:type="dxa"/>
            <w:vAlign w:val="center"/>
          </w:tcPr>
          <w:p w:rsidR="003C6C21" w:rsidRPr="00A0635D" w:rsidRDefault="003C6C21" w:rsidP="00E960F1">
            <w:pPr>
              <w:pStyle w:val="Tabletext"/>
              <w:jc w:val="right"/>
            </w:pPr>
            <w:r w:rsidRPr="00A0635D">
              <w:t>15%</w:t>
            </w:r>
          </w:p>
        </w:tc>
      </w:tr>
      <w:tr w:rsidR="003C6C21" w:rsidRPr="00F5592F" w:rsidTr="00E960F1">
        <w:tc>
          <w:tcPr>
            <w:tcW w:w="5046" w:type="dxa"/>
          </w:tcPr>
          <w:p w:rsidR="003C6C21" w:rsidRPr="00F5592F" w:rsidRDefault="003C6C21" w:rsidP="003C6C21">
            <w:pPr>
              <w:pStyle w:val="Tabletext"/>
              <w:rPr>
                <w:i/>
              </w:rPr>
            </w:pPr>
            <w:r w:rsidRPr="00F5592F">
              <w:rPr>
                <w:i/>
              </w:rPr>
              <w:t>Falls from a height</w:t>
            </w:r>
          </w:p>
        </w:tc>
        <w:tc>
          <w:tcPr>
            <w:tcW w:w="1701" w:type="dxa"/>
            <w:vAlign w:val="center"/>
          </w:tcPr>
          <w:p w:rsidR="003C6C21" w:rsidRPr="00F5592F" w:rsidRDefault="003C6C21" w:rsidP="00E960F1">
            <w:pPr>
              <w:pStyle w:val="Tabletext"/>
              <w:jc w:val="right"/>
              <w:rPr>
                <w:i/>
              </w:rPr>
            </w:pPr>
            <w:r w:rsidRPr="00F5592F">
              <w:rPr>
                <w:i/>
              </w:rPr>
              <w:t>53</w:t>
            </w:r>
          </w:p>
        </w:tc>
        <w:tc>
          <w:tcPr>
            <w:tcW w:w="1701" w:type="dxa"/>
            <w:vAlign w:val="center"/>
          </w:tcPr>
          <w:p w:rsidR="003C6C21" w:rsidRPr="00F5592F" w:rsidRDefault="003C6C21" w:rsidP="00E960F1">
            <w:pPr>
              <w:pStyle w:val="Tabletext"/>
              <w:jc w:val="right"/>
              <w:rPr>
                <w:i/>
              </w:rPr>
            </w:pPr>
            <w:r w:rsidRPr="00F5592F">
              <w:rPr>
                <w:i/>
              </w:rPr>
              <w:t>13%</w:t>
            </w:r>
          </w:p>
        </w:tc>
      </w:tr>
      <w:tr w:rsidR="003C6C21" w:rsidTr="00E960F1">
        <w:tc>
          <w:tcPr>
            <w:tcW w:w="5046" w:type="dxa"/>
          </w:tcPr>
          <w:p w:rsidR="003C6C21" w:rsidRPr="00A0635D" w:rsidRDefault="003C6C21" w:rsidP="003C6C21">
            <w:pPr>
              <w:pStyle w:val="Tablerowheadings"/>
            </w:pPr>
            <w:r w:rsidRPr="00A0635D">
              <w:t>Machinery &amp; (mainly) fixed plant</w:t>
            </w:r>
          </w:p>
        </w:tc>
        <w:tc>
          <w:tcPr>
            <w:tcW w:w="1701" w:type="dxa"/>
            <w:vAlign w:val="center"/>
          </w:tcPr>
          <w:p w:rsidR="003C6C21" w:rsidRPr="00A0635D" w:rsidRDefault="003C6C21" w:rsidP="00E960F1">
            <w:pPr>
              <w:pStyle w:val="Tablerowheadings"/>
              <w:jc w:val="right"/>
            </w:pPr>
            <w:r w:rsidRPr="00A0635D">
              <w:t>76</w:t>
            </w:r>
          </w:p>
        </w:tc>
        <w:tc>
          <w:tcPr>
            <w:tcW w:w="1701" w:type="dxa"/>
            <w:vAlign w:val="center"/>
          </w:tcPr>
          <w:p w:rsidR="003C6C21" w:rsidRPr="00A0635D" w:rsidRDefault="003C6C21" w:rsidP="00E960F1">
            <w:pPr>
              <w:pStyle w:val="Tablerowheadings"/>
              <w:jc w:val="right"/>
            </w:pPr>
            <w:r w:rsidRPr="00A0635D">
              <w:t>19%</w:t>
            </w:r>
          </w:p>
        </w:tc>
      </w:tr>
      <w:tr w:rsidR="003C6C21" w:rsidTr="00E960F1">
        <w:tc>
          <w:tcPr>
            <w:tcW w:w="5046" w:type="dxa"/>
          </w:tcPr>
          <w:p w:rsidR="003C6C21" w:rsidRPr="00A0635D" w:rsidRDefault="003C6C21" w:rsidP="003C6C21">
            <w:pPr>
              <w:pStyle w:val="Tabletext"/>
            </w:pPr>
            <w:r w:rsidRPr="00A0635D">
              <w:t>Electrical installation</w:t>
            </w:r>
          </w:p>
        </w:tc>
        <w:tc>
          <w:tcPr>
            <w:tcW w:w="1701" w:type="dxa"/>
            <w:vAlign w:val="center"/>
          </w:tcPr>
          <w:p w:rsidR="003C6C21" w:rsidRPr="00A0635D" w:rsidRDefault="003C6C21" w:rsidP="00E960F1">
            <w:pPr>
              <w:pStyle w:val="Tabletext"/>
              <w:jc w:val="right"/>
            </w:pPr>
            <w:r w:rsidRPr="00A0635D">
              <w:t>40</w:t>
            </w:r>
          </w:p>
        </w:tc>
        <w:tc>
          <w:tcPr>
            <w:tcW w:w="1701" w:type="dxa"/>
            <w:vAlign w:val="center"/>
          </w:tcPr>
          <w:p w:rsidR="003C6C21" w:rsidRPr="00A0635D" w:rsidRDefault="003C6C21" w:rsidP="00E960F1">
            <w:pPr>
              <w:pStyle w:val="Tabletext"/>
              <w:jc w:val="right"/>
            </w:pPr>
            <w:r w:rsidRPr="00A0635D">
              <w:t>10%</w:t>
            </w:r>
          </w:p>
        </w:tc>
      </w:tr>
      <w:tr w:rsidR="003C6C21" w:rsidRPr="00F5592F" w:rsidTr="00E960F1">
        <w:tc>
          <w:tcPr>
            <w:tcW w:w="5046" w:type="dxa"/>
          </w:tcPr>
          <w:p w:rsidR="003C6C21" w:rsidRPr="00F5592F" w:rsidRDefault="003C6C21" w:rsidP="003C6C21">
            <w:pPr>
              <w:pStyle w:val="Tabletext"/>
              <w:rPr>
                <w:i/>
              </w:rPr>
            </w:pPr>
            <w:r w:rsidRPr="00F5592F">
              <w:rPr>
                <w:i/>
              </w:rPr>
              <w:t>Contact with electricity</w:t>
            </w:r>
          </w:p>
        </w:tc>
        <w:tc>
          <w:tcPr>
            <w:tcW w:w="1701" w:type="dxa"/>
            <w:vAlign w:val="center"/>
          </w:tcPr>
          <w:p w:rsidR="003C6C21" w:rsidRPr="00F5592F" w:rsidRDefault="003C6C21" w:rsidP="00E960F1">
            <w:pPr>
              <w:pStyle w:val="Tabletext"/>
              <w:jc w:val="right"/>
              <w:rPr>
                <w:i/>
              </w:rPr>
            </w:pPr>
            <w:r w:rsidRPr="00F5592F">
              <w:rPr>
                <w:i/>
              </w:rPr>
              <w:t>40</w:t>
            </w:r>
          </w:p>
        </w:tc>
        <w:tc>
          <w:tcPr>
            <w:tcW w:w="1701" w:type="dxa"/>
            <w:vAlign w:val="center"/>
          </w:tcPr>
          <w:p w:rsidR="003C6C21" w:rsidRPr="00F5592F" w:rsidRDefault="003C6C21" w:rsidP="00E960F1">
            <w:pPr>
              <w:pStyle w:val="Tabletext"/>
              <w:jc w:val="right"/>
              <w:rPr>
                <w:i/>
              </w:rPr>
            </w:pPr>
            <w:r w:rsidRPr="00F5592F">
              <w:rPr>
                <w:i/>
              </w:rPr>
              <w:t>10%</w:t>
            </w:r>
          </w:p>
        </w:tc>
      </w:tr>
      <w:tr w:rsidR="003C6C21" w:rsidTr="00E960F1">
        <w:tc>
          <w:tcPr>
            <w:tcW w:w="5046" w:type="dxa"/>
          </w:tcPr>
          <w:p w:rsidR="003C6C21" w:rsidRPr="00A0635D" w:rsidRDefault="003C6C21" w:rsidP="003C6C21">
            <w:pPr>
              <w:pStyle w:val="Tabletext"/>
            </w:pPr>
            <w:r w:rsidRPr="00A0635D">
              <w:t>Conveyors and lifting plant</w:t>
            </w:r>
          </w:p>
        </w:tc>
        <w:tc>
          <w:tcPr>
            <w:tcW w:w="1701" w:type="dxa"/>
            <w:vAlign w:val="center"/>
          </w:tcPr>
          <w:p w:rsidR="003C6C21" w:rsidRPr="00A0635D" w:rsidRDefault="003C6C21" w:rsidP="00E960F1">
            <w:pPr>
              <w:pStyle w:val="Tabletext"/>
              <w:jc w:val="right"/>
            </w:pPr>
            <w:r w:rsidRPr="00A0635D">
              <w:t>25</w:t>
            </w:r>
          </w:p>
        </w:tc>
        <w:tc>
          <w:tcPr>
            <w:tcW w:w="1701" w:type="dxa"/>
            <w:vAlign w:val="center"/>
          </w:tcPr>
          <w:p w:rsidR="003C6C21" w:rsidRPr="00A0635D" w:rsidRDefault="003C6C21" w:rsidP="00E960F1">
            <w:pPr>
              <w:pStyle w:val="Tabletext"/>
              <w:jc w:val="right"/>
            </w:pPr>
            <w:r w:rsidRPr="00A0635D">
              <w:t>6%</w:t>
            </w:r>
          </w:p>
        </w:tc>
      </w:tr>
      <w:tr w:rsidR="003C6C21" w:rsidRPr="00F5592F" w:rsidTr="00E960F1">
        <w:tc>
          <w:tcPr>
            <w:tcW w:w="5046" w:type="dxa"/>
          </w:tcPr>
          <w:p w:rsidR="003C6C21" w:rsidRPr="00F5592F" w:rsidRDefault="003C6C21" w:rsidP="003C6C21">
            <w:pPr>
              <w:pStyle w:val="Tabletext"/>
              <w:rPr>
                <w:i/>
              </w:rPr>
            </w:pPr>
            <w:r w:rsidRPr="00F5592F">
              <w:rPr>
                <w:i/>
              </w:rPr>
              <w:t>Being hit by falling objects</w:t>
            </w:r>
          </w:p>
        </w:tc>
        <w:tc>
          <w:tcPr>
            <w:tcW w:w="1701" w:type="dxa"/>
            <w:vAlign w:val="center"/>
          </w:tcPr>
          <w:p w:rsidR="003C6C21" w:rsidRPr="00F5592F" w:rsidRDefault="003C6C21" w:rsidP="00E960F1">
            <w:pPr>
              <w:pStyle w:val="Tabletext"/>
              <w:jc w:val="right"/>
              <w:rPr>
                <w:i/>
              </w:rPr>
            </w:pPr>
            <w:r w:rsidRPr="00F5592F">
              <w:rPr>
                <w:i/>
              </w:rPr>
              <w:t>9</w:t>
            </w:r>
          </w:p>
        </w:tc>
        <w:tc>
          <w:tcPr>
            <w:tcW w:w="1701" w:type="dxa"/>
            <w:vAlign w:val="center"/>
          </w:tcPr>
          <w:p w:rsidR="003C6C21" w:rsidRPr="00F5592F" w:rsidRDefault="003C6C21" w:rsidP="00E960F1">
            <w:pPr>
              <w:pStyle w:val="Tabletext"/>
              <w:jc w:val="right"/>
              <w:rPr>
                <w:i/>
              </w:rPr>
            </w:pPr>
            <w:r w:rsidRPr="00F5592F">
              <w:rPr>
                <w:i/>
              </w:rPr>
              <w:t>2%</w:t>
            </w:r>
          </w:p>
        </w:tc>
      </w:tr>
      <w:tr w:rsidR="003C6C21" w:rsidTr="00E960F1">
        <w:tc>
          <w:tcPr>
            <w:tcW w:w="5046" w:type="dxa"/>
          </w:tcPr>
          <w:p w:rsidR="003C6C21" w:rsidRPr="00A0635D" w:rsidRDefault="003C6C21" w:rsidP="003C6C21">
            <w:pPr>
              <w:pStyle w:val="Tablerowheadings"/>
            </w:pPr>
            <w:r w:rsidRPr="00A0635D">
              <w:t xml:space="preserve">Non-powered </w:t>
            </w:r>
            <w:proofErr w:type="spellStart"/>
            <w:r w:rsidRPr="00A0635D">
              <w:t>handtools</w:t>
            </w:r>
            <w:proofErr w:type="spellEnd"/>
            <w:r w:rsidRPr="00A0635D">
              <w:t>, appliances &amp; equipment</w:t>
            </w:r>
          </w:p>
        </w:tc>
        <w:tc>
          <w:tcPr>
            <w:tcW w:w="1701" w:type="dxa"/>
            <w:vAlign w:val="center"/>
          </w:tcPr>
          <w:p w:rsidR="003C6C21" w:rsidRPr="00A0635D" w:rsidRDefault="003C6C21" w:rsidP="00E960F1">
            <w:pPr>
              <w:pStyle w:val="Tablerowheadings"/>
              <w:jc w:val="right"/>
            </w:pPr>
            <w:r w:rsidRPr="00A0635D">
              <w:t>55</w:t>
            </w:r>
          </w:p>
        </w:tc>
        <w:tc>
          <w:tcPr>
            <w:tcW w:w="1701" w:type="dxa"/>
            <w:vAlign w:val="center"/>
          </w:tcPr>
          <w:p w:rsidR="003C6C21" w:rsidRPr="00A0635D" w:rsidRDefault="003C6C21" w:rsidP="00E960F1">
            <w:pPr>
              <w:pStyle w:val="Tablerowheadings"/>
              <w:jc w:val="right"/>
            </w:pPr>
            <w:r w:rsidRPr="00A0635D">
              <w:t>14%</w:t>
            </w:r>
          </w:p>
        </w:tc>
      </w:tr>
      <w:tr w:rsidR="003C6C21" w:rsidTr="00E960F1">
        <w:tc>
          <w:tcPr>
            <w:tcW w:w="5046" w:type="dxa"/>
          </w:tcPr>
          <w:p w:rsidR="003C6C21" w:rsidRPr="00A0635D" w:rsidRDefault="003C6C21" w:rsidP="003C6C21">
            <w:pPr>
              <w:pStyle w:val="Tabletext"/>
            </w:pPr>
            <w:r w:rsidRPr="00A0635D">
              <w:t>Ladders</w:t>
            </w:r>
          </w:p>
        </w:tc>
        <w:tc>
          <w:tcPr>
            <w:tcW w:w="1701" w:type="dxa"/>
            <w:vAlign w:val="center"/>
          </w:tcPr>
          <w:p w:rsidR="003C6C21" w:rsidRPr="00A0635D" w:rsidRDefault="003C6C21" w:rsidP="00E960F1">
            <w:pPr>
              <w:pStyle w:val="Tabletext"/>
              <w:jc w:val="right"/>
            </w:pPr>
            <w:r w:rsidRPr="00A0635D">
              <w:t>28</w:t>
            </w:r>
          </w:p>
        </w:tc>
        <w:tc>
          <w:tcPr>
            <w:tcW w:w="1701" w:type="dxa"/>
            <w:vAlign w:val="center"/>
          </w:tcPr>
          <w:p w:rsidR="003C6C21" w:rsidRPr="00A0635D" w:rsidRDefault="003C6C21" w:rsidP="00E960F1">
            <w:pPr>
              <w:pStyle w:val="Tabletext"/>
              <w:jc w:val="right"/>
            </w:pPr>
            <w:r w:rsidRPr="00A0635D">
              <w:t>7%</w:t>
            </w:r>
          </w:p>
        </w:tc>
      </w:tr>
      <w:tr w:rsidR="003C6C21" w:rsidRPr="00F5592F" w:rsidTr="00E960F1">
        <w:tc>
          <w:tcPr>
            <w:tcW w:w="5046" w:type="dxa"/>
          </w:tcPr>
          <w:p w:rsidR="003C6C21" w:rsidRPr="00F5592F" w:rsidRDefault="003C6C21" w:rsidP="003C6C21">
            <w:pPr>
              <w:pStyle w:val="Tabletext"/>
              <w:rPr>
                <w:i/>
              </w:rPr>
            </w:pPr>
            <w:r w:rsidRPr="00F5592F">
              <w:rPr>
                <w:i/>
              </w:rPr>
              <w:t>Falls from a height</w:t>
            </w:r>
          </w:p>
        </w:tc>
        <w:tc>
          <w:tcPr>
            <w:tcW w:w="1701" w:type="dxa"/>
            <w:vAlign w:val="center"/>
          </w:tcPr>
          <w:p w:rsidR="003C6C21" w:rsidRPr="00F5592F" w:rsidRDefault="003C6C21" w:rsidP="00E960F1">
            <w:pPr>
              <w:pStyle w:val="Tabletext"/>
              <w:jc w:val="right"/>
              <w:rPr>
                <w:i/>
              </w:rPr>
            </w:pPr>
            <w:r w:rsidRPr="00F5592F">
              <w:rPr>
                <w:i/>
              </w:rPr>
              <w:t>27</w:t>
            </w:r>
          </w:p>
        </w:tc>
        <w:tc>
          <w:tcPr>
            <w:tcW w:w="1701" w:type="dxa"/>
            <w:vAlign w:val="center"/>
          </w:tcPr>
          <w:p w:rsidR="003C6C21" w:rsidRPr="00F5592F" w:rsidRDefault="003C6C21" w:rsidP="00E960F1">
            <w:pPr>
              <w:pStyle w:val="Tabletext"/>
              <w:jc w:val="right"/>
              <w:rPr>
                <w:i/>
              </w:rPr>
            </w:pPr>
            <w:r w:rsidRPr="00F5592F">
              <w:rPr>
                <w:i/>
              </w:rPr>
              <w:t>7%</w:t>
            </w:r>
          </w:p>
        </w:tc>
      </w:tr>
      <w:tr w:rsidR="003C6C21" w:rsidRPr="00F5592F" w:rsidTr="00E960F1">
        <w:tc>
          <w:tcPr>
            <w:tcW w:w="5046" w:type="dxa"/>
          </w:tcPr>
          <w:p w:rsidR="003C6C21" w:rsidRPr="00F5592F" w:rsidRDefault="003C6C21" w:rsidP="003C6C21">
            <w:pPr>
              <w:pStyle w:val="Tabletext"/>
            </w:pPr>
            <w:r w:rsidRPr="00F5592F">
              <w:t>Scaffolding</w:t>
            </w:r>
          </w:p>
        </w:tc>
        <w:tc>
          <w:tcPr>
            <w:tcW w:w="1701" w:type="dxa"/>
            <w:vAlign w:val="center"/>
          </w:tcPr>
          <w:p w:rsidR="003C6C21" w:rsidRPr="00F5592F" w:rsidRDefault="003C6C21" w:rsidP="00E960F1">
            <w:pPr>
              <w:pStyle w:val="Tabletext"/>
              <w:jc w:val="right"/>
            </w:pPr>
            <w:r w:rsidRPr="00F5592F">
              <w:t>16</w:t>
            </w:r>
          </w:p>
        </w:tc>
        <w:tc>
          <w:tcPr>
            <w:tcW w:w="1701" w:type="dxa"/>
            <w:vAlign w:val="center"/>
          </w:tcPr>
          <w:p w:rsidR="003C6C21" w:rsidRPr="00F5592F" w:rsidRDefault="003C6C21" w:rsidP="00E960F1">
            <w:pPr>
              <w:pStyle w:val="Tabletext"/>
              <w:jc w:val="right"/>
            </w:pPr>
            <w:r w:rsidRPr="00F5592F">
              <w:t>4%</w:t>
            </w:r>
          </w:p>
        </w:tc>
      </w:tr>
      <w:tr w:rsidR="003C6C21" w:rsidRPr="00F5592F" w:rsidTr="00E960F1">
        <w:tc>
          <w:tcPr>
            <w:tcW w:w="5046" w:type="dxa"/>
          </w:tcPr>
          <w:p w:rsidR="003C6C21" w:rsidRPr="00F5592F" w:rsidRDefault="003C6C21" w:rsidP="003C6C21">
            <w:pPr>
              <w:pStyle w:val="Tabletext"/>
              <w:rPr>
                <w:i/>
              </w:rPr>
            </w:pPr>
            <w:r w:rsidRPr="00F5592F">
              <w:rPr>
                <w:i/>
              </w:rPr>
              <w:t>Falls from a height</w:t>
            </w:r>
          </w:p>
        </w:tc>
        <w:tc>
          <w:tcPr>
            <w:tcW w:w="1701" w:type="dxa"/>
            <w:vAlign w:val="center"/>
          </w:tcPr>
          <w:p w:rsidR="003C6C21" w:rsidRPr="00F5592F" w:rsidRDefault="003C6C21" w:rsidP="00E960F1">
            <w:pPr>
              <w:pStyle w:val="Tabletext"/>
              <w:jc w:val="right"/>
              <w:rPr>
                <w:i/>
              </w:rPr>
            </w:pPr>
            <w:r w:rsidRPr="00F5592F">
              <w:rPr>
                <w:i/>
              </w:rPr>
              <w:t>12</w:t>
            </w:r>
          </w:p>
        </w:tc>
        <w:tc>
          <w:tcPr>
            <w:tcW w:w="1701" w:type="dxa"/>
            <w:vAlign w:val="center"/>
          </w:tcPr>
          <w:p w:rsidR="003C6C21" w:rsidRPr="00F5592F" w:rsidRDefault="003C6C21" w:rsidP="00E960F1">
            <w:pPr>
              <w:pStyle w:val="Tabletext"/>
              <w:jc w:val="right"/>
              <w:rPr>
                <w:i/>
              </w:rPr>
            </w:pPr>
            <w:r w:rsidRPr="00F5592F">
              <w:rPr>
                <w:i/>
              </w:rPr>
              <w:t>3%</w:t>
            </w:r>
          </w:p>
        </w:tc>
      </w:tr>
      <w:tr w:rsidR="003C6C21" w:rsidTr="00E960F1">
        <w:tc>
          <w:tcPr>
            <w:tcW w:w="5046" w:type="dxa"/>
          </w:tcPr>
          <w:p w:rsidR="003C6C21" w:rsidRPr="00A0635D" w:rsidRDefault="003C6C21" w:rsidP="003C6C21">
            <w:pPr>
              <w:pStyle w:val="Tablerowheadings"/>
            </w:pPr>
            <w:r w:rsidRPr="00A0635D">
              <w:t>Other agencies</w:t>
            </w:r>
          </w:p>
        </w:tc>
        <w:tc>
          <w:tcPr>
            <w:tcW w:w="1701" w:type="dxa"/>
            <w:vAlign w:val="center"/>
          </w:tcPr>
          <w:p w:rsidR="003C6C21" w:rsidRPr="00A0635D" w:rsidRDefault="003C6C21" w:rsidP="00E960F1">
            <w:pPr>
              <w:pStyle w:val="Tablerowheadings"/>
              <w:jc w:val="right"/>
            </w:pPr>
            <w:r w:rsidRPr="00A0635D">
              <w:t>37</w:t>
            </w:r>
          </w:p>
        </w:tc>
        <w:tc>
          <w:tcPr>
            <w:tcW w:w="1701" w:type="dxa"/>
            <w:vAlign w:val="center"/>
          </w:tcPr>
          <w:p w:rsidR="003C6C21" w:rsidRPr="00A0635D" w:rsidRDefault="003C6C21" w:rsidP="00E960F1">
            <w:pPr>
              <w:pStyle w:val="Tablerowheadings"/>
              <w:jc w:val="right"/>
            </w:pPr>
            <w:r w:rsidRPr="00A0635D">
              <w:t>9%</w:t>
            </w:r>
          </w:p>
        </w:tc>
      </w:tr>
      <w:tr w:rsidR="003C6C21" w:rsidRPr="00F5592F" w:rsidTr="00E960F1">
        <w:tc>
          <w:tcPr>
            <w:tcW w:w="5046" w:type="dxa"/>
          </w:tcPr>
          <w:p w:rsidR="003C6C21" w:rsidRPr="00F5592F" w:rsidRDefault="003C6C21" w:rsidP="003C6C21">
            <w:pPr>
              <w:pStyle w:val="Tabletext"/>
              <w:rPr>
                <w:i/>
              </w:rPr>
            </w:pPr>
            <w:r w:rsidRPr="00F5592F">
              <w:rPr>
                <w:i/>
              </w:rPr>
              <w:t>Being hit by falling objects</w:t>
            </w:r>
          </w:p>
        </w:tc>
        <w:tc>
          <w:tcPr>
            <w:tcW w:w="1701" w:type="dxa"/>
            <w:vAlign w:val="center"/>
          </w:tcPr>
          <w:p w:rsidR="003C6C21" w:rsidRPr="00F5592F" w:rsidRDefault="003C6C21" w:rsidP="00E960F1">
            <w:pPr>
              <w:pStyle w:val="Tabletext"/>
              <w:jc w:val="right"/>
              <w:rPr>
                <w:i/>
              </w:rPr>
            </w:pPr>
            <w:r w:rsidRPr="00F5592F">
              <w:rPr>
                <w:i/>
              </w:rPr>
              <w:t>13</w:t>
            </w:r>
          </w:p>
        </w:tc>
        <w:tc>
          <w:tcPr>
            <w:tcW w:w="1701" w:type="dxa"/>
            <w:vAlign w:val="center"/>
          </w:tcPr>
          <w:p w:rsidR="003C6C21" w:rsidRPr="00F5592F" w:rsidRDefault="003C6C21" w:rsidP="00E960F1">
            <w:pPr>
              <w:pStyle w:val="Tabletext"/>
              <w:jc w:val="right"/>
              <w:rPr>
                <w:i/>
              </w:rPr>
            </w:pPr>
            <w:r w:rsidRPr="00F5592F">
              <w:rPr>
                <w:i/>
              </w:rPr>
              <w:t>3%</w:t>
            </w:r>
          </w:p>
        </w:tc>
      </w:tr>
      <w:tr w:rsidR="003C6C21" w:rsidRPr="003C6C21" w:rsidTr="00E960F1">
        <w:tc>
          <w:tcPr>
            <w:tcW w:w="5046" w:type="dxa"/>
          </w:tcPr>
          <w:p w:rsidR="003C6C21" w:rsidRPr="003C6C21" w:rsidRDefault="003C6C21" w:rsidP="003C6C21">
            <w:pPr>
              <w:pStyle w:val="Tabletext"/>
              <w:rPr>
                <w:b/>
              </w:rPr>
            </w:pPr>
            <w:r w:rsidRPr="003C6C21">
              <w:rPr>
                <w:b/>
              </w:rPr>
              <w:t>Total</w:t>
            </w:r>
          </w:p>
        </w:tc>
        <w:tc>
          <w:tcPr>
            <w:tcW w:w="1701" w:type="dxa"/>
            <w:vAlign w:val="center"/>
          </w:tcPr>
          <w:p w:rsidR="003C6C21" w:rsidRPr="003C6C21" w:rsidRDefault="003C6C21" w:rsidP="00E960F1">
            <w:pPr>
              <w:pStyle w:val="Tabletext"/>
              <w:jc w:val="right"/>
              <w:rPr>
                <w:b/>
              </w:rPr>
            </w:pPr>
            <w:r w:rsidRPr="003C6C21">
              <w:rPr>
                <w:b/>
              </w:rPr>
              <w:t>401</w:t>
            </w:r>
          </w:p>
        </w:tc>
        <w:tc>
          <w:tcPr>
            <w:tcW w:w="1701" w:type="dxa"/>
            <w:vAlign w:val="center"/>
          </w:tcPr>
          <w:p w:rsidR="003C6C21" w:rsidRPr="003C6C21" w:rsidRDefault="003C6C21" w:rsidP="00E960F1">
            <w:pPr>
              <w:pStyle w:val="Tabletext"/>
              <w:jc w:val="right"/>
              <w:rPr>
                <w:b/>
              </w:rPr>
            </w:pPr>
            <w:r w:rsidRPr="003C6C21">
              <w:rPr>
                <w:b/>
              </w:rPr>
              <w:t>100%</w:t>
            </w:r>
          </w:p>
        </w:tc>
      </w:tr>
    </w:tbl>
    <w:p w:rsidR="007A509C" w:rsidRDefault="00982F9F" w:rsidP="00905D87">
      <w:pPr>
        <w:pStyle w:val="Heading3"/>
      </w:pPr>
      <w:bookmarkStart w:id="20" w:name="_Toc427590851"/>
      <w:r>
        <w:t>State/territory by breakdown agency</w:t>
      </w:r>
      <w:bookmarkEnd w:id="20"/>
    </w:p>
    <w:p w:rsidR="007A509C" w:rsidRDefault="007A509C" w:rsidP="00513A50">
      <w:pPr>
        <w:pStyle w:val="BodyText1"/>
      </w:pPr>
      <w:r w:rsidRPr="007A509C">
        <w:t>There is greater consistency in the pattern of breakdown agency by state than was seen with mechanism of incident. Table 15 shows broadly similar percentages of fatalities across the states were associated with key breakdown agencies (see Table 14).</w:t>
      </w:r>
    </w:p>
    <w:p w:rsidR="007A509C" w:rsidRDefault="007A509C" w:rsidP="00513A50">
      <w:pPr>
        <w:pStyle w:val="BodyText1"/>
      </w:pPr>
      <w:r w:rsidRPr="007A509C">
        <w:t>Consistent with New South Wales recording the highest percentage of fatalities due to falls from a height (Table 13), it recorded the highest percentage of fatalities a</w:t>
      </w:r>
      <w:r w:rsidR="00727BB0">
        <w:t>s</w:t>
      </w:r>
      <w:r w:rsidRPr="007A509C">
        <w:t>sociated with building &amp; other structures and scaffolding and the second highest percentage associated with ladders. The percentage of fatalities associated with ladders showed great variability across the states ranging from 2% in Queensland to 15% in South Australia</w:t>
      </w:r>
      <w:r>
        <w:t>.</w:t>
      </w:r>
    </w:p>
    <w:p w:rsidR="00513A50" w:rsidRDefault="00513A50" w:rsidP="00982F9F">
      <w:pPr>
        <w:pStyle w:val="Tableheading"/>
      </w:pPr>
    </w:p>
    <w:p w:rsidR="003444F5" w:rsidRDefault="003444F5">
      <w:pPr>
        <w:rPr>
          <w:rFonts w:ascii="Arial" w:hAnsi="Arial" w:cs="Arial"/>
          <w:b/>
          <w:sz w:val="20"/>
          <w:lang w:val="en-US"/>
        </w:rPr>
      </w:pPr>
      <w:r>
        <w:br w:type="page"/>
      </w:r>
    </w:p>
    <w:p w:rsidR="007A509C" w:rsidRDefault="007A509C" w:rsidP="00982F9F">
      <w:pPr>
        <w:pStyle w:val="Tableheading"/>
      </w:pPr>
      <w:r>
        <w:t>Table 15: Worker fatalities in the construction industry: number and percentage by breakdown agency and state or territory of death, 2003 to 2013 combined</w:t>
      </w:r>
    </w:p>
    <w:tbl>
      <w:tblPr>
        <w:tblStyle w:val="TableGrid"/>
        <w:tblW w:w="0" w:type="auto"/>
        <w:tblLook w:val="04A0" w:firstRow="1" w:lastRow="0" w:firstColumn="1" w:lastColumn="0" w:noHBand="0" w:noVBand="1"/>
        <w:tblCaption w:val="Table 15: Worker fatalities in the construction industry: number and percentage by breakdown agency and state or territory of death, 2003 to 2013 combined"/>
        <w:tblDescription w:val="Table 15 shows broadly similar percentages of fatalities across the states were associated with key breakdown agencies "/>
      </w:tblPr>
      <w:tblGrid>
        <w:gridCol w:w="2381"/>
        <w:gridCol w:w="1191"/>
        <w:gridCol w:w="1134"/>
        <w:gridCol w:w="1247"/>
        <w:gridCol w:w="1134"/>
        <w:gridCol w:w="1134"/>
        <w:gridCol w:w="1134"/>
        <w:gridCol w:w="1134"/>
      </w:tblGrid>
      <w:tr w:rsidR="007B1111" w:rsidTr="00715413">
        <w:trPr>
          <w:tblHeader/>
        </w:trPr>
        <w:tc>
          <w:tcPr>
            <w:tcW w:w="2381" w:type="dxa"/>
            <w:shd w:val="clear" w:color="auto" w:fill="D9D9D9" w:themeFill="background1" w:themeFillShade="D9"/>
            <w:vAlign w:val="bottom"/>
          </w:tcPr>
          <w:p w:rsidR="007B1111" w:rsidRDefault="007B1111" w:rsidP="007B1111">
            <w:pPr>
              <w:pStyle w:val="Tableheaderrow"/>
              <w:jc w:val="left"/>
            </w:pPr>
            <w:r>
              <w:t>Breakdown agency</w:t>
            </w:r>
          </w:p>
        </w:tc>
        <w:tc>
          <w:tcPr>
            <w:tcW w:w="1191" w:type="dxa"/>
            <w:shd w:val="clear" w:color="auto" w:fill="D9D9D9" w:themeFill="background1" w:themeFillShade="D9"/>
            <w:vAlign w:val="center"/>
          </w:tcPr>
          <w:p w:rsidR="007B1111" w:rsidRPr="00130BBE" w:rsidRDefault="007B1111" w:rsidP="00E960F1">
            <w:pPr>
              <w:pStyle w:val="Tableheaderrow"/>
              <w:jc w:val="right"/>
            </w:pPr>
            <w:r w:rsidRPr="00130BBE">
              <w:t>N</w:t>
            </w:r>
            <w:r>
              <w:t xml:space="preserve">ew </w:t>
            </w:r>
            <w:r w:rsidRPr="00130BBE">
              <w:t>S</w:t>
            </w:r>
            <w:r>
              <w:t xml:space="preserve">outh </w:t>
            </w:r>
            <w:r w:rsidRPr="00130BBE">
              <w:t>W</w:t>
            </w:r>
            <w:r>
              <w:t>ales</w:t>
            </w:r>
          </w:p>
        </w:tc>
        <w:tc>
          <w:tcPr>
            <w:tcW w:w="1134" w:type="dxa"/>
            <w:shd w:val="clear" w:color="auto" w:fill="D9D9D9" w:themeFill="background1" w:themeFillShade="D9"/>
            <w:vAlign w:val="center"/>
          </w:tcPr>
          <w:p w:rsidR="007B1111" w:rsidRPr="00130BBE" w:rsidRDefault="007B1111" w:rsidP="00E960F1">
            <w:pPr>
              <w:pStyle w:val="Tableheaderrow"/>
              <w:jc w:val="right"/>
            </w:pPr>
            <w:r w:rsidRPr="00130BBE">
              <w:t>V</w:t>
            </w:r>
            <w:r>
              <w:t>ictoria</w:t>
            </w:r>
          </w:p>
        </w:tc>
        <w:tc>
          <w:tcPr>
            <w:tcW w:w="1247" w:type="dxa"/>
            <w:shd w:val="clear" w:color="auto" w:fill="D9D9D9" w:themeFill="background1" w:themeFillShade="D9"/>
            <w:vAlign w:val="center"/>
          </w:tcPr>
          <w:p w:rsidR="007B1111" w:rsidRPr="00130BBE" w:rsidRDefault="007B1111" w:rsidP="00E960F1">
            <w:pPr>
              <w:pStyle w:val="Tableheaderrow"/>
              <w:jc w:val="right"/>
            </w:pPr>
            <w:r w:rsidRPr="00130BBE">
              <w:t>Q</w:t>
            </w:r>
            <w:r>
              <w:t>ueensland</w:t>
            </w:r>
          </w:p>
        </w:tc>
        <w:tc>
          <w:tcPr>
            <w:tcW w:w="1134" w:type="dxa"/>
            <w:shd w:val="clear" w:color="auto" w:fill="D9D9D9" w:themeFill="background1" w:themeFillShade="D9"/>
            <w:vAlign w:val="center"/>
          </w:tcPr>
          <w:p w:rsidR="007B1111" w:rsidRPr="00130BBE" w:rsidRDefault="007B1111" w:rsidP="00E960F1">
            <w:pPr>
              <w:pStyle w:val="Tableheaderrow"/>
              <w:jc w:val="right"/>
            </w:pPr>
            <w:r w:rsidRPr="00130BBE">
              <w:t>W</w:t>
            </w:r>
            <w:r>
              <w:t xml:space="preserve">estern </w:t>
            </w:r>
            <w:r w:rsidRPr="00130BBE">
              <w:t>A</w:t>
            </w:r>
            <w:r>
              <w:t>ustralia</w:t>
            </w:r>
          </w:p>
        </w:tc>
        <w:tc>
          <w:tcPr>
            <w:tcW w:w="1134" w:type="dxa"/>
            <w:shd w:val="clear" w:color="auto" w:fill="D9D9D9" w:themeFill="background1" w:themeFillShade="D9"/>
            <w:vAlign w:val="center"/>
          </w:tcPr>
          <w:p w:rsidR="007B1111" w:rsidRPr="00130BBE" w:rsidRDefault="007B1111" w:rsidP="00E960F1">
            <w:pPr>
              <w:pStyle w:val="Tableheaderrow"/>
              <w:jc w:val="right"/>
            </w:pPr>
            <w:r w:rsidRPr="00130BBE">
              <w:t>S</w:t>
            </w:r>
            <w:r>
              <w:t xml:space="preserve">outh </w:t>
            </w:r>
            <w:r w:rsidRPr="00130BBE">
              <w:t>A</w:t>
            </w:r>
            <w:r>
              <w:t>ustralia</w:t>
            </w:r>
          </w:p>
        </w:tc>
        <w:tc>
          <w:tcPr>
            <w:tcW w:w="1134" w:type="dxa"/>
            <w:shd w:val="clear" w:color="auto" w:fill="D9D9D9" w:themeFill="background1" w:themeFillShade="D9"/>
            <w:vAlign w:val="center"/>
          </w:tcPr>
          <w:p w:rsidR="007B1111" w:rsidRDefault="007B1111" w:rsidP="00E960F1">
            <w:pPr>
              <w:pStyle w:val="Tableheaderrow"/>
              <w:jc w:val="right"/>
            </w:pPr>
            <w:r w:rsidRPr="00130BBE">
              <w:t>T</w:t>
            </w:r>
            <w:r>
              <w:t>asmania</w:t>
            </w:r>
          </w:p>
        </w:tc>
        <w:tc>
          <w:tcPr>
            <w:tcW w:w="1134" w:type="dxa"/>
            <w:shd w:val="clear" w:color="auto" w:fill="D9D9D9" w:themeFill="background1" w:themeFillShade="D9"/>
            <w:vAlign w:val="center"/>
          </w:tcPr>
          <w:p w:rsidR="007B1111" w:rsidRDefault="007B1111" w:rsidP="00E960F1">
            <w:pPr>
              <w:pStyle w:val="Tableheaderrow"/>
              <w:jc w:val="right"/>
            </w:pPr>
            <w:r>
              <w:t>Australia</w:t>
            </w:r>
          </w:p>
        </w:tc>
      </w:tr>
      <w:tr w:rsidR="007B1111" w:rsidTr="007B1111">
        <w:tc>
          <w:tcPr>
            <w:tcW w:w="10489" w:type="dxa"/>
            <w:gridSpan w:val="8"/>
          </w:tcPr>
          <w:p w:rsidR="007B1111" w:rsidRDefault="007B1111" w:rsidP="007B1111">
            <w:pPr>
              <w:pStyle w:val="Tablerowheadings"/>
            </w:pPr>
            <w:r>
              <w:t>Number of fatalities</w:t>
            </w:r>
          </w:p>
        </w:tc>
      </w:tr>
      <w:tr w:rsidR="007B1111" w:rsidTr="00E960F1">
        <w:tc>
          <w:tcPr>
            <w:tcW w:w="2381" w:type="dxa"/>
          </w:tcPr>
          <w:p w:rsidR="007B1111" w:rsidRPr="00782DF7" w:rsidRDefault="007B1111" w:rsidP="007B1111">
            <w:pPr>
              <w:pStyle w:val="Tabletext"/>
            </w:pPr>
            <w:r w:rsidRPr="00782DF7">
              <w:t>Buildings &amp; other structures</w:t>
            </w:r>
          </w:p>
        </w:tc>
        <w:tc>
          <w:tcPr>
            <w:tcW w:w="1191" w:type="dxa"/>
            <w:vAlign w:val="center"/>
          </w:tcPr>
          <w:p w:rsidR="007B1111" w:rsidRPr="00782DF7" w:rsidRDefault="007B1111" w:rsidP="00E960F1">
            <w:pPr>
              <w:pStyle w:val="Tabletext"/>
              <w:jc w:val="right"/>
            </w:pPr>
            <w:r w:rsidRPr="00782DF7">
              <w:t>20</w:t>
            </w:r>
          </w:p>
        </w:tc>
        <w:tc>
          <w:tcPr>
            <w:tcW w:w="1134" w:type="dxa"/>
            <w:vAlign w:val="center"/>
          </w:tcPr>
          <w:p w:rsidR="007B1111" w:rsidRPr="00782DF7" w:rsidRDefault="007B1111" w:rsidP="00E960F1">
            <w:pPr>
              <w:pStyle w:val="Tabletext"/>
              <w:jc w:val="right"/>
            </w:pPr>
            <w:r w:rsidRPr="00782DF7">
              <w:t>13</w:t>
            </w:r>
          </w:p>
        </w:tc>
        <w:tc>
          <w:tcPr>
            <w:tcW w:w="1247" w:type="dxa"/>
            <w:vAlign w:val="center"/>
          </w:tcPr>
          <w:p w:rsidR="007B1111" w:rsidRPr="00782DF7" w:rsidRDefault="007B1111" w:rsidP="00E960F1">
            <w:pPr>
              <w:pStyle w:val="Tabletext"/>
              <w:jc w:val="right"/>
            </w:pPr>
            <w:r w:rsidRPr="00782DF7">
              <w:t>16</w:t>
            </w:r>
          </w:p>
        </w:tc>
        <w:tc>
          <w:tcPr>
            <w:tcW w:w="1134" w:type="dxa"/>
            <w:vAlign w:val="center"/>
          </w:tcPr>
          <w:p w:rsidR="007B1111" w:rsidRPr="00782DF7" w:rsidRDefault="007B1111" w:rsidP="00E960F1">
            <w:pPr>
              <w:pStyle w:val="Tabletext"/>
              <w:jc w:val="right"/>
            </w:pPr>
            <w:r w:rsidRPr="00782DF7">
              <w:t>5</w:t>
            </w:r>
          </w:p>
        </w:tc>
        <w:tc>
          <w:tcPr>
            <w:tcW w:w="1134" w:type="dxa"/>
            <w:vAlign w:val="center"/>
          </w:tcPr>
          <w:p w:rsidR="007B1111" w:rsidRPr="00782DF7" w:rsidRDefault="007B1111" w:rsidP="00E960F1">
            <w:pPr>
              <w:pStyle w:val="Tabletext"/>
              <w:jc w:val="right"/>
            </w:pPr>
            <w:r w:rsidRPr="00782DF7">
              <w:t>3</w:t>
            </w:r>
          </w:p>
        </w:tc>
        <w:tc>
          <w:tcPr>
            <w:tcW w:w="1134" w:type="dxa"/>
            <w:vAlign w:val="center"/>
          </w:tcPr>
          <w:p w:rsidR="007B1111" w:rsidRPr="00782DF7" w:rsidRDefault="007B1111" w:rsidP="00E960F1">
            <w:pPr>
              <w:pStyle w:val="Tabletext"/>
              <w:jc w:val="right"/>
            </w:pPr>
            <w:r w:rsidRPr="00782DF7">
              <w:t>2</w:t>
            </w:r>
          </w:p>
        </w:tc>
        <w:tc>
          <w:tcPr>
            <w:tcW w:w="1134" w:type="dxa"/>
            <w:vAlign w:val="center"/>
          </w:tcPr>
          <w:p w:rsidR="007B1111" w:rsidRPr="00782DF7" w:rsidRDefault="007B1111" w:rsidP="00E960F1">
            <w:pPr>
              <w:pStyle w:val="Tabletext"/>
              <w:jc w:val="right"/>
            </w:pPr>
            <w:r w:rsidRPr="00782DF7">
              <w:t>61</w:t>
            </w:r>
          </w:p>
        </w:tc>
      </w:tr>
      <w:tr w:rsidR="007B1111" w:rsidTr="00E960F1">
        <w:tc>
          <w:tcPr>
            <w:tcW w:w="2381" w:type="dxa"/>
          </w:tcPr>
          <w:p w:rsidR="007B1111" w:rsidRPr="00782DF7" w:rsidRDefault="007B1111" w:rsidP="007B1111">
            <w:pPr>
              <w:pStyle w:val="Tabletext"/>
            </w:pPr>
            <w:r w:rsidRPr="00782DF7">
              <w:t>Trucks, semi-trailers, lorries</w:t>
            </w:r>
          </w:p>
        </w:tc>
        <w:tc>
          <w:tcPr>
            <w:tcW w:w="1191" w:type="dxa"/>
            <w:vAlign w:val="center"/>
          </w:tcPr>
          <w:p w:rsidR="007B1111" w:rsidRPr="00782DF7" w:rsidRDefault="007B1111" w:rsidP="00E960F1">
            <w:pPr>
              <w:pStyle w:val="Tabletext"/>
              <w:jc w:val="right"/>
            </w:pPr>
            <w:r w:rsidRPr="00782DF7">
              <w:t>12</w:t>
            </w:r>
          </w:p>
        </w:tc>
        <w:tc>
          <w:tcPr>
            <w:tcW w:w="1134" w:type="dxa"/>
            <w:vAlign w:val="center"/>
          </w:tcPr>
          <w:p w:rsidR="007B1111" w:rsidRPr="00782DF7" w:rsidRDefault="007B1111" w:rsidP="00E960F1">
            <w:pPr>
              <w:pStyle w:val="Tabletext"/>
              <w:jc w:val="right"/>
            </w:pPr>
            <w:r w:rsidRPr="00782DF7">
              <w:t>10</w:t>
            </w:r>
          </w:p>
        </w:tc>
        <w:tc>
          <w:tcPr>
            <w:tcW w:w="1247" w:type="dxa"/>
            <w:vAlign w:val="center"/>
          </w:tcPr>
          <w:p w:rsidR="007B1111" w:rsidRPr="00782DF7" w:rsidRDefault="007B1111" w:rsidP="00E960F1">
            <w:pPr>
              <w:pStyle w:val="Tabletext"/>
              <w:jc w:val="right"/>
            </w:pPr>
            <w:r w:rsidRPr="00782DF7">
              <w:t>12</w:t>
            </w:r>
          </w:p>
        </w:tc>
        <w:tc>
          <w:tcPr>
            <w:tcW w:w="1134" w:type="dxa"/>
            <w:vAlign w:val="center"/>
          </w:tcPr>
          <w:p w:rsidR="007B1111" w:rsidRPr="00782DF7" w:rsidRDefault="007B1111" w:rsidP="00E960F1">
            <w:pPr>
              <w:pStyle w:val="Tabletext"/>
              <w:jc w:val="right"/>
            </w:pPr>
            <w:r w:rsidRPr="00782DF7">
              <w:t>2</w:t>
            </w:r>
          </w:p>
        </w:tc>
        <w:tc>
          <w:tcPr>
            <w:tcW w:w="1134" w:type="dxa"/>
            <w:vAlign w:val="center"/>
          </w:tcPr>
          <w:p w:rsidR="007B1111" w:rsidRPr="00782DF7" w:rsidRDefault="007B1111" w:rsidP="00E960F1">
            <w:pPr>
              <w:pStyle w:val="Tabletext"/>
              <w:jc w:val="right"/>
            </w:pPr>
            <w:r w:rsidRPr="00782DF7">
              <w:t>2</w:t>
            </w:r>
          </w:p>
        </w:tc>
        <w:tc>
          <w:tcPr>
            <w:tcW w:w="1134" w:type="dxa"/>
            <w:vAlign w:val="center"/>
          </w:tcPr>
          <w:p w:rsidR="007B1111" w:rsidRPr="00782DF7" w:rsidRDefault="007B1111" w:rsidP="00E960F1">
            <w:pPr>
              <w:pStyle w:val="Tabletext"/>
              <w:jc w:val="right"/>
            </w:pPr>
            <w:r w:rsidRPr="00782DF7">
              <w:t>3</w:t>
            </w:r>
          </w:p>
        </w:tc>
        <w:tc>
          <w:tcPr>
            <w:tcW w:w="1134" w:type="dxa"/>
            <w:vAlign w:val="center"/>
          </w:tcPr>
          <w:p w:rsidR="007B1111" w:rsidRPr="00782DF7" w:rsidRDefault="007B1111" w:rsidP="00E960F1">
            <w:pPr>
              <w:pStyle w:val="Tabletext"/>
              <w:jc w:val="right"/>
            </w:pPr>
            <w:r w:rsidRPr="00782DF7">
              <w:t>42</w:t>
            </w:r>
          </w:p>
        </w:tc>
      </w:tr>
      <w:tr w:rsidR="007B1111" w:rsidTr="00E960F1">
        <w:tc>
          <w:tcPr>
            <w:tcW w:w="2381" w:type="dxa"/>
          </w:tcPr>
          <w:p w:rsidR="007B1111" w:rsidRPr="00782DF7" w:rsidRDefault="007B1111" w:rsidP="007B1111">
            <w:pPr>
              <w:pStyle w:val="Tabletext"/>
            </w:pPr>
            <w:r w:rsidRPr="00782DF7">
              <w:t>Electrical installation</w:t>
            </w:r>
          </w:p>
        </w:tc>
        <w:tc>
          <w:tcPr>
            <w:tcW w:w="1191" w:type="dxa"/>
            <w:vAlign w:val="center"/>
          </w:tcPr>
          <w:p w:rsidR="007B1111" w:rsidRPr="00782DF7" w:rsidRDefault="007B1111" w:rsidP="00E960F1">
            <w:pPr>
              <w:pStyle w:val="Tabletext"/>
              <w:jc w:val="right"/>
            </w:pPr>
            <w:r w:rsidRPr="00782DF7">
              <w:t>15</w:t>
            </w:r>
          </w:p>
        </w:tc>
        <w:tc>
          <w:tcPr>
            <w:tcW w:w="1134" w:type="dxa"/>
            <w:vAlign w:val="center"/>
          </w:tcPr>
          <w:p w:rsidR="007B1111" w:rsidRPr="00782DF7" w:rsidRDefault="007B1111" w:rsidP="00E960F1">
            <w:pPr>
              <w:pStyle w:val="Tabletext"/>
              <w:jc w:val="right"/>
            </w:pPr>
            <w:r w:rsidRPr="00782DF7">
              <w:t>6</w:t>
            </w:r>
          </w:p>
        </w:tc>
        <w:tc>
          <w:tcPr>
            <w:tcW w:w="1247" w:type="dxa"/>
            <w:vAlign w:val="center"/>
          </w:tcPr>
          <w:p w:rsidR="007B1111" w:rsidRPr="00782DF7" w:rsidRDefault="007B1111" w:rsidP="00E960F1">
            <w:pPr>
              <w:pStyle w:val="Tabletext"/>
              <w:jc w:val="right"/>
            </w:pPr>
            <w:r w:rsidRPr="00782DF7">
              <w:t>11</w:t>
            </w:r>
          </w:p>
        </w:tc>
        <w:tc>
          <w:tcPr>
            <w:tcW w:w="1134" w:type="dxa"/>
            <w:vAlign w:val="center"/>
          </w:tcPr>
          <w:p w:rsidR="007B1111" w:rsidRPr="00782DF7" w:rsidRDefault="007B1111" w:rsidP="00E960F1">
            <w:pPr>
              <w:pStyle w:val="Tabletext"/>
              <w:jc w:val="right"/>
            </w:pPr>
            <w:r w:rsidRPr="00782DF7">
              <w:t>3</w:t>
            </w:r>
          </w:p>
        </w:tc>
        <w:tc>
          <w:tcPr>
            <w:tcW w:w="1134" w:type="dxa"/>
            <w:vAlign w:val="center"/>
          </w:tcPr>
          <w:p w:rsidR="007B1111" w:rsidRPr="00782DF7" w:rsidRDefault="007B1111" w:rsidP="00E960F1">
            <w:pPr>
              <w:pStyle w:val="Tabletext"/>
              <w:jc w:val="right"/>
            </w:pPr>
            <w:r w:rsidRPr="00782DF7">
              <w:t>2</w:t>
            </w:r>
          </w:p>
        </w:tc>
        <w:tc>
          <w:tcPr>
            <w:tcW w:w="1134" w:type="dxa"/>
            <w:vAlign w:val="center"/>
          </w:tcPr>
          <w:p w:rsidR="007B1111" w:rsidRPr="00782DF7" w:rsidRDefault="007B1111" w:rsidP="00E960F1">
            <w:pPr>
              <w:pStyle w:val="Tabletext"/>
              <w:jc w:val="right"/>
            </w:pPr>
            <w:r w:rsidRPr="00782DF7">
              <w:t>1</w:t>
            </w:r>
          </w:p>
        </w:tc>
        <w:tc>
          <w:tcPr>
            <w:tcW w:w="1134" w:type="dxa"/>
            <w:vAlign w:val="center"/>
          </w:tcPr>
          <w:p w:rsidR="007B1111" w:rsidRPr="00782DF7" w:rsidRDefault="007B1111" w:rsidP="00E960F1">
            <w:pPr>
              <w:pStyle w:val="Tabletext"/>
              <w:jc w:val="right"/>
            </w:pPr>
            <w:r w:rsidRPr="00782DF7">
              <w:t>40</w:t>
            </w:r>
          </w:p>
        </w:tc>
      </w:tr>
      <w:tr w:rsidR="007B1111" w:rsidTr="00E960F1">
        <w:tc>
          <w:tcPr>
            <w:tcW w:w="2381" w:type="dxa"/>
          </w:tcPr>
          <w:p w:rsidR="007B1111" w:rsidRPr="00782DF7" w:rsidRDefault="007B1111" w:rsidP="007B1111">
            <w:pPr>
              <w:pStyle w:val="Tabletext"/>
            </w:pPr>
            <w:r w:rsidRPr="00782DF7">
              <w:t>Cars, station wagons, vans, utilities</w:t>
            </w:r>
          </w:p>
        </w:tc>
        <w:tc>
          <w:tcPr>
            <w:tcW w:w="1191" w:type="dxa"/>
            <w:vAlign w:val="center"/>
          </w:tcPr>
          <w:p w:rsidR="007B1111" w:rsidRPr="00782DF7" w:rsidRDefault="007B1111" w:rsidP="00E960F1">
            <w:pPr>
              <w:pStyle w:val="Tabletext"/>
              <w:jc w:val="right"/>
            </w:pPr>
            <w:r w:rsidRPr="00782DF7">
              <w:t>12</w:t>
            </w:r>
          </w:p>
        </w:tc>
        <w:tc>
          <w:tcPr>
            <w:tcW w:w="1134" w:type="dxa"/>
            <w:vAlign w:val="center"/>
          </w:tcPr>
          <w:p w:rsidR="007B1111" w:rsidRPr="00782DF7" w:rsidRDefault="007B1111" w:rsidP="00E960F1">
            <w:pPr>
              <w:pStyle w:val="Tabletext"/>
              <w:jc w:val="right"/>
            </w:pPr>
            <w:r w:rsidRPr="00782DF7">
              <w:t>8</w:t>
            </w:r>
          </w:p>
        </w:tc>
        <w:tc>
          <w:tcPr>
            <w:tcW w:w="1247" w:type="dxa"/>
            <w:vAlign w:val="center"/>
          </w:tcPr>
          <w:p w:rsidR="007B1111" w:rsidRPr="00782DF7" w:rsidRDefault="007B1111" w:rsidP="00E960F1">
            <w:pPr>
              <w:pStyle w:val="Tabletext"/>
              <w:jc w:val="right"/>
            </w:pPr>
            <w:r w:rsidRPr="00782DF7">
              <w:t>9</w:t>
            </w:r>
          </w:p>
        </w:tc>
        <w:tc>
          <w:tcPr>
            <w:tcW w:w="1134" w:type="dxa"/>
            <w:vAlign w:val="center"/>
          </w:tcPr>
          <w:p w:rsidR="007B1111" w:rsidRPr="00782DF7" w:rsidRDefault="007B1111" w:rsidP="00E960F1">
            <w:pPr>
              <w:pStyle w:val="Tabletext"/>
              <w:jc w:val="right"/>
            </w:pPr>
            <w:r w:rsidRPr="00782DF7">
              <w:t>3</w:t>
            </w:r>
          </w:p>
        </w:tc>
        <w:tc>
          <w:tcPr>
            <w:tcW w:w="1134" w:type="dxa"/>
            <w:vAlign w:val="center"/>
          </w:tcPr>
          <w:p w:rsidR="007B1111" w:rsidRPr="00782DF7" w:rsidRDefault="007B1111" w:rsidP="00E960F1">
            <w:pPr>
              <w:pStyle w:val="Tabletext"/>
              <w:jc w:val="right"/>
            </w:pPr>
            <w:r w:rsidRPr="00782DF7">
              <w:t>3</w:t>
            </w:r>
          </w:p>
        </w:tc>
        <w:tc>
          <w:tcPr>
            <w:tcW w:w="1134" w:type="dxa"/>
            <w:vAlign w:val="center"/>
          </w:tcPr>
          <w:p w:rsidR="007B1111" w:rsidRPr="00782DF7" w:rsidRDefault="007B1111" w:rsidP="00E960F1">
            <w:pPr>
              <w:pStyle w:val="Tabletext"/>
              <w:jc w:val="right"/>
            </w:pPr>
            <w:r w:rsidRPr="00782DF7">
              <w:t>1</w:t>
            </w:r>
          </w:p>
        </w:tc>
        <w:tc>
          <w:tcPr>
            <w:tcW w:w="1134" w:type="dxa"/>
            <w:vAlign w:val="center"/>
          </w:tcPr>
          <w:p w:rsidR="007B1111" w:rsidRPr="00782DF7" w:rsidRDefault="007B1111" w:rsidP="00E960F1">
            <w:pPr>
              <w:pStyle w:val="Tabletext"/>
              <w:jc w:val="right"/>
            </w:pPr>
            <w:r w:rsidRPr="00782DF7">
              <w:t>38</w:t>
            </w:r>
          </w:p>
        </w:tc>
      </w:tr>
      <w:tr w:rsidR="007B1111" w:rsidTr="00E960F1">
        <w:tc>
          <w:tcPr>
            <w:tcW w:w="2381" w:type="dxa"/>
          </w:tcPr>
          <w:p w:rsidR="007B1111" w:rsidRPr="00782DF7" w:rsidRDefault="007B1111" w:rsidP="007B1111">
            <w:pPr>
              <w:pStyle w:val="Tabletext"/>
            </w:pPr>
            <w:r w:rsidRPr="00782DF7">
              <w:t>Self-propelled plant</w:t>
            </w:r>
          </w:p>
        </w:tc>
        <w:tc>
          <w:tcPr>
            <w:tcW w:w="1191" w:type="dxa"/>
            <w:vAlign w:val="center"/>
          </w:tcPr>
          <w:p w:rsidR="007B1111" w:rsidRPr="00782DF7" w:rsidRDefault="007B1111" w:rsidP="00E960F1">
            <w:pPr>
              <w:pStyle w:val="Tabletext"/>
              <w:jc w:val="right"/>
            </w:pPr>
            <w:r w:rsidRPr="00782DF7">
              <w:t>10</w:t>
            </w:r>
          </w:p>
        </w:tc>
        <w:tc>
          <w:tcPr>
            <w:tcW w:w="1134" w:type="dxa"/>
            <w:vAlign w:val="center"/>
          </w:tcPr>
          <w:p w:rsidR="007B1111" w:rsidRPr="00782DF7" w:rsidRDefault="007B1111" w:rsidP="00E960F1">
            <w:pPr>
              <w:pStyle w:val="Tabletext"/>
              <w:jc w:val="right"/>
            </w:pPr>
            <w:r w:rsidRPr="00782DF7">
              <w:t>3</w:t>
            </w:r>
          </w:p>
        </w:tc>
        <w:tc>
          <w:tcPr>
            <w:tcW w:w="1247" w:type="dxa"/>
            <w:vAlign w:val="center"/>
          </w:tcPr>
          <w:p w:rsidR="007B1111" w:rsidRPr="00782DF7" w:rsidRDefault="007B1111" w:rsidP="00E960F1">
            <w:pPr>
              <w:pStyle w:val="Tabletext"/>
              <w:jc w:val="right"/>
            </w:pPr>
            <w:r w:rsidRPr="00782DF7">
              <w:t>13</w:t>
            </w:r>
          </w:p>
        </w:tc>
        <w:tc>
          <w:tcPr>
            <w:tcW w:w="1134" w:type="dxa"/>
            <w:vAlign w:val="center"/>
          </w:tcPr>
          <w:p w:rsidR="007B1111" w:rsidRPr="00782DF7" w:rsidRDefault="007B1111" w:rsidP="00E960F1">
            <w:pPr>
              <w:pStyle w:val="Tabletext"/>
              <w:jc w:val="right"/>
            </w:pPr>
            <w:r w:rsidRPr="00782DF7">
              <w:t>6</w:t>
            </w:r>
          </w:p>
        </w:tc>
        <w:tc>
          <w:tcPr>
            <w:tcW w:w="1134" w:type="dxa"/>
            <w:vAlign w:val="center"/>
          </w:tcPr>
          <w:p w:rsidR="007B1111" w:rsidRPr="00782DF7" w:rsidRDefault="007B1111" w:rsidP="00E960F1">
            <w:pPr>
              <w:pStyle w:val="Tabletext"/>
              <w:jc w:val="right"/>
            </w:pPr>
            <w:r w:rsidRPr="00782DF7">
              <w:t>4</w:t>
            </w:r>
          </w:p>
        </w:tc>
        <w:tc>
          <w:tcPr>
            <w:tcW w:w="1134" w:type="dxa"/>
            <w:vAlign w:val="center"/>
          </w:tcPr>
          <w:p w:rsidR="007B1111" w:rsidRPr="00782DF7" w:rsidRDefault="007B1111" w:rsidP="00E960F1">
            <w:pPr>
              <w:pStyle w:val="Tabletext"/>
              <w:jc w:val="right"/>
            </w:pPr>
            <w:r w:rsidRPr="00782DF7">
              <w:t>0</w:t>
            </w:r>
          </w:p>
        </w:tc>
        <w:tc>
          <w:tcPr>
            <w:tcW w:w="1134" w:type="dxa"/>
            <w:vAlign w:val="center"/>
          </w:tcPr>
          <w:p w:rsidR="007B1111" w:rsidRPr="00782DF7" w:rsidRDefault="007B1111" w:rsidP="00E960F1">
            <w:pPr>
              <w:pStyle w:val="Tabletext"/>
              <w:jc w:val="right"/>
            </w:pPr>
            <w:r w:rsidRPr="00782DF7">
              <w:t>36</w:t>
            </w:r>
          </w:p>
        </w:tc>
      </w:tr>
      <w:tr w:rsidR="007B1111" w:rsidTr="00E960F1">
        <w:tc>
          <w:tcPr>
            <w:tcW w:w="2381" w:type="dxa"/>
          </w:tcPr>
          <w:p w:rsidR="007B1111" w:rsidRPr="00782DF7" w:rsidRDefault="007B1111" w:rsidP="007B1111">
            <w:pPr>
              <w:pStyle w:val="Tabletext"/>
            </w:pPr>
            <w:r w:rsidRPr="00782DF7">
              <w:t>Ladders</w:t>
            </w:r>
          </w:p>
        </w:tc>
        <w:tc>
          <w:tcPr>
            <w:tcW w:w="1191" w:type="dxa"/>
            <w:vAlign w:val="center"/>
          </w:tcPr>
          <w:p w:rsidR="007B1111" w:rsidRPr="00782DF7" w:rsidRDefault="007B1111" w:rsidP="00E960F1">
            <w:pPr>
              <w:pStyle w:val="Tabletext"/>
              <w:jc w:val="right"/>
            </w:pPr>
            <w:r w:rsidRPr="00782DF7">
              <w:t>13</w:t>
            </w:r>
          </w:p>
        </w:tc>
        <w:tc>
          <w:tcPr>
            <w:tcW w:w="1134" w:type="dxa"/>
            <w:vAlign w:val="center"/>
          </w:tcPr>
          <w:p w:rsidR="007B1111" w:rsidRPr="00782DF7" w:rsidRDefault="007B1111" w:rsidP="00E960F1">
            <w:pPr>
              <w:pStyle w:val="Tabletext"/>
              <w:jc w:val="right"/>
            </w:pPr>
            <w:r w:rsidRPr="00782DF7">
              <w:t>7</w:t>
            </w:r>
          </w:p>
        </w:tc>
        <w:tc>
          <w:tcPr>
            <w:tcW w:w="1247" w:type="dxa"/>
            <w:vAlign w:val="center"/>
          </w:tcPr>
          <w:p w:rsidR="007B1111" w:rsidRPr="00782DF7" w:rsidRDefault="007B1111" w:rsidP="00E960F1">
            <w:pPr>
              <w:pStyle w:val="Tabletext"/>
              <w:jc w:val="right"/>
            </w:pPr>
            <w:r w:rsidRPr="00782DF7">
              <w:t>2</w:t>
            </w:r>
          </w:p>
        </w:tc>
        <w:tc>
          <w:tcPr>
            <w:tcW w:w="1134" w:type="dxa"/>
            <w:vAlign w:val="center"/>
          </w:tcPr>
          <w:p w:rsidR="007B1111" w:rsidRPr="00782DF7" w:rsidRDefault="007B1111" w:rsidP="00E960F1">
            <w:pPr>
              <w:pStyle w:val="Tabletext"/>
              <w:jc w:val="right"/>
            </w:pPr>
            <w:r w:rsidRPr="00782DF7">
              <w:t>1</w:t>
            </w:r>
          </w:p>
        </w:tc>
        <w:tc>
          <w:tcPr>
            <w:tcW w:w="1134" w:type="dxa"/>
            <w:vAlign w:val="center"/>
          </w:tcPr>
          <w:p w:rsidR="007B1111" w:rsidRPr="00782DF7" w:rsidRDefault="007B1111" w:rsidP="00E960F1">
            <w:pPr>
              <w:pStyle w:val="Tabletext"/>
              <w:jc w:val="right"/>
            </w:pPr>
            <w:r w:rsidRPr="00782DF7">
              <w:t>4</w:t>
            </w:r>
          </w:p>
        </w:tc>
        <w:tc>
          <w:tcPr>
            <w:tcW w:w="1134" w:type="dxa"/>
            <w:vAlign w:val="center"/>
          </w:tcPr>
          <w:p w:rsidR="007B1111" w:rsidRPr="00782DF7" w:rsidRDefault="007B1111" w:rsidP="00E960F1">
            <w:pPr>
              <w:pStyle w:val="Tabletext"/>
              <w:jc w:val="right"/>
            </w:pPr>
            <w:r w:rsidRPr="00782DF7">
              <w:t>1</w:t>
            </w:r>
          </w:p>
        </w:tc>
        <w:tc>
          <w:tcPr>
            <w:tcW w:w="1134" w:type="dxa"/>
            <w:vAlign w:val="center"/>
          </w:tcPr>
          <w:p w:rsidR="007B1111" w:rsidRPr="00782DF7" w:rsidRDefault="007B1111" w:rsidP="00E960F1">
            <w:pPr>
              <w:pStyle w:val="Tabletext"/>
              <w:jc w:val="right"/>
            </w:pPr>
            <w:r w:rsidRPr="00782DF7">
              <w:t>28</w:t>
            </w:r>
          </w:p>
        </w:tc>
      </w:tr>
      <w:tr w:rsidR="007B1111" w:rsidTr="00E960F1">
        <w:tc>
          <w:tcPr>
            <w:tcW w:w="2381" w:type="dxa"/>
          </w:tcPr>
          <w:p w:rsidR="007B1111" w:rsidRPr="00782DF7" w:rsidRDefault="007B1111" w:rsidP="007B1111">
            <w:pPr>
              <w:pStyle w:val="Tabletext"/>
            </w:pPr>
            <w:r w:rsidRPr="00782DF7">
              <w:t>Conveyors and lifting plant</w:t>
            </w:r>
          </w:p>
        </w:tc>
        <w:tc>
          <w:tcPr>
            <w:tcW w:w="1191" w:type="dxa"/>
            <w:vAlign w:val="center"/>
          </w:tcPr>
          <w:p w:rsidR="007B1111" w:rsidRPr="00782DF7" w:rsidRDefault="007B1111" w:rsidP="00E960F1">
            <w:pPr>
              <w:pStyle w:val="Tabletext"/>
              <w:jc w:val="right"/>
            </w:pPr>
            <w:r w:rsidRPr="00782DF7">
              <w:t>4</w:t>
            </w:r>
          </w:p>
        </w:tc>
        <w:tc>
          <w:tcPr>
            <w:tcW w:w="1134" w:type="dxa"/>
            <w:vAlign w:val="center"/>
          </w:tcPr>
          <w:p w:rsidR="007B1111" w:rsidRPr="00782DF7" w:rsidRDefault="007B1111" w:rsidP="00E960F1">
            <w:pPr>
              <w:pStyle w:val="Tabletext"/>
              <w:jc w:val="right"/>
            </w:pPr>
            <w:r w:rsidRPr="00782DF7">
              <w:t>7</w:t>
            </w:r>
          </w:p>
        </w:tc>
        <w:tc>
          <w:tcPr>
            <w:tcW w:w="1247" w:type="dxa"/>
            <w:vAlign w:val="center"/>
          </w:tcPr>
          <w:p w:rsidR="007B1111" w:rsidRPr="00782DF7" w:rsidRDefault="007B1111" w:rsidP="00E960F1">
            <w:pPr>
              <w:pStyle w:val="Tabletext"/>
              <w:jc w:val="right"/>
            </w:pPr>
            <w:r w:rsidRPr="00782DF7">
              <w:t>8</w:t>
            </w:r>
          </w:p>
        </w:tc>
        <w:tc>
          <w:tcPr>
            <w:tcW w:w="1134" w:type="dxa"/>
            <w:vAlign w:val="center"/>
          </w:tcPr>
          <w:p w:rsidR="007B1111" w:rsidRPr="00782DF7" w:rsidRDefault="007B1111" w:rsidP="00E960F1">
            <w:pPr>
              <w:pStyle w:val="Tabletext"/>
              <w:jc w:val="right"/>
            </w:pPr>
            <w:r w:rsidRPr="00782DF7">
              <w:t>3</w:t>
            </w:r>
          </w:p>
        </w:tc>
        <w:tc>
          <w:tcPr>
            <w:tcW w:w="1134" w:type="dxa"/>
            <w:vAlign w:val="center"/>
          </w:tcPr>
          <w:p w:rsidR="007B1111" w:rsidRPr="00782DF7" w:rsidRDefault="007B1111" w:rsidP="00E960F1">
            <w:pPr>
              <w:pStyle w:val="Tabletext"/>
              <w:jc w:val="right"/>
            </w:pPr>
            <w:r w:rsidRPr="00782DF7">
              <w:t>2</w:t>
            </w:r>
          </w:p>
        </w:tc>
        <w:tc>
          <w:tcPr>
            <w:tcW w:w="1134" w:type="dxa"/>
            <w:vAlign w:val="center"/>
          </w:tcPr>
          <w:p w:rsidR="007B1111" w:rsidRPr="00782DF7" w:rsidRDefault="007B1111" w:rsidP="00E960F1">
            <w:pPr>
              <w:pStyle w:val="Tabletext"/>
              <w:jc w:val="right"/>
            </w:pPr>
            <w:r w:rsidRPr="00782DF7">
              <w:t>1</w:t>
            </w:r>
          </w:p>
        </w:tc>
        <w:tc>
          <w:tcPr>
            <w:tcW w:w="1134" w:type="dxa"/>
            <w:vAlign w:val="center"/>
          </w:tcPr>
          <w:p w:rsidR="007B1111" w:rsidRPr="00782DF7" w:rsidRDefault="007B1111" w:rsidP="00E960F1">
            <w:pPr>
              <w:pStyle w:val="Tabletext"/>
              <w:jc w:val="right"/>
            </w:pPr>
            <w:r w:rsidRPr="00782DF7">
              <w:t>25</w:t>
            </w:r>
          </w:p>
        </w:tc>
      </w:tr>
      <w:tr w:rsidR="007B1111" w:rsidTr="00E960F1">
        <w:tc>
          <w:tcPr>
            <w:tcW w:w="2381" w:type="dxa"/>
          </w:tcPr>
          <w:p w:rsidR="007B1111" w:rsidRPr="00782DF7" w:rsidRDefault="007B1111" w:rsidP="007B1111">
            <w:pPr>
              <w:pStyle w:val="Tabletext"/>
            </w:pPr>
            <w:r w:rsidRPr="00782DF7">
              <w:t>Scaffolding</w:t>
            </w:r>
          </w:p>
        </w:tc>
        <w:tc>
          <w:tcPr>
            <w:tcW w:w="1191" w:type="dxa"/>
            <w:vAlign w:val="center"/>
          </w:tcPr>
          <w:p w:rsidR="007B1111" w:rsidRPr="00782DF7" w:rsidRDefault="007B1111" w:rsidP="00E960F1">
            <w:pPr>
              <w:pStyle w:val="Tabletext"/>
              <w:jc w:val="right"/>
            </w:pPr>
            <w:r w:rsidRPr="00782DF7">
              <w:t>8</w:t>
            </w:r>
          </w:p>
        </w:tc>
        <w:tc>
          <w:tcPr>
            <w:tcW w:w="1134" w:type="dxa"/>
            <w:vAlign w:val="center"/>
          </w:tcPr>
          <w:p w:rsidR="007B1111" w:rsidRPr="00782DF7" w:rsidRDefault="007B1111" w:rsidP="00E960F1">
            <w:pPr>
              <w:pStyle w:val="Tabletext"/>
              <w:jc w:val="right"/>
            </w:pPr>
            <w:r w:rsidRPr="00782DF7">
              <w:t>1</w:t>
            </w:r>
          </w:p>
        </w:tc>
        <w:tc>
          <w:tcPr>
            <w:tcW w:w="1247" w:type="dxa"/>
            <w:vAlign w:val="center"/>
          </w:tcPr>
          <w:p w:rsidR="007B1111" w:rsidRPr="00782DF7" w:rsidRDefault="007B1111" w:rsidP="00E960F1">
            <w:pPr>
              <w:pStyle w:val="Tabletext"/>
              <w:jc w:val="right"/>
            </w:pPr>
            <w:r w:rsidRPr="00782DF7">
              <w:t>5</w:t>
            </w:r>
          </w:p>
        </w:tc>
        <w:tc>
          <w:tcPr>
            <w:tcW w:w="1134" w:type="dxa"/>
            <w:vAlign w:val="center"/>
          </w:tcPr>
          <w:p w:rsidR="007B1111" w:rsidRPr="00782DF7" w:rsidRDefault="007B1111" w:rsidP="00E960F1">
            <w:pPr>
              <w:pStyle w:val="Tabletext"/>
              <w:jc w:val="right"/>
            </w:pPr>
            <w:r w:rsidRPr="00782DF7">
              <w:t>2</w:t>
            </w:r>
          </w:p>
        </w:tc>
        <w:tc>
          <w:tcPr>
            <w:tcW w:w="1134" w:type="dxa"/>
            <w:vAlign w:val="center"/>
          </w:tcPr>
          <w:p w:rsidR="007B1111" w:rsidRPr="00782DF7" w:rsidRDefault="007B1111" w:rsidP="00E960F1">
            <w:pPr>
              <w:pStyle w:val="Tabletext"/>
              <w:jc w:val="right"/>
            </w:pPr>
            <w:r w:rsidRPr="00782DF7">
              <w:t>0</w:t>
            </w:r>
          </w:p>
        </w:tc>
        <w:tc>
          <w:tcPr>
            <w:tcW w:w="1134" w:type="dxa"/>
            <w:vAlign w:val="center"/>
          </w:tcPr>
          <w:p w:rsidR="007B1111" w:rsidRPr="00782DF7" w:rsidRDefault="007B1111" w:rsidP="00E960F1">
            <w:pPr>
              <w:pStyle w:val="Tabletext"/>
              <w:jc w:val="right"/>
            </w:pPr>
            <w:r w:rsidRPr="00782DF7">
              <w:t>0</w:t>
            </w:r>
          </w:p>
        </w:tc>
        <w:tc>
          <w:tcPr>
            <w:tcW w:w="1134" w:type="dxa"/>
            <w:vAlign w:val="center"/>
          </w:tcPr>
          <w:p w:rsidR="007B1111" w:rsidRPr="00782DF7" w:rsidRDefault="007B1111" w:rsidP="00E960F1">
            <w:pPr>
              <w:pStyle w:val="Tabletext"/>
              <w:jc w:val="right"/>
            </w:pPr>
            <w:r w:rsidRPr="00782DF7">
              <w:t>16</w:t>
            </w:r>
          </w:p>
        </w:tc>
      </w:tr>
      <w:tr w:rsidR="007B1111" w:rsidTr="00E960F1">
        <w:tc>
          <w:tcPr>
            <w:tcW w:w="2381" w:type="dxa"/>
          </w:tcPr>
          <w:p w:rsidR="007B1111" w:rsidRPr="00782DF7" w:rsidRDefault="007B1111" w:rsidP="007B1111">
            <w:pPr>
              <w:pStyle w:val="Tabletext"/>
            </w:pPr>
            <w:r w:rsidRPr="00782DF7">
              <w:t>Other agencies</w:t>
            </w:r>
          </w:p>
        </w:tc>
        <w:tc>
          <w:tcPr>
            <w:tcW w:w="1191" w:type="dxa"/>
            <w:vAlign w:val="center"/>
          </w:tcPr>
          <w:p w:rsidR="007B1111" w:rsidRPr="00782DF7" w:rsidRDefault="007B1111" w:rsidP="00E960F1">
            <w:pPr>
              <w:pStyle w:val="Tabletext"/>
              <w:jc w:val="right"/>
            </w:pPr>
            <w:r w:rsidRPr="00782DF7">
              <w:t>25</w:t>
            </w:r>
          </w:p>
        </w:tc>
        <w:tc>
          <w:tcPr>
            <w:tcW w:w="1134" w:type="dxa"/>
            <w:vAlign w:val="center"/>
          </w:tcPr>
          <w:p w:rsidR="007B1111" w:rsidRPr="00782DF7" w:rsidRDefault="007B1111" w:rsidP="00E960F1">
            <w:pPr>
              <w:pStyle w:val="Tabletext"/>
              <w:jc w:val="right"/>
            </w:pPr>
            <w:r w:rsidRPr="00782DF7">
              <w:t>24</w:t>
            </w:r>
          </w:p>
        </w:tc>
        <w:tc>
          <w:tcPr>
            <w:tcW w:w="1247" w:type="dxa"/>
            <w:vAlign w:val="center"/>
          </w:tcPr>
          <w:p w:rsidR="007B1111" w:rsidRPr="00782DF7" w:rsidRDefault="007B1111" w:rsidP="00E960F1">
            <w:pPr>
              <w:pStyle w:val="Tabletext"/>
              <w:jc w:val="right"/>
            </w:pPr>
            <w:r w:rsidRPr="00782DF7">
              <w:t>35</w:t>
            </w:r>
          </w:p>
        </w:tc>
        <w:tc>
          <w:tcPr>
            <w:tcW w:w="1134" w:type="dxa"/>
            <w:vAlign w:val="center"/>
          </w:tcPr>
          <w:p w:rsidR="007B1111" w:rsidRPr="00782DF7" w:rsidRDefault="007B1111" w:rsidP="00E960F1">
            <w:pPr>
              <w:pStyle w:val="Tabletext"/>
              <w:jc w:val="right"/>
            </w:pPr>
            <w:r w:rsidRPr="00782DF7">
              <w:t>12</w:t>
            </w:r>
          </w:p>
        </w:tc>
        <w:tc>
          <w:tcPr>
            <w:tcW w:w="1134" w:type="dxa"/>
            <w:vAlign w:val="center"/>
          </w:tcPr>
          <w:p w:rsidR="007B1111" w:rsidRPr="00782DF7" w:rsidRDefault="007B1111" w:rsidP="00E960F1">
            <w:pPr>
              <w:pStyle w:val="Tabletext"/>
              <w:jc w:val="right"/>
            </w:pPr>
            <w:r w:rsidRPr="00782DF7">
              <w:t>7</w:t>
            </w:r>
          </w:p>
        </w:tc>
        <w:tc>
          <w:tcPr>
            <w:tcW w:w="1134" w:type="dxa"/>
            <w:vAlign w:val="center"/>
          </w:tcPr>
          <w:p w:rsidR="007B1111" w:rsidRPr="00782DF7" w:rsidRDefault="007B1111" w:rsidP="00E960F1">
            <w:pPr>
              <w:pStyle w:val="Tabletext"/>
              <w:jc w:val="right"/>
            </w:pPr>
            <w:r w:rsidRPr="00782DF7">
              <w:t>5</w:t>
            </w:r>
          </w:p>
        </w:tc>
        <w:tc>
          <w:tcPr>
            <w:tcW w:w="1134" w:type="dxa"/>
            <w:vAlign w:val="center"/>
          </w:tcPr>
          <w:p w:rsidR="007B1111" w:rsidRPr="00782DF7" w:rsidRDefault="007B1111" w:rsidP="00E960F1">
            <w:pPr>
              <w:pStyle w:val="Tabletext"/>
              <w:jc w:val="right"/>
            </w:pPr>
            <w:r w:rsidRPr="00782DF7">
              <w:t>115</w:t>
            </w:r>
          </w:p>
        </w:tc>
      </w:tr>
      <w:tr w:rsidR="007B1111" w:rsidTr="00E960F1">
        <w:tc>
          <w:tcPr>
            <w:tcW w:w="2381" w:type="dxa"/>
          </w:tcPr>
          <w:p w:rsidR="007B1111" w:rsidRPr="00782DF7" w:rsidRDefault="007B1111" w:rsidP="007B1111">
            <w:pPr>
              <w:pStyle w:val="Tabletext"/>
            </w:pPr>
            <w:r w:rsidRPr="00782DF7">
              <w:t>Total</w:t>
            </w:r>
          </w:p>
        </w:tc>
        <w:tc>
          <w:tcPr>
            <w:tcW w:w="1191" w:type="dxa"/>
            <w:vAlign w:val="center"/>
          </w:tcPr>
          <w:p w:rsidR="007B1111" w:rsidRPr="00782DF7" w:rsidRDefault="007B1111" w:rsidP="00E960F1">
            <w:pPr>
              <w:pStyle w:val="Tabletext"/>
              <w:jc w:val="right"/>
            </w:pPr>
            <w:r w:rsidRPr="00782DF7">
              <w:t>119</w:t>
            </w:r>
          </w:p>
        </w:tc>
        <w:tc>
          <w:tcPr>
            <w:tcW w:w="1134" w:type="dxa"/>
            <w:vAlign w:val="center"/>
          </w:tcPr>
          <w:p w:rsidR="007B1111" w:rsidRPr="00782DF7" w:rsidRDefault="007B1111" w:rsidP="00E960F1">
            <w:pPr>
              <w:pStyle w:val="Tabletext"/>
              <w:jc w:val="right"/>
            </w:pPr>
            <w:r w:rsidRPr="00782DF7">
              <w:t>79</w:t>
            </w:r>
          </w:p>
        </w:tc>
        <w:tc>
          <w:tcPr>
            <w:tcW w:w="1247" w:type="dxa"/>
            <w:vAlign w:val="center"/>
          </w:tcPr>
          <w:p w:rsidR="007B1111" w:rsidRPr="00782DF7" w:rsidRDefault="007B1111" w:rsidP="00E960F1">
            <w:pPr>
              <w:pStyle w:val="Tabletext"/>
              <w:jc w:val="right"/>
            </w:pPr>
            <w:r w:rsidRPr="00782DF7">
              <w:t>111</w:t>
            </w:r>
          </w:p>
        </w:tc>
        <w:tc>
          <w:tcPr>
            <w:tcW w:w="1134" w:type="dxa"/>
            <w:vAlign w:val="center"/>
          </w:tcPr>
          <w:p w:rsidR="007B1111" w:rsidRPr="00782DF7" w:rsidRDefault="007B1111" w:rsidP="00E960F1">
            <w:pPr>
              <w:pStyle w:val="Tabletext"/>
              <w:jc w:val="right"/>
            </w:pPr>
            <w:r w:rsidRPr="00782DF7">
              <w:t>37</w:t>
            </w:r>
          </w:p>
        </w:tc>
        <w:tc>
          <w:tcPr>
            <w:tcW w:w="1134" w:type="dxa"/>
            <w:vAlign w:val="center"/>
          </w:tcPr>
          <w:p w:rsidR="007B1111" w:rsidRPr="00782DF7" w:rsidRDefault="007B1111" w:rsidP="00E960F1">
            <w:pPr>
              <w:pStyle w:val="Tabletext"/>
              <w:jc w:val="right"/>
            </w:pPr>
            <w:r w:rsidRPr="00782DF7">
              <w:t>27</w:t>
            </w:r>
          </w:p>
        </w:tc>
        <w:tc>
          <w:tcPr>
            <w:tcW w:w="1134" w:type="dxa"/>
            <w:vAlign w:val="center"/>
          </w:tcPr>
          <w:p w:rsidR="007B1111" w:rsidRPr="00782DF7" w:rsidRDefault="007B1111" w:rsidP="00E960F1">
            <w:pPr>
              <w:pStyle w:val="Tabletext"/>
              <w:jc w:val="right"/>
            </w:pPr>
            <w:r w:rsidRPr="00782DF7">
              <w:t>14</w:t>
            </w:r>
          </w:p>
        </w:tc>
        <w:tc>
          <w:tcPr>
            <w:tcW w:w="1134" w:type="dxa"/>
            <w:vAlign w:val="center"/>
          </w:tcPr>
          <w:p w:rsidR="007B1111" w:rsidRDefault="007B1111" w:rsidP="00E960F1">
            <w:pPr>
              <w:pStyle w:val="Tabletext"/>
              <w:jc w:val="right"/>
            </w:pPr>
            <w:r w:rsidRPr="00782DF7">
              <w:t>401</w:t>
            </w:r>
          </w:p>
        </w:tc>
      </w:tr>
      <w:tr w:rsidR="007B1111" w:rsidTr="00E960F1">
        <w:tc>
          <w:tcPr>
            <w:tcW w:w="10489" w:type="dxa"/>
            <w:gridSpan w:val="8"/>
            <w:vAlign w:val="center"/>
          </w:tcPr>
          <w:p w:rsidR="007B1111" w:rsidRDefault="007B1111" w:rsidP="008D72B2">
            <w:pPr>
              <w:pStyle w:val="Tablerowheadings"/>
            </w:pPr>
            <w:r w:rsidRPr="00401818">
              <w:t>Percentage of fatalities</w:t>
            </w:r>
          </w:p>
        </w:tc>
      </w:tr>
      <w:tr w:rsidR="007B1111" w:rsidTr="00E960F1">
        <w:tc>
          <w:tcPr>
            <w:tcW w:w="2381" w:type="dxa"/>
          </w:tcPr>
          <w:p w:rsidR="007B1111" w:rsidRPr="003B500D" w:rsidRDefault="007B1111" w:rsidP="007B1111">
            <w:pPr>
              <w:pStyle w:val="Tabletext"/>
            </w:pPr>
            <w:r w:rsidRPr="003B500D">
              <w:t>Buildings &amp; other structures</w:t>
            </w:r>
          </w:p>
        </w:tc>
        <w:tc>
          <w:tcPr>
            <w:tcW w:w="1191" w:type="dxa"/>
            <w:vAlign w:val="center"/>
          </w:tcPr>
          <w:p w:rsidR="007B1111" w:rsidRPr="003B500D" w:rsidRDefault="007B1111" w:rsidP="00E960F1">
            <w:pPr>
              <w:pStyle w:val="Tabletext"/>
              <w:jc w:val="right"/>
            </w:pPr>
            <w:r w:rsidRPr="003B500D">
              <w:t>17%</w:t>
            </w:r>
          </w:p>
        </w:tc>
        <w:tc>
          <w:tcPr>
            <w:tcW w:w="1134" w:type="dxa"/>
            <w:vAlign w:val="center"/>
          </w:tcPr>
          <w:p w:rsidR="007B1111" w:rsidRPr="003B500D" w:rsidRDefault="007B1111" w:rsidP="00E960F1">
            <w:pPr>
              <w:pStyle w:val="Tabletext"/>
              <w:jc w:val="right"/>
            </w:pPr>
            <w:r w:rsidRPr="003B500D">
              <w:t>16%</w:t>
            </w:r>
          </w:p>
        </w:tc>
        <w:tc>
          <w:tcPr>
            <w:tcW w:w="1247" w:type="dxa"/>
            <w:vAlign w:val="center"/>
          </w:tcPr>
          <w:p w:rsidR="007B1111" w:rsidRPr="003B500D" w:rsidRDefault="007B1111" w:rsidP="00E960F1">
            <w:pPr>
              <w:pStyle w:val="Tabletext"/>
              <w:jc w:val="right"/>
            </w:pPr>
            <w:r w:rsidRPr="003B500D">
              <w:t>14%</w:t>
            </w:r>
          </w:p>
        </w:tc>
        <w:tc>
          <w:tcPr>
            <w:tcW w:w="1134" w:type="dxa"/>
            <w:vAlign w:val="center"/>
          </w:tcPr>
          <w:p w:rsidR="007B1111" w:rsidRPr="003B500D" w:rsidRDefault="007B1111" w:rsidP="00E960F1">
            <w:pPr>
              <w:pStyle w:val="Tabletext"/>
              <w:jc w:val="right"/>
            </w:pPr>
            <w:r w:rsidRPr="003B500D">
              <w:t>14%</w:t>
            </w:r>
          </w:p>
        </w:tc>
        <w:tc>
          <w:tcPr>
            <w:tcW w:w="1134" w:type="dxa"/>
            <w:vAlign w:val="center"/>
          </w:tcPr>
          <w:p w:rsidR="007B1111" w:rsidRPr="003B500D" w:rsidRDefault="007B1111" w:rsidP="00E960F1">
            <w:pPr>
              <w:pStyle w:val="Tabletext"/>
              <w:jc w:val="right"/>
            </w:pPr>
            <w:r w:rsidRPr="003B500D">
              <w:t>11%</w:t>
            </w:r>
          </w:p>
        </w:tc>
        <w:tc>
          <w:tcPr>
            <w:tcW w:w="1134" w:type="dxa"/>
            <w:vAlign w:val="center"/>
          </w:tcPr>
          <w:p w:rsidR="007B1111" w:rsidRPr="003B500D" w:rsidRDefault="007B1111" w:rsidP="00E960F1">
            <w:pPr>
              <w:pStyle w:val="Tabletext"/>
              <w:jc w:val="right"/>
            </w:pPr>
            <w:r w:rsidRPr="003B500D">
              <w:t>14%</w:t>
            </w:r>
          </w:p>
        </w:tc>
        <w:tc>
          <w:tcPr>
            <w:tcW w:w="1134" w:type="dxa"/>
            <w:vAlign w:val="center"/>
          </w:tcPr>
          <w:p w:rsidR="007B1111" w:rsidRPr="003B500D" w:rsidRDefault="007B1111" w:rsidP="00E960F1">
            <w:pPr>
              <w:pStyle w:val="Tabletext"/>
              <w:jc w:val="right"/>
            </w:pPr>
            <w:r w:rsidRPr="003B500D">
              <w:t>15%</w:t>
            </w:r>
          </w:p>
        </w:tc>
      </w:tr>
      <w:tr w:rsidR="007B1111" w:rsidTr="00E960F1">
        <w:tc>
          <w:tcPr>
            <w:tcW w:w="2381" w:type="dxa"/>
          </w:tcPr>
          <w:p w:rsidR="007B1111" w:rsidRPr="003B500D" w:rsidRDefault="007B1111" w:rsidP="007B1111">
            <w:pPr>
              <w:pStyle w:val="Tabletext"/>
            </w:pPr>
            <w:r w:rsidRPr="003B500D">
              <w:t>Trucks, semi-trailers, lorries</w:t>
            </w:r>
          </w:p>
        </w:tc>
        <w:tc>
          <w:tcPr>
            <w:tcW w:w="1191" w:type="dxa"/>
            <w:vAlign w:val="center"/>
          </w:tcPr>
          <w:p w:rsidR="007B1111" w:rsidRPr="003B500D" w:rsidRDefault="007B1111" w:rsidP="00E960F1">
            <w:pPr>
              <w:pStyle w:val="Tabletext"/>
              <w:jc w:val="right"/>
            </w:pPr>
            <w:r w:rsidRPr="003B500D">
              <w:t>10%</w:t>
            </w:r>
          </w:p>
        </w:tc>
        <w:tc>
          <w:tcPr>
            <w:tcW w:w="1134" w:type="dxa"/>
            <w:vAlign w:val="center"/>
          </w:tcPr>
          <w:p w:rsidR="007B1111" w:rsidRPr="003B500D" w:rsidRDefault="007B1111" w:rsidP="00E960F1">
            <w:pPr>
              <w:pStyle w:val="Tabletext"/>
              <w:jc w:val="right"/>
            </w:pPr>
            <w:r w:rsidRPr="003B500D">
              <w:t>13%</w:t>
            </w:r>
          </w:p>
        </w:tc>
        <w:tc>
          <w:tcPr>
            <w:tcW w:w="1247" w:type="dxa"/>
            <w:vAlign w:val="center"/>
          </w:tcPr>
          <w:p w:rsidR="007B1111" w:rsidRPr="003B500D" w:rsidRDefault="007B1111" w:rsidP="00E960F1">
            <w:pPr>
              <w:pStyle w:val="Tabletext"/>
              <w:jc w:val="right"/>
            </w:pPr>
            <w:r w:rsidRPr="003B500D">
              <w:t>11%</w:t>
            </w:r>
          </w:p>
        </w:tc>
        <w:tc>
          <w:tcPr>
            <w:tcW w:w="1134" w:type="dxa"/>
            <w:vAlign w:val="center"/>
          </w:tcPr>
          <w:p w:rsidR="007B1111" w:rsidRPr="003B500D" w:rsidRDefault="007B1111" w:rsidP="00E960F1">
            <w:pPr>
              <w:pStyle w:val="Tabletext"/>
              <w:jc w:val="right"/>
            </w:pPr>
            <w:r w:rsidRPr="003B500D">
              <w:t>5%</w:t>
            </w:r>
          </w:p>
        </w:tc>
        <w:tc>
          <w:tcPr>
            <w:tcW w:w="1134" w:type="dxa"/>
            <w:vAlign w:val="center"/>
          </w:tcPr>
          <w:p w:rsidR="007B1111" w:rsidRPr="003B500D" w:rsidRDefault="007B1111" w:rsidP="00E960F1">
            <w:pPr>
              <w:pStyle w:val="Tabletext"/>
              <w:jc w:val="right"/>
            </w:pPr>
            <w:r w:rsidRPr="003B500D">
              <w:t>7%</w:t>
            </w:r>
          </w:p>
        </w:tc>
        <w:tc>
          <w:tcPr>
            <w:tcW w:w="1134" w:type="dxa"/>
            <w:vAlign w:val="center"/>
          </w:tcPr>
          <w:p w:rsidR="007B1111" w:rsidRPr="003B500D" w:rsidRDefault="007B1111" w:rsidP="00E960F1">
            <w:pPr>
              <w:pStyle w:val="Tabletext"/>
              <w:jc w:val="right"/>
            </w:pPr>
            <w:r w:rsidRPr="003B500D">
              <w:t>21%</w:t>
            </w:r>
          </w:p>
        </w:tc>
        <w:tc>
          <w:tcPr>
            <w:tcW w:w="1134" w:type="dxa"/>
            <w:vAlign w:val="center"/>
          </w:tcPr>
          <w:p w:rsidR="007B1111" w:rsidRPr="003B500D" w:rsidRDefault="007B1111" w:rsidP="00E960F1">
            <w:pPr>
              <w:pStyle w:val="Tabletext"/>
              <w:jc w:val="right"/>
            </w:pPr>
            <w:r w:rsidRPr="003B500D">
              <w:t>10%</w:t>
            </w:r>
          </w:p>
        </w:tc>
      </w:tr>
      <w:tr w:rsidR="007B1111" w:rsidTr="00E960F1">
        <w:tc>
          <w:tcPr>
            <w:tcW w:w="2381" w:type="dxa"/>
          </w:tcPr>
          <w:p w:rsidR="007B1111" w:rsidRPr="003B500D" w:rsidRDefault="007B1111" w:rsidP="007B1111">
            <w:pPr>
              <w:pStyle w:val="Tabletext"/>
            </w:pPr>
            <w:r w:rsidRPr="003B500D">
              <w:t>Electrical installation</w:t>
            </w:r>
          </w:p>
        </w:tc>
        <w:tc>
          <w:tcPr>
            <w:tcW w:w="1191" w:type="dxa"/>
            <w:vAlign w:val="center"/>
          </w:tcPr>
          <w:p w:rsidR="007B1111" w:rsidRPr="003B500D" w:rsidRDefault="007B1111" w:rsidP="00E960F1">
            <w:pPr>
              <w:pStyle w:val="Tabletext"/>
              <w:jc w:val="right"/>
            </w:pPr>
            <w:r w:rsidRPr="003B500D">
              <w:t>13%</w:t>
            </w:r>
          </w:p>
        </w:tc>
        <w:tc>
          <w:tcPr>
            <w:tcW w:w="1134" w:type="dxa"/>
            <w:vAlign w:val="center"/>
          </w:tcPr>
          <w:p w:rsidR="007B1111" w:rsidRPr="003B500D" w:rsidRDefault="007B1111" w:rsidP="00E960F1">
            <w:pPr>
              <w:pStyle w:val="Tabletext"/>
              <w:jc w:val="right"/>
            </w:pPr>
            <w:r w:rsidRPr="003B500D">
              <w:t>8%</w:t>
            </w:r>
          </w:p>
        </w:tc>
        <w:tc>
          <w:tcPr>
            <w:tcW w:w="1247" w:type="dxa"/>
            <w:vAlign w:val="center"/>
          </w:tcPr>
          <w:p w:rsidR="007B1111" w:rsidRPr="003B500D" w:rsidRDefault="007B1111" w:rsidP="00E960F1">
            <w:pPr>
              <w:pStyle w:val="Tabletext"/>
              <w:jc w:val="right"/>
            </w:pPr>
            <w:r w:rsidRPr="003B500D">
              <w:t>10%</w:t>
            </w:r>
          </w:p>
        </w:tc>
        <w:tc>
          <w:tcPr>
            <w:tcW w:w="1134" w:type="dxa"/>
            <w:vAlign w:val="center"/>
          </w:tcPr>
          <w:p w:rsidR="007B1111" w:rsidRPr="003B500D" w:rsidRDefault="007B1111" w:rsidP="00E960F1">
            <w:pPr>
              <w:pStyle w:val="Tabletext"/>
              <w:jc w:val="right"/>
            </w:pPr>
            <w:r w:rsidRPr="003B500D">
              <w:t>8%</w:t>
            </w:r>
          </w:p>
        </w:tc>
        <w:tc>
          <w:tcPr>
            <w:tcW w:w="1134" w:type="dxa"/>
            <w:vAlign w:val="center"/>
          </w:tcPr>
          <w:p w:rsidR="007B1111" w:rsidRPr="003B500D" w:rsidRDefault="007B1111" w:rsidP="00E960F1">
            <w:pPr>
              <w:pStyle w:val="Tabletext"/>
              <w:jc w:val="right"/>
            </w:pPr>
            <w:r w:rsidRPr="003B500D">
              <w:t>7%</w:t>
            </w:r>
          </w:p>
        </w:tc>
        <w:tc>
          <w:tcPr>
            <w:tcW w:w="1134" w:type="dxa"/>
            <w:vAlign w:val="center"/>
          </w:tcPr>
          <w:p w:rsidR="007B1111" w:rsidRPr="003B500D" w:rsidRDefault="007B1111" w:rsidP="00E960F1">
            <w:pPr>
              <w:pStyle w:val="Tabletext"/>
              <w:jc w:val="right"/>
            </w:pPr>
            <w:r w:rsidRPr="003B500D">
              <w:t>7%</w:t>
            </w:r>
          </w:p>
        </w:tc>
        <w:tc>
          <w:tcPr>
            <w:tcW w:w="1134" w:type="dxa"/>
            <w:vAlign w:val="center"/>
          </w:tcPr>
          <w:p w:rsidR="007B1111" w:rsidRPr="003B500D" w:rsidRDefault="007B1111" w:rsidP="00E960F1">
            <w:pPr>
              <w:pStyle w:val="Tabletext"/>
              <w:jc w:val="right"/>
            </w:pPr>
            <w:r w:rsidRPr="003B500D">
              <w:t>10%</w:t>
            </w:r>
          </w:p>
        </w:tc>
      </w:tr>
      <w:tr w:rsidR="007B1111" w:rsidTr="00E960F1">
        <w:tc>
          <w:tcPr>
            <w:tcW w:w="2381" w:type="dxa"/>
          </w:tcPr>
          <w:p w:rsidR="007B1111" w:rsidRPr="003B500D" w:rsidRDefault="007B1111" w:rsidP="007B1111">
            <w:pPr>
              <w:pStyle w:val="Tabletext"/>
            </w:pPr>
            <w:r w:rsidRPr="003B500D">
              <w:t>Cars, station wagons, vans, utilities</w:t>
            </w:r>
          </w:p>
        </w:tc>
        <w:tc>
          <w:tcPr>
            <w:tcW w:w="1191" w:type="dxa"/>
            <w:vAlign w:val="center"/>
          </w:tcPr>
          <w:p w:rsidR="007B1111" w:rsidRPr="003B500D" w:rsidRDefault="007B1111" w:rsidP="00E960F1">
            <w:pPr>
              <w:pStyle w:val="Tabletext"/>
              <w:jc w:val="right"/>
            </w:pPr>
            <w:r w:rsidRPr="003B500D">
              <w:t>10%</w:t>
            </w:r>
          </w:p>
        </w:tc>
        <w:tc>
          <w:tcPr>
            <w:tcW w:w="1134" w:type="dxa"/>
            <w:vAlign w:val="center"/>
          </w:tcPr>
          <w:p w:rsidR="007B1111" w:rsidRPr="003B500D" w:rsidRDefault="007B1111" w:rsidP="00E960F1">
            <w:pPr>
              <w:pStyle w:val="Tabletext"/>
              <w:jc w:val="right"/>
            </w:pPr>
            <w:r w:rsidRPr="003B500D">
              <w:t>10%</w:t>
            </w:r>
          </w:p>
        </w:tc>
        <w:tc>
          <w:tcPr>
            <w:tcW w:w="1247" w:type="dxa"/>
            <w:vAlign w:val="center"/>
          </w:tcPr>
          <w:p w:rsidR="007B1111" w:rsidRPr="003B500D" w:rsidRDefault="007B1111" w:rsidP="00E960F1">
            <w:pPr>
              <w:pStyle w:val="Tabletext"/>
              <w:jc w:val="right"/>
            </w:pPr>
            <w:r w:rsidRPr="003B500D">
              <w:t>8%</w:t>
            </w:r>
          </w:p>
        </w:tc>
        <w:tc>
          <w:tcPr>
            <w:tcW w:w="1134" w:type="dxa"/>
            <w:vAlign w:val="center"/>
          </w:tcPr>
          <w:p w:rsidR="007B1111" w:rsidRPr="003B500D" w:rsidRDefault="007B1111" w:rsidP="00E960F1">
            <w:pPr>
              <w:pStyle w:val="Tabletext"/>
              <w:jc w:val="right"/>
            </w:pPr>
            <w:r w:rsidRPr="003B500D">
              <w:t>8%</w:t>
            </w:r>
          </w:p>
        </w:tc>
        <w:tc>
          <w:tcPr>
            <w:tcW w:w="1134" w:type="dxa"/>
            <w:vAlign w:val="center"/>
          </w:tcPr>
          <w:p w:rsidR="007B1111" w:rsidRPr="003B500D" w:rsidRDefault="007B1111" w:rsidP="00E960F1">
            <w:pPr>
              <w:pStyle w:val="Tabletext"/>
              <w:jc w:val="right"/>
            </w:pPr>
            <w:r w:rsidRPr="003B500D">
              <w:t>11%</w:t>
            </w:r>
          </w:p>
        </w:tc>
        <w:tc>
          <w:tcPr>
            <w:tcW w:w="1134" w:type="dxa"/>
            <w:vAlign w:val="center"/>
          </w:tcPr>
          <w:p w:rsidR="007B1111" w:rsidRPr="003B500D" w:rsidRDefault="007B1111" w:rsidP="00E960F1">
            <w:pPr>
              <w:pStyle w:val="Tabletext"/>
              <w:jc w:val="right"/>
            </w:pPr>
            <w:r w:rsidRPr="003B500D">
              <w:t>7%</w:t>
            </w:r>
          </w:p>
        </w:tc>
        <w:tc>
          <w:tcPr>
            <w:tcW w:w="1134" w:type="dxa"/>
            <w:vAlign w:val="center"/>
          </w:tcPr>
          <w:p w:rsidR="007B1111" w:rsidRPr="003B500D" w:rsidRDefault="007B1111" w:rsidP="00E960F1">
            <w:pPr>
              <w:pStyle w:val="Tabletext"/>
              <w:jc w:val="right"/>
            </w:pPr>
            <w:r w:rsidRPr="003B500D">
              <w:t>9%</w:t>
            </w:r>
          </w:p>
        </w:tc>
      </w:tr>
      <w:tr w:rsidR="007B1111" w:rsidTr="00E960F1">
        <w:tc>
          <w:tcPr>
            <w:tcW w:w="2381" w:type="dxa"/>
          </w:tcPr>
          <w:p w:rsidR="007B1111" w:rsidRPr="003B500D" w:rsidRDefault="007B1111" w:rsidP="007B1111">
            <w:pPr>
              <w:pStyle w:val="Tabletext"/>
            </w:pPr>
            <w:r w:rsidRPr="003B500D">
              <w:t>Self-propelled plant</w:t>
            </w:r>
          </w:p>
        </w:tc>
        <w:tc>
          <w:tcPr>
            <w:tcW w:w="1191" w:type="dxa"/>
            <w:vAlign w:val="center"/>
          </w:tcPr>
          <w:p w:rsidR="007B1111" w:rsidRPr="003B500D" w:rsidRDefault="007B1111" w:rsidP="00E960F1">
            <w:pPr>
              <w:pStyle w:val="Tabletext"/>
              <w:jc w:val="right"/>
            </w:pPr>
            <w:r w:rsidRPr="003B500D">
              <w:t>8%</w:t>
            </w:r>
          </w:p>
        </w:tc>
        <w:tc>
          <w:tcPr>
            <w:tcW w:w="1134" w:type="dxa"/>
            <w:vAlign w:val="center"/>
          </w:tcPr>
          <w:p w:rsidR="007B1111" w:rsidRPr="003B500D" w:rsidRDefault="007B1111" w:rsidP="00E960F1">
            <w:pPr>
              <w:pStyle w:val="Tabletext"/>
              <w:jc w:val="right"/>
            </w:pPr>
            <w:r w:rsidRPr="003B500D">
              <w:t>4%</w:t>
            </w:r>
          </w:p>
        </w:tc>
        <w:tc>
          <w:tcPr>
            <w:tcW w:w="1247" w:type="dxa"/>
            <w:vAlign w:val="center"/>
          </w:tcPr>
          <w:p w:rsidR="007B1111" w:rsidRPr="003B500D" w:rsidRDefault="007B1111" w:rsidP="00E960F1">
            <w:pPr>
              <w:pStyle w:val="Tabletext"/>
              <w:jc w:val="right"/>
            </w:pPr>
            <w:r w:rsidRPr="003B500D">
              <w:t>12%</w:t>
            </w:r>
          </w:p>
        </w:tc>
        <w:tc>
          <w:tcPr>
            <w:tcW w:w="1134" w:type="dxa"/>
            <w:vAlign w:val="center"/>
          </w:tcPr>
          <w:p w:rsidR="007B1111" w:rsidRPr="003B500D" w:rsidRDefault="007B1111" w:rsidP="00E960F1">
            <w:pPr>
              <w:pStyle w:val="Tabletext"/>
              <w:jc w:val="right"/>
            </w:pPr>
            <w:r w:rsidRPr="003B500D">
              <w:t>16%</w:t>
            </w:r>
          </w:p>
        </w:tc>
        <w:tc>
          <w:tcPr>
            <w:tcW w:w="1134" w:type="dxa"/>
            <w:vAlign w:val="center"/>
          </w:tcPr>
          <w:p w:rsidR="007B1111" w:rsidRPr="003B500D" w:rsidRDefault="007B1111" w:rsidP="00E960F1">
            <w:pPr>
              <w:pStyle w:val="Tabletext"/>
              <w:jc w:val="right"/>
            </w:pPr>
            <w:r w:rsidRPr="003B500D">
              <w:t>15%</w:t>
            </w:r>
          </w:p>
        </w:tc>
        <w:tc>
          <w:tcPr>
            <w:tcW w:w="1134" w:type="dxa"/>
            <w:vAlign w:val="center"/>
          </w:tcPr>
          <w:p w:rsidR="007B1111" w:rsidRPr="003B500D" w:rsidRDefault="007B1111" w:rsidP="00E960F1">
            <w:pPr>
              <w:pStyle w:val="Tabletext"/>
              <w:jc w:val="right"/>
            </w:pPr>
            <w:r w:rsidRPr="003B500D">
              <w:t>0%</w:t>
            </w:r>
          </w:p>
        </w:tc>
        <w:tc>
          <w:tcPr>
            <w:tcW w:w="1134" w:type="dxa"/>
            <w:vAlign w:val="center"/>
          </w:tcPr>
          <w:p w:rsidR="007B1111" w:rsidRPr="003B500D" w:rsidRDefault="007B1111" w:rsidP="00E960F1">
            <w:pPr>
              <w:pStyle w:val="Tabletext"/>
              <w:jc w:val="right"/>
            </w:pPr>
            <w:r w:rsidRPr="003B500D">
              <w:t>9%</w:t>
            </w:r>
          </w:p>
        </w:tc>
      </w:tr>
      <w:tr w:rsidR="007B1111" w:rsidTr="00E960F1">
        <w:tc>
          <w:tcPr>
            <w:tcW w:w="2381" w:type="dxa"/>
          </w:tcPr>
          <w:p w:rsidR="007B1111" w:rsidRPr="003B500D" w:rsidRDefault="007B1111" w:rsidP="007B1111">
            <w:pPr>
              <w:pStyle w:val="Tabletext"/>
            </w:pPr>
            <w:r w:rsidRPr="003B500D">
              <w:t>Ladders</w:t>
            </w:r>
          </w:p>
        </w:tc>
        <w:tc>
          <w:tcPr>
            <w:tcW w:w="1191" w:type="dxa"/>
            <w:vAlign w:val="center"/>
          </w:tcPr>
          <w:p w:rsidR="007B1111" w:rsidRPr="003B500D" w:rsidRDefault="007B1111" w:rsidP="00E960F1">
            <w:pPr>
              <w:pStyle w:val="Tabletext"/>
              <w:jc w:val="right"/>
            </w:pPr>
            <w:r w:rsidRPr="003B500D">
              <w:t>11%</w:t>
            </w:r>
          </w:p>
        </w:tc>
        <w:tc>
          <w:tcPr>
            <w:tcW w:w="1134" w:type="dxa"/>
            <w:vAlign w:val="center"/>
          </w:tcPr>
          <w:p w:rsidR="007B1111" w:rsidRPr="003B500D" w:rsidRDefault="007B1111" w:rsidP="00E960F1">
            <w:pPr>
              <w:pStyle w:val="Tabletext"/>
              <w:jc w:val="right"/>
            </w:pPr>
            <w:r w:rsidRPr="003B500D">
              <w:t>9%</w:t>
            </w:r>
          </w:p>
        </w:tc>
        <w:tc>
          <w:tcPr>
            <w:tcW w:w="1247" w:type="dxa"/>
            <w:vAlign w:val="center"/>
          </w:tcPr>
          <w:p w:rsidR="007B1111" w:rsidRPr="003B500D" w:rsidRDefault="007B1111" w:rsidP="00E960F1">
            <w:pPr>
              <w:pStyle w:val="Tabletext"/>
              <w:jc w:val="right"/>
            </w:pPr>
            <w:r w:rsidRPr="003B500D">
              <w:t>2%</w:t>
            </w:r>
          </w:p>
        </w:tc>
        <w:tc>
          <w:tcPr>
            <w:tcW w:w="1134" w:type="dxa"/>
            <w:vAlign w:val="center"/>
          </w:tcPr>
          <w:p w:rsidR="007B1111" w:rsidRPr="003B500D" w:rsidRDefault="007B1111" w:rsidP="00E960F1">
            <w:pPr>
              <w:pStyle w:val="Tabletext"/>
              <w:jc w:val="right"/>
            </w:pPr>
            <w:r w:rsidRPr="003B500D">
              <w:t>3%</w:t>
            </w:r>
          </w:p>
        </w:tc>
        <w:tc>
          <w:tcPr>
            <w:tcW w:w="1134" w:type="dxa"/>
            <w:vAlign w:val="center"/>
          </w:tcPr>
          <w:p w:rsidR="007B1111" w:rsidRPr="003B500D" w:rsidRDefault="007B1111" w:rsidP="00E960F1">
            <w:pPr>
              <w:pStyle w:val="Tabletext"/>
              <w:jc w:val="right"/>
            </w:pPr>
            <w:r w:rsidRPr="003B500D">
              <w:t>15%</w:t>
            </w:r>
          </w:p>
        </w:tc>
        <w:tc>
          <w:tcPr>
            <w:tcW w:w="1134" w:type="dxa"/>
            <w:vAlign w:val="center"/>
          </w:tcPr>
          <w:p w:rsidR="007B1111" w:rsidRPr="003B500D" w:rsidRDefault="007B1111" w:rsidP="00E960F1">
            <w:pPr>
              <w:pStyle w:val="Tabletext"/>
              <w:jc w:val="right"/>
            </w:pPr>
            <w:r w:rsidRPr="003B500D">
              <w:t>7%</w:t>
            </w:r>
          </w:p>
        </w:tc>
        <w:tc>
          <w:tcPr>
            <w:tcW w:w="1134" w:type="dxa"/>
            <w:vAlign w:val="center"/>
          </w:tcPr>
          <w:p w:rsidR="007B1111" w:rsidRPr="003B500D" w:rsidRDefault="007B1111" w:rsidP="00E960F1">
            <w:pPr>
              <w:pStyle w:val="Tabletext"/>
              <w:jc w:val="right"/>
            </w:pPr>
            <w:r w:rsidRPr="003B500D">
              <w:t>7%</w:t>
            </w:r>
          </w:p>
        </w:tc>
      </w:tr>
      <w:tr w:rsidR="007B1111" w:rsidRPr="00401818" w:rsidTr="00E960F1">
        <w:tc>
          <w:tcPr>
            <w:tcW w:w="2381" w:type="dxa"/>
          </w:tcPr>
          <w:p w:rsidR="007B1111" w:rsidRPr="003B500D" w:rsidRDefault="007B1111" w:rsidP="007B1111">
            <w:pPr>
              <w:pStyle w:val="Tabletext"/>
            </w:pPr>
            <w:r w:rsidRPr="003B500D">
              <w:t>Conveyors and lifting plant</w:t>
            </w:r>
          </w:p>
        </w:tc>
        <w:tc>
          <w:tcPr>
            <w:tcW w:w="1191" w:type="dxa"/>
            <w:vAlign w:val="center"/>
          </w:tcPr>
          <w:p w:rsidR="007B1111" w:rsidRPr="003B500D" w:rsidRDefault="007B1111" w:rsidP="00E960F1">
            <w:pPr>
              <w:pStyle w:val="Tabletext"/>
              <w:jc w:val="right"/>
            </w:pPr>
            <w:r w:rsidRPr="003B500D">
              <w:t>3%</w:t>
            </w:r>
          </w:p>
        </w:tc>
        <w:tc>
          <w:tcPr>
            <w:tcW w:w="1134" w:type="dxa"/>
            <w:vAlign w:val="center"/>
          </w:tcPr>
          <w:p w:rsidR="007B1111" w:rsidRPr="003B500D" w:rsidRDefault="007B1111" w:rsidP="00E960F1">
            <w:pPr>
              <w:pStyle w:val="Tabletext"/>
              <w:jc w:val="right"/>
            </w:pPr>
            <w:r w:rsidRPr="003B500D">
              <w:t>9%</w:t>
            </w:r>
          </w:p>
        </w:tc>
        <w:tc>
          <w:tcPr>
            <w:tcW w:w="1247" w:type="dxa"/>
            <w:vAlign w:val="center"/>
          </w:tcPr>
          <w:p w:rsidR="007B1111" w:rsidRPr="003B500D" w:rsidRDefault="007B1111" w:rsidP="00E960F1">
            <w:pPr>
              <w:pStyle w:val="Tabletext"/>
              <w:jc w:val="right"/>
            </w:pPr>
            <w:r w:rsidRPr="003B500D">
              <w:t>7%</w:t>
            </w:r>
          </w:p>
        </w:tc>
        <w:tc>
          <w:tcPr>
            <w:tcW w:w="1134" w:type="dxa"/>
            <w:vAlign w:val="center"/>
          </w:tcPr>
          <w:p w:rsidR="007B1111" w:rsidRPr="003B500D" w:rsidRDefault="007B1111" w:rsidP="00E960F1">
            <w:pPr>
              <w:pStyle w:val="Tabletext"/>
              <w:jc w:val="right"/>
            </w:pPr>
            <w:r w:rsidRPr="003B500D">
              <w:t>8%</w:t>
            </w:r>
          </w:p>
        </w:tc>
        <w:tc>
          <w:tcPr>
            <w:tcW w:w="1134" w:type="dxa"/>
            <w:vAlign w:val="center"/>
          </w:tcPr>
          <w:p w:rsidR="007B1111" w:rsidRPr="003B500D" w:rsidRDefault="007B1111" w:rsidP="00E960F1">
            <w:pPr>
              <w:pStyle w:val="Tabletext"/>
              <w:jc w:val="right"/>
            </w:pPr>
            <w:r w:rsidRPr="003B500D">
              <w:t>7%</w:t>
            </w:r>
          </w:p>
        </w:tc>
        <w:tc>
          <w:tcPr>
            <w:tcW w:w="1134" w:type="dxa"/>
            <w:vAlign w:val="center"/>
          </w:tcPr>
          <w:p w:rsidR="007B1111" w:rsidRPr="003B500D" w:rsidRDefault="007B1111" w:rsidP="00E960F1">
            <w:pPr>
              <w:pStyle w:val="Tabletext"/>
              <w:jc w:val="right"/>
            </w:pPr>
            <w:r w:rsidRPr="003B500D">
              <w:t>7%</w:t>
            </w:r>
          </w:p>
        </w:tc>
        <w:tc>
          <w:tcPr>
            <w:tcW w:w="1134" w:type="dxa"/>
            <w:vAlign w:val="center"/>
          </w:tcPr>
          <w:p w:rsidR="007B1111" w:rsidRPr="003B500D" w:rsidRDefault="007B1111" w:rsidP="00E960F1">
            <w:pPr>
              <w:pStyle w:val="Tabletext"/>
              <w:jc w:val="right"/>
            </w:pPr>
            <w:r w:rsidRPr="003B500D">
              <w:t>6%</w:t>
            </w:r>
          </w:p>
        </w:tc>
      </w:tr>
      <w:tr w:rsidR="007B1111" w:rsidRPr="00401818" w:rsidTr="00E960F1">
        <w:tc>
          <w:tcPr>
            <w:tcW w:w="2381" w:type="dxa"/>
          </w:tcPr>
          <w:p w:rsidR="007B1111" w:rsidRPr="003B500D" w:rsidRDefault="007B1111" w:rsidP="007B1111">
            <w:pPr>
              <w:pStyle w:val="Tabletext"/>
            </w:pPr>
            <w:r w:rsidRPr="003B500D">
              <w:t>Scaffolding</w:t>
            </w:r>
          </w:p>
        </w:tc>
        <w:tc>
          <w:tcPr>
            <w:tcW w:w="1191" w:type="dxa"/>
            <w:vAlign w:val="center"/>
          </w:tcPr>
          <w:p w:rsidR="007B1111" w:rsidRPr="003B500D" w:rsidRDefault="007B1111" w:rsidP="00E960F1">
            <w:pPr>
              <w:pStyle w:val="Tabletext"/>
              <w:jc w:val="right"/>
            </w:pPr>
            <w:r w:rsidRPr="003B500D">
              <w:t>7%</w:t>
            </w:r>
          </w:p>
        </w:tc>
        <w:tc>
          <w:tcPr>
            <w:tcW w:w="1134" w:type="dxa"/>
            <w:vAlign w:val="center"/>
          </w:tcPr>
          <w:p w:rsidR="007B1111" w:rsidRPr="003B500D" w:rsidRDefault="007B1111" w:rsidP="00E960F1">
            <w:pPr>
              <w:pStyle w:val="Tabletext"/>
              <w:jc w:val="right"/>
            </w:pPr>
            <w:r w:rsidRPr="003B500D">
              <w:t>1%</w:t>
            </w:r>
          </w:p>
        </w:tc>
        <w:tc>
          <w:tcPr>
            <w:tcW w:w="1247" w:type="dxa"/>
            <w:vAlign w:val="center"/>
          </w:tcPr>
          <w:p w:rsidR="007B1111" w:rsidRPr="003B500D" w:rsidRDefault="007B1111" w:rsidP="00E960F1">
            <w:pPr>
              <w:pStyle w:val="Tabletext"/>
              <w:jc w:val="right"/>
            </w:pPr>
            <w:r w:rsidRPr="003B500D">
              <w:t>5%</w:t>
            </w:r>
          </w:p>
        </w:tc>
        <w:tc>
          <w:tcPr>
            <w:tcW w:w="1134" w:type="dxa"/>
            <w:vAlign w:val="center"/>
          </w:tcPr>
          <w:p w:rsidR="007B1111" w:rsidRPr="003B500D" w:rsidRDefault="007B1111" w:rsidP="00E960F1">
            <w:pPr>
              <w:pStyle w:val="Tabletext"/>
              <w:jc w:val="right"/>
            </w:pPr>
            <w:r w:rsidRPr="003B500D">
              <w:t>5%</w:t>
            </w:r>
          </w:p>
        </w:tc>
        <w:tc>
          <w:tcPr>
            <w:tcW w:w="1134" w:type="dxa"/>
            <w:vAlign w:val="center"/>
          </w:tcPr>
          <w:p w:rsidR="007B1111" w:rsidRPr="003B500D" w:rsidRDefault="007B1111" w:rsidP="00E960F1">
            <w:pPr>
              <w:pStyle w:val="Tabletext"/>
              <w:jc w:val="right"/>
            </w:pPr>
            <w:r w:rsidRPr="003B500D">
              <w:t>0%</w:t>
            </w:r>
          </w:p>
        </w:tc>
        <w:tc>
          <w:tcPr>
            <w:tcW w:w="1134" w:type="dxa"/>
            <w:vAlign w:val="center"/>
          </w:tcPr>
          <w:p w:rsidR="007B1111" w:rsidRPr="003B500D" w:rsidRDefault="007B1111" w:rsidP="00E960F1">
            <w:pPr>
              <w:pStyle w:val="Tabletext"/>
              <w:jc w:val="right"/>
            </w:pPr>
            <w:r w:rsidRPr="003B500D">
              <w:t>0%</w:t>
            </w:r>
          </w:p>
        </w:tc>
        <w:tc>
          <w:tcPr>
            <w:tcW w:w="1134" w:type="dxa"/>
            <w:vAlign w:val="center"/>
          </w:tcPr>
          <w:p w:rsidR="007B1111" w:rsidRPr="003B500D" w:rsidRDefault="007B1111" w:rsidP="00E960F1">
            <w:pPr>
              <w:pStyle w:val="Tabletext"/>
              <w:jc w:val="right"/>
            </w:pPr>
            <w:r w:rsidRPr="003B500D">
              <w:t>4%</w:t>
            </w:r>
          </w:p>
        </w:tc>
      </w:tr>
      <w:tr w:rsidR="007B1111" w:rsidRPr="00401818" w:rsidTr="00E960F1">
        <w:tc>
          <w:tcPr>
            <w:tcW w:w="2381" w:type="dxa"/>
          </w:tcPr>
          <w:p w:rsidR="007B1111" w:rsidRPr="003B500D" w:rsidRDefault="007B1111" w:rsidP="007B1111">
            <w:pPr>
              <w:pStyle w:val="Tabletext"/>
            </w:pPr>
            <w:r w:rsidRPr="003B500D">
              <w:t>Other agencies</w:t>
            </w:r>
          </w:p>
        </w:tc>
        <w:tc>
          <w:tcPr>
            <w:tcW w:w="1191" w:type="dxa"/>
            <w:vAlign w:val="center"/>
          </w:tcPr>
          <w:p w:rsidR="007B1111" w:rsidRPr="003B500D" w:rsidRDefault="007B1111" w:rsidP="00E960F1">
            <w:pPr>
              <w:pStyle w:val="Tabletext"/>
              <w:jc w:val="right"/>
            </w:pPr>
            <w:r w:rsidRPr="003B500D">
              <w:t>21%</w:t>
            </w:r>
          </w:p>
        </w:tc>
        <w:tc>
          <w:tcPr>
            <w:tcW w:w="1134" w:type="dxa"/>
            <w:vAlign w:val="center"/>
          </w:tcPr>
          <w:p w:rsidR="007B1111" w:rsidRPr="003B500D" w:rsidRDefault="007B1111" w:rsidP="00E960F1">
            <w:pPr>
              <w:pStyle w:val="Tabletext"/>
              <w:jc w:val="right"/>
            </w:pPr>
            <w:r w:rsidRPr="003B500D">
              <w:t>30%</w:t>
            </w:r>
          </w:p>
        </w:tc>
        <w:tc>
          <w:tcPr>
            <w:tcW w:w="1247" w:type="dxa"/>
            <w:vAlign w:val="center"/>
          </w:tcPr>
          <w:p w:rsidR="007B1111" w:rsidRPr="003B500D" w:rsidRDefault="007B1111" w:rsidP="00E960F1">
            <w:pPr>
              <w:pStyle w:val="Tabletext"/>
              <w:jc w:val="right"/>
            </w:pPr>
            <w:r w:rsidRPr="003B500D">
              <w:t>32%</w:t>
            </w:r>
          </w:p>
        </w:tc>
        <w:tc>
          <w:tcPr>
            <w:tcW w:w="1134" w:type="dxa"/>
            <w:vAlign w:val="center"/>
          </w:tcPr>
          <w:p w:rsidR="007B1111" w:rsidRPr="003B500D" w:rsidRDefault="007B1111" w:rsidP="00E960F1">
            <w:pPr>
              <w:pStyle w:val="Tabletext"/>
              <w:jc w:val="right"/>
            </w:pPr>
            <w:r w:rsidRPr="003B500D">
              <w:t>32%</w:t>
            </w:r>
          </w:p>
        </w:tc>
        <w:tc>
          <w:tcPr>
            <w:tcW w:w="1134" w:type="dxa"/>
            <w:vAlign w:val="center"/>
          </w:tcPr>
          <w:p w:rsidR="007B1111" w:rsidRPr="003B500D" w:rsidRDefault="007B1111" w:rsidP="00E960F1">
            <w:pPr>
              <w:pStyle w:val="Tabletext"/>
              <w:jc w:val="right"/>
            </w:pPr>
            <w:r w:rsidRPr="003B500D">
              <w:t>26%</w:t>
            </w:r>
          </w:p>
        </w:tc>
        <w:tc>
          <w:tcPr>
            <w:tcW w:w="1134" w:type="dxa"/>
            <w:vAlign w:val="center"/>
          </w:tcPr>
          <w:p w:rsidR="007B1111" w:rsidRPr="003B500D" w:rsidRDefault="007B1111" w:rsidP="00E960F1">
            <w:pPr>
              <w:pStyle w:val="Tabletext"/>
              <w:jc w:val="right"/>
            </w:pPr>
            <w:r w:rsidRPr="003B500D">
              <w:t>36%</w:t>
            </w:r>
          </w:p>
        </w:tc>
        <w:tc>
          <w:tcPr>
            <w:tcW w:w="1134" w:type="dxa"/>
            <w:vAlign w:val="center"/>
          </w:tcPr>
          <w:p w:rsidR="007B1111" w:rsidRPr="003B500D" w:rsidRDefault="007B1111" w:rsidP="00E960F1">
            <w:pPr>
              <w:pStyle w:val="Tabletext"/>
              <w:jc w:val="right"/>
            </w:pPr>
            <w:r w:rsidRPr="003B500D">
              <w:t>29%</w:t>
            </w:r>
          </w:p>
        </w:tc>
      </w:tr>
      <w:tr w:rsidR="007B1111" w:rsidRPr="00401818" w:rsidTr="00E960F1">
        <w:tc>
          <w:tcPr>
            <w:tcW w:w="2381" w:type="dxa"/>
          </w:tcPr>
          <w:p w:rsidR="007B1111" w:rsidRPr="003B500D" w:rsidRDefault="007B1111" w:rsidP="007B1111">
            <w:pPr>
              <w:pStyle w:val="Tabletext"/>
            </w:pPr>
            <w:r w:rsidRPr="003B500D">
              <w:t>Total</w:t>
            </w:r>
          </w:p>
        </w:tc>
        <w:tc>
          <w:tcPr>
            <w:tcW w:w="1191" w:type="dxa"/>
            <w:vAlign w:val="center"/>
          </w:tcPr>
          <w:p w:rsidR="007B1111" w:rsidRPr="003B500D" w:rsidRDefault="007B1111" w:rsidP="00E960F1">
            <w:pPr>
              <w:pStyle w:val="Tabletext"/>
              <w:jc w:val="right"/>
            </w:pPr>
            <w:r w:rsidRPr="003B500D">
              <w:t>100%</w:t>
            </w:r>
          </w:p>
        </w:tc>
        <w:tc>
          <w:tcPr>
            <w:tcW w:w="1134" w:type="dxa"/>
            <w:vAlign w:val="center"/>
          </w:tcPr>
          <w:p w:rsidR="007B1111" w:rsidRPr="003B500D" w:rsidRDefault="007B1111" w:rsidP="00E960F1">
            <w:pPr>
              <w:pStyle w:val="Tabletext"/>
              <w:jc w:val="right"/>
            </w:pPr>
            <w:r w:rsidRPr="003B500D">
              <w:t>100%</w:t>
            </w:r>
          </w:p>
        </w:tc>
        <w:tc>
          <w:tcPr>
            <w:tcW w:w="1247" w:type="dxa"/>
            <w:vAlign w:val="center"/>
          </w:tcPr>
          <w:p w:rsidR="007B1111" w:rsidRPr="003B500D" w:rsidRDefault="007B1111" w:rsidP="00E960F1">
            <w:pPr>
              <w:pStyle w:val="Tabletext"/>
              <w:jc w:val="right"/>
            </w:pPr>
            <w:r w:rsidRPr="003B500D">
              <w:t>100%</w:t>
            </w:r>
          </w:p>
        </w:tc>
        <w:tc>
          <w:tcPr>
            <w:tcW w:w="1134" w:type="dxa"/>
            <w:vAlign w:val="center"/>
          </w:tcPr>
          <w:p w:rsidR="007B1111" w:rsidRPr="003B500D" w:rsidRDefault="007B1111" w:rsidP="00E960F1">
            <w:pPr>
              <w:pStyle w:val="Tabletext"/>
              <w:jc w:val="right"/>
            </w:pPr>
            <w:r w:rsidRPr="003B500D">
              <w:t>100%</w:t>
            </w:r>
          </w:p>
        </w:tc>
        <w:tc>
          <w:tcPr>
            <w:tcW w:w="1134" w:type="dxa"/>
            <w:vAlign w:val="center"/>
          </w:tcPr>
          <w:p w:rsidR="007B1111" w:rsidRPr="003B500D" w:rsidRDefault="007B1111" w:rsidP="00E960F1">
            <w:pPr>
              <w:pStyle w:val="Tabletext"/>
              <w:jc w:val="right"/>
            </w:pPr>
            <w:r w:rsidRPr="003B500D">
              <w:t>100%</w:t>
            </w:r>
          </w:p>
        </w:tc>
        <w:tc>
          <w:tcPr>
            <w:tcW w:w="1134" w:type="dxa"/>
            <w:vAlign w:val="center"/>
          </w:tcPr>
          <w:p w:rsidR="007B1111" w:rsidRPr="003B500D" w:rsidRDefault="007B1111" w:rsidP="00E960F1">
            <w:pPr>
              <w:pStyle w:val="Tabletext"/>
              <w:jc w:val="right"/>
            </w:pPr>
            <w:r w:rsidRPr="003B500D">
              <w:t>100%</w:t>
            </w:r>
          </w:p>
        </w:tc>
        <w:tc>
          <w:tcPr>
            <w:tcW w:w="1134" w:type="dxa"/>
            <w:vAlign w:val="center"/>
          </w:tcPr>
          <w:p w:rsidR="007B1111" w:rsidRDefault="007B1111" w:rsidP="00E960F1">
            <w:pPr>
              <w:pStyle w:val="Tabletext"/>
              <w:jc w:val="right"/>
            </w:pPr>
            <w:r w:rsidRPr="003B500D">
              <w:t>100%</w:t>
            </w:r>
          </w:p>
        </w:tc>
      </w:tr>
    </w:tbl>
    <w:p w:rsidR="007A509C" w:rsidRDefault="00982F9F" w:rsidP="00257F90">
      <w:pPr>
        <w:pStyle w:val="Heading2"/>
      </w:pPr>
      <w:bookmarkStart w:id="21" w:name="_Toc427590852"/>
      <w:r>
        <w:t>Fatalities by occupation</w:t>
      </w:r>
      <w:bookmarkEnd w:id="21"/>
    </w:p>
    <w:p w:rsidR="0085303A" w:rsidRDefault="0085303A" w:rsidP="00513A50">
      <w:pPr>
        <w:pStyle w:val="BodyText1"/>
      </w:pPr>
      <w:r w:rsidRPr="0085303A">
        <w:t xml:space="preserve">Nearly half (46%) of the worker fatalities in the construction industry involved people working as technicians &amp; trade workers. This was followed by </w:t>
      </w:r>
      <w:proofErr w:type="spellStart"/>
      <w:r w:rsidRPr="0085303A">
        <w:t>labourers</w:t>
      </w:r>
      <w:proofErr w:type="spellEnd"/>
      <w:r w:rsidRPr="0085303A">
        <w:t xml:space="preserve"> (28%) and machinery operators &amp; drivers (21%). There were 22 fatalities over the 11 years that did not involve workers in these three occupations.</w:t>
      </w:r>
    </w:p>
    <w:p w:rsidR="0085303A" w:rsidRDefault="0085303A" w:rsidP="00513A50">
      <w:pPr>
        <w:pStyle w:val="BodyText1"/>
      </w:pPr>
      <w:r w:rsidRPr="0085303A">
        <w:t>Table 16 shows that in 2013, nine technicians &amp; trade workers were killed. This is down from 13 in t</w:t>
      </w:r>
      <w:r w:rsidR="00982F9F">
        <w:t xml:space="preserve">he previous year and is nearly </w:t>
      </w:r>
      <w:r w:rsidRPr="0085303A">
        <w:t xml:space="preserve">one-third of the number killed in 2006 (25 fatalities). Similarly, the </w:t>
      </w:r>
      <w:proofErr w:type="spellStart"/>
      <w:proofErr w:type="gramStart"/>
      <w:r w:rsidRPr="0085303A">
        <w:t>labourers</w:t>
      </w:r>
      <w:proofErr w:type="spellEnd"/>
      <w:proofErr w:type="gramEnd"/>
      <w:r w:rsidRPr="0085303A">
        <w:t xml:space="preserve"> occupation group recorded a fall from the previous year. The seven </w:t>
      </w:r>
      <w:proofErr w:type="spellStart"/>
      <w:r w:rsidRPr="0085303A">
        <w:t>labourers</w:t>
      </w:r>
      <w:proofErr w:type="spellEnd"/>
      <w:r w:rsidRPr="0085303A">
        <w:t xml:space="preserve"> killed in 2013 is the lowe</w:t>
      </w:r>
      <w:r w:rsidR="007B1111">
        <w:t>st number in this occupation gro</w:t>
      </w:r>
      <w:r w:rsidRPr="0085303A">
        <w:t>up since 2004 when seven workers were also killed and is less than half the series high of 17 fatalities which was recorded in 2003.</w:t>
      </w:r>
    </w:p>
    <w:p w:rsidR="0085303A" w:rsidRDefault="0085303A" w:rsidP="00513A50">
      <w:pPr>
        <w:pStyle w:val="BodyText1"/>
      </w:pPr>
      <w:r w:rsidRPr="0085303A">
        <w:t>It is not possible to calculate fatality rates for these occupation groups within the construction industry as the number of workers in each group is not known. Despite the high number of fatalities among technicians &amp; trade workers, it is possible this occupation group may have a lower fatality rate than the other occupation groups due to its higher employment</w:t>
      </w:r>
      <w:r>
        <w:t>.</w:t>
      </w:r>
    </w:p>
    <w:p w:rsidR="003444F5" w:rsidRDefault="003444F5">
      <w:pPr>
        <w:rPr>
          <w:rFonts w:ascii="Arial" w:hAnsi="Arial" w:cs="Arial"/>
          <w:b/>
          <w:sz w:val="20"/>
          <w:lang w:val="en-US"/>
        </w:rPr>
      </w:pPr>
      <w:r>
        <w:br w:type="page"/>
      </w:r>
    </w:p>
    <w:p w:rsidR="0085303A" w:rsidRDefault="0085303A" w:rsidP="00982F9F">
      <w:pPr>
        <w:pStyle w:val="Tableheading"/>
      </w:pPr>
      <w:r>
        <w:t>Table 16: Worker fatalities in the construction industry: number by occupation, 2003 to 2013</w:t>
      </w:r>
    </w:p>
    <w:tbl>
      <w:tblPr>
        <w:tblStyle w:val="TableGrid"/>
        <w:tblW w:w="0" w:type="auto"/>
        <w:tblLook w:val="04A0" w:firstRow="1" w:lastRow="0" w:firstColumn="1" w:lastColumn="0" w:noHBand="0" w:noVBand="1"/>
        <w:tblCaption w:val="Table 16: Worker fatalities in the construction industry: number by occupation, 2003 to 2013"/>
        <w:tblDescription w:val="Table 16 shows that in 2013, nine technicians &amp; trade workers were killed. "/>
      </w:tblPr>
      <w:tblGrid>
        <w:gridCol w:w="1526"/>
        <w:gridCol w:w="1526"/>
        <w:gridCol w:w="1526"/>
        <w:gridCol w:w="1526"/>
        <w:gridCol w:w="1526"/>
        <w:gridCol w:w="1526"/>
        <w:gridCol w:w="1526"/>
      </w:tblGrid>
      <w:tr w:rsidR="007B1111" w:rsidTr="00715413">
        <w:trPr>
          <w:trHeight w:val="283"/>
          <w:tblHeader/>
        </w:trPr>
        <w:tc>
          <w:tcPr>
            <w:tcW w:w="1526" w:type="dxa"/>
            <w:shd w:val="clear" w:color="auto" w:fill="D9D9D9" w:themeFill="background1" w:themeFillShade="D9"/>
          </w:tcPr>
          <w:p w:rsidR="007B1111" w:rsidRPr="00972B23" w:rsidRDefault="007B1111" w:rsidP="007B1111">
            <w:pPr>
              <w:pStyle w:val="Tabletext"/>
            </w:pPr>
          </w:p>
        </w:tc>
        <w:tc>
          <w:tcPr>
            <w:tcW w:w="9156" w:type="dxa"/>
            <w:gridSpan w:val="6"/>
            <w:shd w:val="clear" w:color="auto" w:fill="D9D9D9" w:themeFill="background1" w:themeFillShade="D9"/>
            <w:vAlign w:val="center"/>
          </w:tcPr>
          <w:p w:rsidR="007B1111" w:rsidRPr="00972B23" w:rsidRDefault="007B1111" w:rsidP="007B1111">
            <w:pPr>
              <w:pStyle w:val="Tableheaderrow"/>
            </w:pPr>
            <w:r w:rsidRPr="00972B23">
              <w:t>Occupation</w:t>
            </w:r>
          </w:p>
        </w:tc>
      </w:tr>
      <w:tr w:rsidR="007B1111" w:rsidTr="00715413">
        <w:trPr>
          <w:tblHeader/>
        </w:trPr>
        <w:tc>
          <w:tcPr>
            <w:tcW w:w="1526" w:type="dxa"/>
            <w:shd w:val="clear" w:color="auto" w:fill="D9D9D9" w:themeFill="background1" w:themeFillShade="D9"/>
            <w:vAlign w:val="center"/>
          </w:tcPr>
          <w:p w:rsidR="007B1111" w:rsidRPr="00972B23" w:rsidRDefault="007B1111" w:rsidP="007B1111">
            <w:pPr>
              <w:pStyle w:val="Tableheaderrow"/>
            </w:pPr>
            <w:r w:rsidRPr="00972B23">
              <w:t>Year</w:t>
            </w:r>
          </w:p>
        </w:tc>
        <w:tc>
          <w:tcPr>
            <w:tcW w:w="1526" w:type="dxa"/>
            <w:shd w:val="clear" w:color="auto" w:fill="D9D9D9" w:themeFill="background1" w:themeFillShade="D9"/>
            <w:vAlign w:val="center"/>
          </w:tcPr>
          <w:p w:rsidR="007B1111" w:rsidRPr="00972B23" w:rsidRDefault="007B1111" w:rsidP="00E960F1">
            <w:pPr>
              <w:pStyle w:val="Tableheaderrow"/>
              <w:jc w:val="right"/>
            </w:pPr>
            <w:r w:rsidRPr="00972B23">
              <w:t>Technicians &amp; trades workers</w:t>
            </w:r>
          </w:p>
        </w:tc>
        <w:tc>
          <w:tcPr>
            <w:tcW w:w="1526" w:type="dxa"/>
            <w:shd w:val="clear" w:color="auto" w:fill="D9D9D9" w:themeFill="background1" w:themeFillShade="D9"/>
            <w:vAlign w:val="center"/>
          </w:tcPr>
          <w:p w:rsidR="007B1111" w:rsidRPr="00972B23" w:rsidRDefault="007B1111" w:rsidP="00E960F1">
            <w:pPr>
              <w:pStyle w:val="Tableheaderrow"/>
              <w:jc w:val="right"/>
            </w:pPr>
            <w:proofErr w:type="spellStart"/>
            <w:r w:rsidRPr="00972B23">
              <w:t>Labourers</w:t>
            </w:r>
            <w:proofErr w:type="spellEnd"/>
          </w:p>
        </w:tc>
        <w:tc>
          <w:tcPr>
            <w:tcW w:w="1526" w:type="dxa"/>
            <w:shd w:val="clear" w:color="auto" w:fill="D9D9D9" w:themeFill="background1" w:themeFillShade="D9"/>
            <w:vAlign w:val="center"/>
          </w:tcPr>
          <w:p w:rsidR="007B1111" w:rsidRPr="00972B23" w:rsidRDefault="007B1111" w:rsidP="00E960F1">
            <w:pPr>
              <w:pStyle w:val="Tableheaderrow"/>
              <w:jc w:val="right"/>
            </w:pPr>
            <w:r w:rsidRPr="00972B23">
              <w:t>Machinery operators &amp; drivers</w:t>
            </w:r>
          </w:p>
        </w:tc>
        <w:tc>
          <w:tcPr>
            <w:tcW w:w="1526" w:type="dxa"/>
            <w:shd w:val="clear" w:color="auto" w:fill="D9D9D9" w:themeFill="background1" w:themeFillShade="D9"/>
            <w:vAlign w:val="center"/>
          </w:tcPr>
          <w:p w:rsidR="007B1111" w:rsidRPr="00972B23" w:rsidRDefault="007B1111" w:rsidP="00E960F1">
            <w:pPr>
              <w:pStyle w:val="Tableheaderrow"/>
              <w:jc w:val="right"/>
            </w:pPr>
            <w:r w:rsidRPr="00972B23">
              <w:t>Managers</w:t>
            </w:r>
          </w:p>
        </w:tc>
        <w:tc>
          <w:tcPr>
            <w:tcW w:w="1526" w:type="dxa"/>
            <w:shd w:val="clear" w:color="auto" w:fill="D9D9D9" w:themeFill="background1" w:themeFillShade="D9"/>
            <w:vAlign w:val="center"/>
          </w:tcPr>
          <w:p w:rsidR="007B1111" w:rsidRPr="00972B23" w:rsidRDefault="007B1111" w:rsidP="00E960F1">
            <w:pPr>
              <w:pStyle w:val="Tableheaderrow"/>
              <w:jc w:val="right"/>
            </w:pPr>
            <w:r w:rsidRPr="00972B23">
              <w:t>Other occupations</w:t>
            </w:r>
          </w:p>
        </w:tc>
        <w:tc>
          <w:tcPr>
            <w:tcW w:w="1526" w:type="dxa"/>
            <w:shd w:val="clear" w:color="auto" w:fill="D9D9D9" w:themeFill="background1" w:themeFillShade="D9"/>
            <w:vAlign w:val="center"/>
          </w:tcPr>
          <w:p w:rsidR="007B1111" w:rsidRPr="00972B23" w:rsidRDefault="007B1111" w:rsidP="00E960F1">
            <w:pPr>
              <w:pStyle w:val="Tableheaderrow"/>
              <w:jc w:val="right"/>
            </w:pPr>
            <w:r w:rsidRPr="00972B23">
              <w:t>Total</w:t>
            </w:r>
          </w:p>
        </w:tc>
      </w:tr>
      <w:tr w:rsidR="007B1111" w:rsidTr="00E960F1">
        <w:tc>
          <w:tcPr>
            <w:tcW w:w="1526" w:type="dxa"/>
          </w:tcPr>
          <w:p w:rsidR="007B1111" w:rsidRPr="00972B23" w:rsidRDefault="007B1111" w:rsidP="007B1111">
            <w:pPr>
              <w:pStyle w:val="Tabletext"/>
            </w:pPr>
            <w:r w:rsidRPr="00972B23">
              <w:t>2003</w:t>
            </w:r>
          </w:p>
        </w:tc>
        <w:tc>
          <w:tcPr>
            <w:tcW w:w="1526" w:type="dxa"/>
            <w:vAlign w:val="center"/>
          </w:tcPr>
          <w:p w:rsidR="007B1111" w:rsidRPr="00972B23" w:rsidRDefault="007B1111" w:rsidP="00E960F1">
            <w:pPr>
              <w:pStyle w:val="Tabletext"/>
              <w:jc w:val="right"/>
            </w:pPr>
            <w:r w:rsidRPr="00972B23">
              <w:t>17</w:t>
            </w:r>
          </w:p>
        </w:tc>
        <w:tc>
          <w:tcPr>
            <w:tcW w:w="1526" w:type="dxa"/>
            <w:vAlign w:val="center"/>
          </w:tcPr>
          <w:p w:rsidR="007B1111" w:rsidRPr="00972B23" w:rsidRDefault="007B1111" w:rsidP="00E960F1">
            <w:pPr>
              <w:pStyle w:val="Tabletext"/>
              <w:jc w:val="right"/>
            </w:pPr>
            <w:r w:rsidRPr="00972B23">
              <w:t>17</w:t>
            </w:r>
          </w:p>
        </w:tc>
        <w:tc>
          <w:tcPr>
            <w:tcW w:w="1526" w:type="dxa"/>
            <w:vAlign w:val="center"/>
          </w:tcPr>
          <w:p w:rsidR="007B1111" w:rsidRPr="00972B23" w:rsidRDefault="007B1111" w:rsidP="00E960F1">
            <w:pPr>
              <w:pStyle w:val="Tabletext"/>
              <w:jc w:val="right"/>
            </w:pPr>
            <w:r w:rsidRPr="00972B23">
              <w:t>9</w:t>
            </w:r>
          </w:p>
        </w:tc>
        <w:tc>
          <w:tcPr>
            <w:tcW w:w="1526" w:type="dxa"/>
            <w:vAlign w:val="center"/>
          </w:tcPr>
          <w:p w:rsidR="007B1111" w:rsidRPr="00972B23" w:rsidRDefault="007B1111" w:rsidP="00E960F1">
            <w:pPr>
              <w:pStyle w:val="Tabletext"/>
              <w:jc w:val="right"/>
            </w:pPr>
            <w:r w:rsidRPr="00972B23">
              <w:t>0</w:t>
            </w:r>
          </w:p>
        </w:tc>
        <w:tc>
          <w:tcPr>
            <w:tcW w:w="1526" w:type="dxa"/>
            <w:vAlign w:val="center"/>
          </w:tcPr>
          <w:p w:rsidR="007B1111" w:rsidRPr="00972B23" w:rsidRDefault="007B1111" w:rsidP="00E960F1">
            <w:pPr>
              <w:pStyle w:val="Tabletext"/>
              <w:jc w:val="right"/>
            </w:pPr>
            <w:r w:rsidRPr="00972B23">
              <w:t>0</w:t>
            </w:r>
          </w:p>
        </w:tc>
        <w:tc>
          <w:tcPr>
            <w:tcW w:w="1526" w:type="dxa"/>
            <w:vAlign w:val="center"/>
          </w:tcPr>
          <w:p w:rsidR="007B1111" w:rsidRPr="00972B23" w:rsidRDefault="007B1111" w:rsidP="00E960F1">
            <w:pPr>
              <w:pStyle w:val="Tabletext"/>
              <w:jc w:val="right"/>
            </w:pPr>
            <w:r w:rsidRPr="00972B23">
              <w:t>43</w:t>
            </w:r>
          </w:p>
        </w:tc>
      </w:tr>
      <w:tr w:rsidR="007B1111" w:rsidTr="00E960F1">
        <w:tc>
          <w:tcPr>
            <w:tcW w:w="1526" w:type="dxa"/>
          </w:tcPr>
          <w:p w:rsidR="007B1111" w:rsidRPr="00972B23" w:rsidRDefault="007B1111" w:rsidP="007B1111">
            <w:pPr>
              <w:pStyle w:val="Tabletext"/>
            </w:pPr>
            <w:r w:rsidRPr="00972B23">
              <w:t>2004</w:t>
            </w:r>
          </w:p>
        </w:tc>
        <w:tc>
          <w:tcPr>
            <w:tcW w:w="1526" w:type="dxa"/>
            <w:vAlign w:val="center"/>
          </w:tcPr>
          <w:p w:rsidR="007B1111" w:rsidRPr="00972B23" w:rsidRDefault="007B1111" w:rsidP="00E960F1">
            <w:pPr>
              <w:pStyle w:val="Tabletext"/>
              <w:jc w:val="right"/>
            </w:pPr>
            <w:r w:rsidRPr="00972B23">
              <w:t>19</w:t>
            </w:r>
          </w:p>
        </w:tc>
        <w:tc>
          <w:tcPr>
            <w:tcW w:w="1526" w:type="dxa"/>
            <w:vAlign w:val="center"/>
          </w:tcPr>
          <w:p w:rsidR="007B1111" w:rsidRPr="00972B23" w:rsidRDefault="007B1111" w:rsidP="00E960F1">
            <w:pPr>
              <w:pStyle w:val="Tabletext"/>
              <w:jc w:val="right"/>
            </w:pPr>
            <w:r w:rsidRPr="00972B23">
              <w:t>7</w:t>
            </w:r>
          </w:p>
        </w:tc>
        <w:tc>
          <w:tcPr>
            <w:tcW w:w="1526" w:type="dxa"/>
            <w:vAlign w:val="center"/>
          </w:tcPr>
          <w:p w:rsidR="007B1111" w:rsidRPr="00972B23" w:rsidRDefault="007B1111" w:rsidP="00E960F1">
            <w:pPr>
              <w:pStyle w:val="Tabletext"/>
              <w:jc w:val="right"/>
            </w:pPr>
            <w:r w:rsidRPr="00972B23">
              <w:t>8</w:t>
            </w:r>
          </w:p>
        </w:tc>
        <w:tc>
          <w:tcPr>
            <w:tcW w:w="1526" w:type="dxa"/>
            <w:vAlign w:val="center"/>
          </w:tcPr>
          <w:p w:rsidR="007B1111" w:rsidRPr="00972B23" w:rsidRDefault="007B1111" w:rsidP="00E960F1">
            <w:pPr>
              <w:pStyle w:val="Tabletext"/>
              <w:jc w:val="right"/>
            </w:pPr>
            <w:r w:rsidRPr="00972B23">
              <w:t>1</w:t>
            </w:r>
          </w:p>
        </w:tc>
        <w:tc>
          <w:tcPr>
            <w:tcW w:w="1526" w:type="dxa"/>
            <w:vAlign w:val="center"/>
          </w:tcPr>
          <w:p w:rsidR="007B1111" w:rsidRPr="00972B23" w:rsidRDefault="007B1111" w:rsidP="00E960F1">
            <w:pPr>
              <w:pStyle w:val="Tabletext"/>
              <w:jc w:val="right"/>
            </w:pPr>
            <w:r w:rsidRPr="00972B23">
              <w:t>0</w:t>
            </w:r>
          </w:p>
        </w:tc>
        <w:tc>
          <w:tcPr>
            <w:tcW w:w="1526" w:type="dxa"/>
            <w:vAlign w:val="center"/>
          </w:tcPr>
          <w:p w:rsidR="007B1111" w:rsidRPr="00972B23" w:rsidRDefault="007B1111" w:rsidP="00E960F1">
            <w:pPr>
              <w:pStyle w:val="Tabletext"/>
              <w:jc w:val="right"/>
            </w:pPr>
            <w:r w:rsidRPr="00972B23">
              <w:t>35</w:t>
            </w:r>
          </w:p>
        </w:tc>
      </w:tr>
      <w:tr w:rsidR="007B1111" w:rsidTr="00E960F1">
        <w:tc>
          <w:tcPr>
            <w:tcW w:w="1526" w:type="dxa"/>
          </w:tcPr>
          <w:p w:rsidR="007B1111" w:rsidRPr="00972B23" w:rsidRDefault="007B1111" w:rsidP="007B1111">
            <w:pPr>
              <w:pStyle w:val="Tabletext"/>
            </w:pPr>
            <w:r w:rsidRPr="00972B23">
              <w:t>2005</w:t>
            </w:r>
          </w:p>
        </w:tc>
        <w:tc>
          <w:tcPr>
            <w:tcW w:w="1526" w:type="dxa"/>
            <w:vAlign w:val="center"/>
          </w:tcPr>
          <w:p w:rsidR="007B1111" w:rsidRPr="00972B23" w:rsidRDefault="007B1111" w:rsidP="00E960F1">
            <w:pPr>
              <w:pStyle w:val="Tabletext"/>
              <w:jc w:val="right"/>
            </w:pPr>
            <w:r w:rsidRPr="00972B23">
              <w:t>11</w:t>
            </w:r>
          </w:p>
        </w:tc>
        <w:tc>
          <w:tcPr>
            <w:tcW w:w="1526" w:type="dxa"/>
            <w:vAlign w:val="center"/>
          </w:tcPr>
          <w:p w:rsidR="007B1111" w:rsidRPr="00972B23" w:rsidRDefault="007B1111" w:rsidP="00E960F1">
            <w:pPr>
              <w:pStyle w:val="Tabletext"/>
              <w:jc w:val="right"/>
            </w:pPr>
            <w:r w:rsidRPr="00972B23">
              <w:t>9</w:t>
            </w:r>
          </w:p>
        </w:tc>
        <w:tc>
          <w:tcPr>
            <w:tcW w:w="1526" w:type="dxa"/>
            <w:vAlign w:val="center"/>
          </w:tcPr>
          <w:p w:rsidR="007B1111" w:rsidRPr="00972B23" w:rsidRDefault="007B1111" w:rsidP="00E960F1">
            <w:pPr>
              <w:pStyle w:val="Tabletext"/>
              <w:jc w:val="right"/>
            </w:pPr>
            <w:r w:rsidRPr="00972B23">
              <w:t>7</w:t>
            </w:r>
          </w:p>
        </w:tc>
        <w:tc>
          <w:tcPr>
            <w:tcW w:w="1526" w:type="dxa"/>
            <w:vAlign w:val="center"/>
          </w:tcPr>
          <w:p w:rsidR="007B1111" w:rsidRPr="00972B23" w:rsidRDefault="007B1111" w:rsidP="00E960F1">
            <w:pPr>
              <w:pStyle w:val="Tabletext"/>
              <w:jc w:val="right"/>
            </w:pPr>
            <w:r w:rsidRPr="00972B23">
              <w:t>2</w:t>
            </w:r>
          </w:p>
        </w:tc>
        <w:tc>
          <w:tcPr>
            <w:tcW w:w="1526" w:type="dxa"/>
            <w:vAlign w:val="center"/>
          </w:tcPr>
          <w:p w:rsidR="007B1111" w:rsidRPr="00972B23" w:rsidRDefault="007B1111" w:rsidP="00E960F1">
            <w:pPr>
              <w:pStyle w:val="Tabletext"/>
              <w:jc w:val="right"/>
            </w:pPr>
            <w:r w:rsidRPr="00972B23">
              <w:t>1</w:t>
            </w:r>
          </w:p>
        </w:tc>
        <w:tc>
          <w:tcPr>
            <w:tcW w:w="1526" w:type="dxa"/>
            <w:vAlign w:val="center"/>
          </w:tcPr>
          <w:p w:rsidR="007B1111" w:rsidRPr="00972B23" w:rsidRDefault="007B1111" w:rsidP="00E960F1">
            <w:pPr>
              <w:pStyle w:val="Tabletext"/>
              <w:jc w:val="right"/>
            </w:pPr>
            <w:r w:rsidRPr="00972B23">
              <w:t>30</w:t>
            </w:r>
          </w:p>
        </w:tc>
      </w:tr>
      <w:tr w:rsidR="007B1111" w:rsidTr="00E960F1">
        <w:tc>
          <w:tcPr>
            <w:tcW w:w="1526" w:type="dxa"/>
          </w:tcPr>
          <w:p w:rsidR="007B1111" w:rsidRPr="00972B23" w:rsidRDefault="007B1111" w:rsidP="007B1111">
            <w:pPr>
              <w:pStyle w:val="Tabletext"/>
            </w:pPr>
            <w:r w:rsidRPr="00972B23">
              <w:t>2006</w:t>
            </w:r>
          </w:p>
        </w:tc>
        <w:tc>
          <w:tcPr>
            <w:tcW w:w="1526" w:type="dxa"/>
            <w:vAlign w:val="center"/>
          </w:tcPr>
          <w:p w:rsidR="007B1111" w:rsidRPr="00972B23" w:rsidRDefault="007B1111" w:rsidP="00E960F1">
            <w:pPr>
              <w:pStyle w:val="Tabletext"/>
              <w:jc w:val="right"/>
            </w:pPr>
            <w:r w:rsidRPr="00972B23">
              <w:t>25</w:t>
            </w:r>
          </w:p>
        </w:tc>
        <w:tc>
          <w:tcPr>
            <w:tcW w:w="1526" w:type="dxa"/>
            <w:vAlign w:val="center"/>
          </w:tcPr>
          <w:p w:rsidR="007B1111" w:rsidRPr="00972B23" w:rsidRDefault="007B1111" w:rsidP="00E960F1">
            <w:pPr>
              <w:pStyle w:val="Tabletext"/>
              <w:jc w:val="right"/>
            </w:pPr>
            <w:r w:rsidRPr="00972B23">
              <w:t>8</w:t>
            </w:r>
          </w:p>
        </w:tc>
        <w:tc>
          <w:tcPr>
            <w:tcW w:w="1526" w:type="dxa"/>
            <w:vAlign w:val="center"/>
          </w:tcPr>
          <w:p w:rsidR="007B1111" w:rsidRPr="00972B23" w:rsidRDefault="007B1111" w:rsidP="00E960F1">
            <w:pPr>
              <w:pStyle w:val="Tabletext"/>
              <w:jc w:val="right"/>
            </w:pPr>
            <w:r w:rsidRPr="00972B23">
              <w:t>6</w:t>
            </w:r>
          </w:p>
        </w:tc>
        <w:tc>
          <w:tcPr>
            <w:tcW w:w="1526" w:type="dxa"/>
            <w:vAlign w:val="center"/>
          </w:tcPr>
          <w:p w:rsidR="007B1111" w:rsidRPr="00972B23" w:rsidRDefault="007B1111" w:rsidP="00E960F1">
            <w:pPr>
              <w:pStyle w:val="Tabletext"/>
              <w:jc w:val="right"/>
            </w:pPr>
            <w:r w:rsidRPr="00972B23">
              <w:t>1</w:t>
            </w:r>
          </w:p>
        </w:tc>
        <w:tc>
          <w:tcPr>
            <w:tcW w:w="1526" w:type="dxa"/>
            <w:vAlign w:val="center"/>
          </w:tcPr>
          <w:p w:rsidR="007B1111" w:rsidRPr="00972B23" w:rsidRDefault="007B1111" w:rsidP="00E960F1">
            <w:pPr>
              <w:pStyle w:val="Tabletext"/>
              <w:jc w:val="right"/>
            </w:pPr>
            <w:r w:rsidRPr="00972B23">
              <w:t>3</w:t>
            </w:r>
          </w:p>
        </w:tc>
        <w:tc>
          <w:tcPr>
            <w:tcW w:w="1526" w:type="dxa"/>
            <w:vAlign w:val="center"/>
          </w:tcPr>
          <w:p w:rsidR="007B1111" w:rsidRPr="00972B23" w:rsidRDefault="007B1111" w:rsidP="00E960F1">
            <w:pPr>
              <w:pStyle w:val="Tabletext"/>
              <w:jc w:val="right"/>
            </w:pPr>
            <w:r w:rsidRPr="00972B23">
              <w:t>43</w:t>
            </w:r>
          </w:p>
        </w:tc>
      </w:tr>
      <w:tr w:rsidR="007B1111" w:rsidTr="00E960F1">
        <w:tc>
          <w:tcPr>
            <w:tcW w:w="1526" w:type="dxa"/>
          </w:tcPr>
          <w:p w:rsidR="007B1111" w:rsidRPr="00972B23" w:rsidRDefault="007B1111" w:rsidP="007B1111">
            <w:pPr>
              <w:pStyle w:val="Tabletext"/>
            </w:pPr>
            <w:r w:rsidRPr="00972B23">
              <w:t>2007</w:t>
            </w:r>
          </w:p>
        </w:tc>
        <w:tc>
          <w:tcPr>
            <w:tcW w:w="1526" w:type="dxa"/>
            <w:vAlign w:val="center"/>
          </w:tcPr>
          <w:p w:rsidR="007B1111" w:rsidRPr="00972B23" w:rsidRDefault="007B1111" w:rsidP="00E960F1">
            <w:pPr>
              <w:pStyle w:val="Tabletext"/>
              <w:jc w:val="right"/>
            </w:pPr>
            <w:r w:rsidRPr="00972B23">
              <w:t>22</w:t>
            </w:r>
          </w:p>
        </w:tc>
        <w:tc>
          <w:tcPr>
            <w:tcW w:w="1526" w:type="dxa"/>
            <w:vAlign w:val="center"/>
          </w:tcPr>
          <w:p w:rsidR="007B1111" w:rsidRPr="00972B23" w:rsidRDefault="007B1111" w:rsidP="00E960F1">
            <w:pPr>
              <w:pStyle w:val="Tabletext"/>
              <w:jc w:val="right"/>
            </w:pPr>
            <w:r w:rsidRPr="00972B23">
              <w:t>9</w:t>
            </w:r>
          </w:p>
        </w:tc>
        <w:tc>
          <w:tcPr>
            <w:tcW w:w="1526" w:type="dxa"/>
            <w:vAlign w:val="center"/>
          </w:tcPr>
          <w:p w:rsidR="007B1111" w:rsidRPr="00972B23" w:rsidRDefault="007B1111" w:rsidP="00E960F1">
            <w:pPr>
              <w:pStyle w:val="Tabletext"/>
              <w:jc w:val="right"/>
            </w:pPr>
            <w:r w:rsidRPr="00972B23">
              <w:t>11</w:t>
            </w:r>
          </w:p>
        </w:tc>
        <w:tc>
          <w:tcPr>
            <w:tcW w:w="1526" w:type="dxa"/>
            <w:vAlign w:val="center"/>
          </w:tcPr>
          <w:p w:rsidR="007B1111" w:rsidRPr="00972B23" w:rsidRDefault="007B1111" w:rsidP="00E960F1">
            <w:pPr>
              <w:pStyle w:val="Tabletext"/>
              <w:jc w:val="right"/>
            </w:pPr>
            <w:r w:rsidRPr="00972B23">
              <w:t>2</w:t>
            </w:r>
          </w:p>
        </w:tc>
        <w:tc>
          <w:tcPr>
            <w:tcW w:w="1526" w:type="dxa"/>
            <w:vAlign w:val="center"/>
          </w:tcPr>
          <w:p w:rsidR="007B1111" w:rsidRPr="00972B23" w:rsidRDefault="007B1111" w:rsidP="00E960F1">
            <w:pPr>
              <w:pStyle w:val="Tabletext"/>
              <w:jc w:val="right"/>
            </w:pPr>
            <w:r w:rsidRPr="00972B23">
              <w:t>1</w:t>
            </w:r>
          </w:p>
        </w:tc>
        <w:tc>
          <w:tcPr>
            <w:tcW w:w="1526" w:type="dxa"/>
            <w:vAlign w:val="center"/>
          </w:tcPr>
          <w:p w:rsidR="007B1111" w:rsidRPr="00972B23" w:rsidRDefault="007B1111" w:rsidP="00E960F1">
            <w:pPr>
              <w:pStyle w:val="Tabletext"/>
              <w:jc w:val="right"/>
            </w:pPr>
            <w:r w:rsidRPr="00972B23">
              <w:t>45</w:t>
            </w:r>
          </w:p>
        </w:tc>
      </w:tr>
      <w:tr w:rsidR="007B1111" w:rsidTr="00E960F1">
        <w:tc>
          <w:tcPr>
            <w:tcW w:w="1526" w:type="dxa"/>
          </w:tcPr>
          <w:p w:rsidR="007B1111" w:rsidRPr="00972B23" w:rsidRDefault="007B1111" w:rsidP="007B1111">
            <w:pPr>
              <w:pStyle w:val="Tabletext"/>
            </w:pPr>
            <w:r w:rsidRPr="00972B23">
              <w:t>2008</w:t>
            </w:r>
          </w:p>
        </w:tc>
        <w:tc>
          <w:tcPr>
            <w:tcW w:w="1526" w:type="dxa"/>
            <w:vAlign w:val="center"/>
          </w:tcPr>
          <w:p w:rsidR="007B1111" w:rsidRPr="00972B23" w:rsidRDefault="007B1111" w:rsidP="00E960F1">
            <w:pPr>
              <w:pStyle w:val="Tabletext"/>
              <w:jc w:val="right"/>
            </w:pPr>
            <w:r w:rsidRPr="00972B23">
              <w:t>17</w:t>
            </w:r>
          </w:p>
        </w:tc>
        <w:tc>
          <w:tcPr>
            <w:tcW w:w="1526" w:type="dxa"/>
            <w:vAlign w:val="center"/>
          </w:tcPr>
          <w:p w:rsidR="007B1111" w:rsidRPr="00972B23" w:rsidRDefault="007B1111" w:rsidP="00E960F1">
            <w:pPr>
              <w:pStyle w:val="Tabletext"/>
              <w:jc w:val="right"/>
            </w:pPr>
            <w:r w:rsidRPr="00972B23">
              <w:t>13</w:t>
            </w:r>
          </w:p>
        </w:tc>
        <w:tc>
          <w:tcPr>
            <w:tcW w:w="1526" w:type="dxa"/>
            <w:vAlign w:val="center"/>
          </w:tcPr>
          <w:p w:rsidR="007B1111" w:rsidRPr="00972B23" w:rsidRDefault="007B1111" w:rsidP="00E960F1">
            <w:pPr>
              <w:pStyle w:val="Tabletext"/>
              <w:jc w:val="right"/>
            </w:pPr>
            <w:r w:rsidRPr="00972B23">
              <w:t>5</w:t>
            </w:r>
          </w:p>
        </w:tc>
        <w:tc>
          <w:tcPr>
            <w:tcW w:w="1526" w:type="dxa"/>
            <w:vAlign w:val="center"/>
          </w:tcPr>
          <w:p w:rsidR="007B1111" w:rsidRPr="00972B23" w:rsidRDefault="007B1111" w:rsidP="00E960F1">
            <w:pPr>
              <w:pStyle w:val="Tabletext"/>
              <w:jc w:val="right"/>
            </w:pPr>
            <w:r w:rsidRPr="00972B23">
              <w:t>3</w:t>
            </w:r>
          </w:p>
        </w:tc>
        <w:tc>
          <w:tcPr>
            <w:tcW w:w="1526" w:type="dxa"/>
            <w:vAlign w:val="center"/>
          </w:tcPr>
          <w:p w:rsidR="007B1111" w:rsidRPr="00972B23" w:rsidRDefault="007B1111" w:rsidP="00E960F1">
            <w:pPr>
              <w:pStyle w:val="Tabletext"/>
              <w:jc w:val="right"/>
            </w:pPr>
            <w:r w:rsidRPr="00972B23">
              <w:t>0</w:t>
            </w:r>
          </w:p>
        </w:tc>
        <w:tc>
          <w:tcPr>
            <w:tcW w:w="1526" w:type="dxa"/>
            <w:vAlign w:val="center"/>
          </w:tcPr>
          <w:p w:rsidR="007B1111" w:rsidRPr="00972B23" w:rsidRDefault="007B1111" w:rsidP="00E960F1">
            <w:pPr>
              <w:pStyle w:val="Tabletext"/>
              <w:jc w:val="right"/>
            </w:pPr>
            <w:r w:rsidRPr="00972B23">
              <w:t>38</w:t>
            </w:r>
          </w:p>
        </w:tc>
      </w:tr>
      <w:tr w:rsidR="007B1111" w:rsidTr="00E960F1">
        <w:tc>
          <w:tcPr>
            <w:tcW w:w="1526" w:type="dxa"/>
          </w:tcPr>
          <w:p w:rsidR="007B1111" w:rsidRPr="00972B23" w:rsidRDefault="007B1111" w:rsidP="007B1111">
            <w:pPr>
              <w:pStyle w:val="Tabletext"/>
            </w:pPr>
            <w:r w:rsidRPr="00972B23">
              <w:t>2009</w:t>
            </w:r>
          </w:p>
        </w:tc>
        <w:tc>
          <w:tcPr>
            <w:tcW w:w="1526" w:type="dxa"/>
            <w:vAlign w:val="center"/>
          </w:tcPr>
          <w:p w:rsidR="007B1111" w:rsidRPr="00972B23" w:rsidRDefault="007B1111" w:rsidP="00E960F1">
            <w:pPr>
              <w:pStyle w:val="Tabletext"/>
              <w:jc w:val="right"/>
            </w:pPr>
            <w:r w:rsidRPr="00972B23">
              <w:t>16</w:t>
            </w:r>
          </w:p>
        </w:tc>
        <w:tc>
          <w:tcPr>
            <w:tcW w:w="1526" w:type="dxa"/>
            <w:vAlign w:val="center"/>
          </w:tcPr>
          <w:p w:rsidR="007B1111" w:rsidRPr="00972B23" w:rsidRDefault="007B1111" w:rsidP="00E960F1">
            <w:pPr>
              <w:pStyle w:val="Tabletext"/>
              <w:jc w:val="right"/>
            </w:pPr>
            <w:r w:rsidRPr="00972B23">
              <w:t>8</w:t>
            </w:r>
          </w:p>
        </w:tc>
        <w:tc>
          <w:tcPr>
            <w:tcW w:w="1526" w:type="dxa"/>
            <w:vAlign w:val="center"/>
          </w:tcPr>
          <w:p w:rsidR="007B1111" w:rsidRPr="00972B23" w:rsidRDefault="007B1111" w:rsidP="00E960F1">
            <w:pPr>
              <w:pStyle w:val="Tabletext"/>
              <w:jc w:val="right"/>
            </w:pPr>
            <w:r w:rsidRPr="00972B23">
              <w:t>10</w:t>
            </w:r>
          </w:p>
        </w:tc>
        <w:tc>
          <w:tcPr>
            <w:tcW w:w="1526" w:type="dxa"/>
            <w:vAlign w:val="center"/>
          </w:tcPr>
          <w:p w:rsidR="007B1111" w:rsidRPr="00972B23" w:rsidRDefault="007B1111" w:rsidP="00E960F1">
            <w:pPr>
              <w:pStyle w:val="Tabletext"/>
              <w:jc w:val="right"/>
            </w:pPr>
            <w:r w:rsidRPr="00972B23">
              <w:t>2</w:t>
            </w:r>
          </w:p>
        </w:tc>
        <w:tc>
          <w:tcPr>
            <w:tcW w:w="1526" w:type="dxa"/>
            <w:vAlign w:val="center"/>
          </w:tcPr>
          <w:p w:rsidR="007B1111" w:rsidRPr="00972B23" w:rsidRDefault="007B1111" w:rsidP="00E960F1">
            <w:pPr>
              <w:pStyle w:val="Tabletext"/>
              <w:jc w:val="right"/>
            </w:pPr>
            <w:r w:rsidRPr="00972B23">
              <w:t>0</w:t>
            </w:r>
          </w:p>
        </w:tc>
        <w:tc>
          <w:tcPr>
            <w:tcW w:w="1526" w:type="dxa"/>
            <w:vAlign w:val="center"/>
          </w:tcPr>
          <w:p w:rsidR="007B1111" w:rsidRPr="00972B23" w:rsidRDefault="007B1111" w:rsidP="00E960F1">
            <w:pPr>
              <w:pStyle w:val="Tabletext"/>
              <w:jc w:val="right"/>
            </w:pPr>
            <w:r w:rsidRPr="00972B23">
              <w:t>36</w:t>
            </w:r>
          </w:p>
        </w:tc>
      </w:tr>
      <w:tr w:rsidR="007B1111" w:rsidTr="00E960F1">
        <w:tc>
          <w:tcPr>
            <w:tcW w:w="1526" w:type="dxa"/>
          </w:tcPr>
          <w:p w:rsidR="007B1111" w:rsidRPr="00972B23" w:rsidRDefault="007B1111" w:rsidP="007B1111">
            <w:pPr>
              <w:pStyle w:val="Tabletext"/>
            </w:pPr>
            <w:r w:rsidRPr="00972B23">
              <w:t>2010</w:t>
            </w:r>
          </w:p>
        </w:tc>
        <w:tc>
          <w:tcPr>
            <w:tcW w:w="1526" w:type="dxa"/>
            <w:vAlign w:val="center"/>
          </w:tcPr>
          <w:p w:rsidR="007B1111" w:rsidRPr="00972B23" w:rsidRDefault="007B1111" w:rsidP="00E960F1">
            <w:pPr>
              <w:pStyle w:val="Tabletext"/>
              <w:jc w:val="right"/>
            </w:pPr>
            <w:r w:rsidRPr="00972B23">
              <w:t>17</w:t>
            </w:r>
          </w:p>
        </w:tc>
        <w:tc>
          <w:tcPr>
            <w:tcW w:w="1526" w:type="dxa"/>
            <w:vAlign w:val="center"/>
          </w:tcPr>
          <w:p w:rsidR="007B1111" w:rsidRPr="00972B23" w:rsidRDefault="007B1111" w:rsidP="00E960F1">
            <w:pPr>
              <w:pStyle w:val="Tabletext"/>
              <w:jc w:val="right"/>
            </w:pPr>
            <w:r w:rsidRPr="00972B23">
              <w:t>12</w:t>
            </w:r>
          </w:p>
        </w:tc>
        <w:tc>
          <w:tcPr>
            <w:tcW w:w="1526" w:type="dxa"/>
            <w:vAlign w:val="center"/>
          </w:tcPr>
          <w:p w:rsidR="007B1111" w:rsidRPr="00972B23" w:rsidRDefault="007B1111" w:rsidP="00E960F1">
            <w:pPr>
              <w:pStyle w:val="Tabletext"/>
              <w:jc w:val="right"/>
            </w:pPr>
            <w:r w:rsidRPr="00972B23">
              <w:t>12</w:t>
            </w:r>
          </w:p>
        </w:tc>
        <w:tc>
          <w:tcPr>
            <w:tcW w:w="1526" w:type="dxa"/>
            <w:vAlign w:val="center"/>
          </w:tcPr>
          <w:p w:rsidR="007B1111" w:rsidRPr="00972B23" w:rsidRDefault="007B1111" w:rsidP="00E960F1">
            <w:pPr>
              <w:pStyle w:val="Tabletext"/>
              <w:jc w:val="right"/>
            </w:pPr>
            <w:r w:rsidRPr="00972B23">
              <w:t>0</w:t>
            </w:r>
          </w:p>
        </w:tc>
        <w:tc>
          <w:tcPr>
            <w:tcW w:w="1526" w:type="dxa"/>
            <w:vAlign w:val="center"/>
          </w:tcPr>
          <w:p w:rsidR="007B1111" w:rsidRPr="00972B23" w:rsidRDefault="007B1111" w:rsidP="00E960F1">
            <w:pPr>
              <w:pStyle w:val="Tabletext"/>
              <w:jc w:val="right"/>
            </w:pPr>
            <w:r w:rsidRPr="00972B23">
              <w:t>0</w:t>
            </w:r>
          </w:p>
        </w:tc>
        <w:tc>
          <w:tcPr>
            <w:tcW w:w="1526" w:type="dxa"/>
            <w:vAlign w:val="center"/>
          </w:tcPr>
          <w:p w:rsidR="007B1111" w:rsidRPr="00972B23" w:rsidRDefault="007B1111" w:rsidP="00E960F1">
            <w:pPr>
              <w:pStyle w:val="Tabletext"/>
              <w:jc w:val="right"/>
            </w:pPr>
            <w:r w:rsidRPr="00972B23">
              <w:t>41</w:t>
            </w:r>
          </w:p>
        </w:tc>
      </w:tr>
      <w:tr w:rsidR="007B1111" w:rsidTr="00E960F1">
        <w:tc>
          <w:tcPr>
            <w:tcW w:w="1526" w:type="dxa"/>
          </w:tcPr>
          <w:p w:rsidR="007B1111" w:rsidRPr="00972B23" w:rsidRDefault="007B1111" w:rsidP="007B1111">
            <w:pPr>
              <w:pStyle w:val="Tabletext"/>
            </w:pPr>
            <w:r w:rsidRPr="00972B23">
              <w:t>2011</w:t>
            </w:r>
          </w:p>
        </w:tc>
        <w:tc>
          <w:tcPr>
            <w:tcW w:w="1526" w:type="dxa"/>
            <w:vAlign w:val="center"/>
          </w:tcPr>
          <w:p w:rsidR="007B1111" w:rsidRPr="00972B23" w:rsidRDefault="007B1111" w:rsidP="00E960F1">
            <w:pPr>
              <w:pStyle w:val="Tabletext"/>
              <w:jc w:val="right"/>
            </w:pPr>
            <w:r w:rsidRPr="00972B23">
              <w:t>18</w:t>
            </w:r>
          </w:p>
        </w:tc>
        <w:tc>
          <w:tcPr>
            <w:tcW w:w="1526" w:type="dxa"/>
            <w:vAlign w:val="center"/>
          </w:tcPr>
          <w:p w:rsidR="007B1111" w:rsidRPr="00972B23" w:rsidRDefault="007B1111" w:rsidP="00E960F1">
            <w:pPr>
              <w:pStyle w:val="Tabletext"/>
              <w:jc w:val="right"/>
            </w:pPr>
            <w:r w:rsidRPr="00972B23">
              <w:t>9</w:t>
            </w:r>
          </w:p>
        </w:tc>
        <w:tc>
          <w:tcPr>
            <w:tcW w:w="1526" w:type="dxa"/>
            <w:vAlign w:val="center"/>
          </w:tcPr>
          <w:p w:rsidR="007B1111" w:rsidRPr="00972B23" w:rsidRDefault="007B1111" w:rsidP="00E960F1">
            <w:pPr>
              <w:pStyle w:val="Tabletext"/>
              <w:jc w:val="right"/>
            </w:pPr>
            <w:r w:rsidRPr="00972B23">
              <w:t>11</w:t>
            </w:r>
          </w:p>
        </w:tc>
        <w:tc>
          <w:tcPr>
            <w:tcW w:w="1526" w:type="dxa"/>
            <w:vAlign w:val="center"/>
          </w:tcPr>
          <w:p w:rsidR="007B1111" w:rsidRPr="00972B23" w:rsidRDefault="007B1111" w:rsidP="00E960F1">
            <w:pPr>
              <w:pStyle w:val="Tabletext"/>
              <w:jc w:val="right"/>
            </w:pPr>
            <w:r w:rsidRPr="00972B23">
              <w:t>1</w:t>
            </w:r>
          </w:p>
        </w:tc>
        <w:tc>
          <w:tcPr>
            <w:tcW w:w="1526" w:type="dxa"/>
            <w:vAlign w:val="center"/>
          </w:tcPr>
          <w:p w:rsidR="007B1111" w:rsidRPr="00972B23" w:rsidRDefault="007B1111" w:rsidP="00E960F1">
            <w:pPr>
              <w:pStyle w:val="Tabletext"/>
              <w:jc w:val="right"/>
            </w:pPr>
            <w:r w:rsidRPr="00972B23">
              <w:t>2</w:t>
            </w:r>
          </w:p>
        </w:tc>
        <w:tc>
          <w:tcPr>
            <w:tcW w:w="1526" w:type="dxa"/>
            <w:vAlign w:val="center"/>
          </w:tcPr>
          <w:p w:rsidR="007B1111" w:rsidRPr="00972B23" w:rsidRDefault="007B1111" w:rsidP="00E960F1">
            <w:pPr>
              <w:pStyle w:val="Tabletext"/>
              <w:jc w:val="right"/>
            </w:pPr>
            <w:r w:rsidRPr="00972B23">
              <w:t>41</w:t>
            </w:r>
          </w:p>
        </w:tc>
      </w:tr>
      <w:tr w:rsidR="007B1111" w:rsidTr="00E960F1">
        <w:tc>
          <w:tcPr>
            <w:tcW w:w="1526" w:type="dxa"/>
          </w:tcPr>
          <w:p w:rsidR="007B1111" w:rsidRPr="00972B23" w:rsidRDefault="007B1111" w:rsidP="007B1111">
            <w:pPr>
              <w:pStyle w:val="Tabletext"/>
            </w:pPr>
            <w:r w:rsidRPr="00972B23">
              <w:t>2012</w:t>
            </w:r>
          </w:p>
        </w:tc>
        <w:tc>
          <w:tcPr>
            <w:tcW w:w="1526" w:type="dxa"/>
            <w:vAlign w:val="center"/>
          </w:tcPr>
          <w:p w:rsidR="007B1111" w:rsidRPr="00972B23" w:rsidRDefault="007B1111" w:rsidP="00E960F1">
            <w:pPr>
              <w:pStyle w:val="Tabletext"/>
              <w:jc w:val="right"/>
            </w:pPr>
            <w:r w:rsidRPr="00972B23">
              <w:t>13</w:t>
            </w:r>
          </w:p>
        </w:tc>
        <w:tc>
          <w:tcPr>
            <w:tcW w:w="1526" w:type="dxa"/>
            <w:vAlign w:val="center"/>
          </w:tcPr>
          <w:p w:rsidR="007B1111" w:rsidRPr="00972B23" w:rsidRDefault="007B1111" w:rsidP="00E960F1">
            <w:pPr>
              <w:pStyle w:val="Tabletext"/>
              <w:jc w:val="right"/>
            </w:pPr>
            <w:r w:rsidRPr="00972B23">
              <w:t>13</w:t>
            </w:r>
          </w:p>
        </w:tc>
        <w:tc>
          <w:tcPr>
            <w:tcW w:w="1526" w:type="dxa"/>
            <w:vAlign w:val="center"/>
          </w:tcPr>
          <w:p w:rsidR="007B1111" w:rsidRPr="00972B23" w:rsidRDefault="007B1111" w:rsidP="00E960F1">
            <w:pPr>
              <w:pStyle w:val="Tabletext"/>
              <w:jc w:val="right"/>
            </w:pPr>
            <w:r w:rsidRPr="00972B23">
              <w:t>2</w:t>
            </w:r>
          </w:p>
        </w:tc>
        <w:tc>
          <w:tcPr>
            <w:tcW w:w="1526" w:type="dxa"/>
            <w:vAlign w:val="center"/>
          </w:tcPr>
          <w:p w:rsidR="007B1111" w:rsidRPr="00972B23" w:rsidRDefault="007B1111" w:rsidP="00E960F1">
            <w:pPr>
              <w:pStyle w:val="Tabletext"/>
              <w:jc w:val="right"/>
            </w:pPr>
            <w:r w:rsidRPr="00972B23">
              <w:t>2</w:t>
            </w:r>
          </w:p>
        </w:tc>
        <w:tc>
          <w:tcPr>
            <w:tcW w:w="1526" w:type="dxa"/>
            <w:vAlign w:val="center"/>
          </w:tcPr>
          <w:p w:rsidR="007B1111" w:rsidRPr="00972B23" w:rsidRDefault="007B1111" w:rsidP="00E960F1">
            <w:pPr>
              <w:pStyle w:val="Tabletext"/>
              <w:jc w:val="right"/>
            </w:pPr>
            <w:r w:rsidRPr="00972B23">
              <w:t>0</w:t>
            </w:r>
          </w:p>
        </w:tc>
        <w:tc>
          <w:tcPr>
            <w:tcW w:w="1526" w:type="dxa"/>
            <w:vAlign w:val="center"/>
          </w:tcPr>
          <w:p w:rsidR="007B1111" w:rsidRPr="00972B23" w:rsidRDefault="007B1111" w:rsidP="00E960F1">
            <w:pPr>
              <w:pStyle w:val="Tabletext"/>
              <w:jc w:val="right"/>
            </w:pPr>
            <w:r w:rsidRPr="00972B23">
              <w:t>30</w:t>
            </w:r>
          </w:p>
        </w:tc>
      </w:tr>
      <w:tr w:rsidR="007B1111" w:rsidTr="00E960F1">
        <w:tc>
          <w:tcPr>
            <w:tcW w:w="1526" w:type="dxa"/>
          </w:tcPr>
          <w:p w:rsidR="007B1111" w:rsidRPr="00972B23" w:rsidRDefault="007B1111" w:rsidP="007B1111">
            <w:pPr>
              <w:pStyle w:val="Tabletext"/>
            </w:pPr>
            <w:r w:rsidRPr="00972B23">
              <w:t>2013</w:t>
            </w:r>
          </w:p>
        </w:tc>
        <w:tc>
          <w:tcPr>
            <w:tcW w:w="1526" w:type="dxa"/>
            <w:vAlign w:val="center"/>
          </w:tcPr>
          <w:p w:rsidR="007B1111" w:rsidRPr="00972B23" w:rsidRDefault="007B1111" w:rsidP="00E960F1">
            <w:pPr>
              <w:pStyle w:val="Tabletext"/>
              <w:jc w:val="right"/>
            </w:pPr>
            <w:r w:rsidRPr="00972B23">
              <w:t>9</w:t>
            </w:r>
          </w:p>
        </w:tc>
        <w:tc>
          <w:tcPr>
            <w:tcW w:w="1526" w:type="dxa"/>
            <w:vAlign w:val="center"/>
          </w:tcPr>
          <w:p w:rsidR="007B1111" w:rsidRPr="00972B23" w:rsidRDefault="007B1111" w:rsidP="00E960F1">
            <w:pPr>
              <w:pStyle w:val="Tabletext"/>
              <w:jc w:val="right"/>
            </w:pPr>
            <w:r w:rsidRPr="00972B23">
              <w:t>7</w:t>
            </w:r>
          </w:p>
        </w:tc>
        <w:tc>
          <w:tcPr>
            <w:tcW w:w="1526" w:type="dxa"/>
            <w:vAlign w:val="center"/>
          </w:tcPr>
          <w:p w:rsidR="007B1111" w:rsidRPr="00972B23" w:rsidRDefault="007B1111" w:rsidP="00E960F1">
            <w:pPr>
              <w:pStyle w:val="Tabletext"/>
              <w:jc w:val="right"/>
            </w:pPr>
            <w:r w:rsidRPr="00972B23">
              <w:t>2</w:t>
            </w:r>
          </w:p>
        </w:tc>
        <w:tc>
          <w:tcPr>
            <w:tcW w:w="1526" w:type="dxa"/>
            <w:vAlign w:val="center"/>
          </w:tcPr>
          <w:p w:rsidR="007B1111" w:rsidRPr="00972B23" w:rsidRDefault="007B1111" w:rsidP="00E960F1">
            <w:pPr>
              <w:pStyle w:val="Tabletext"/>
              <w:jc w:val="right"/>
            </w:pPr>
            <w:r w:rsidRPr="00972B23">
              <w:t>1</w:t>
            </w:r>
          </w:p>
        </w:tc>
        <w:tc>
          <w:tcPr>
            <w:tcW w:w="1526" w:type="dxa"/>
            <w:vAlign w:val="center"/>
          </w:tcPr>
          <w:p w:rsidR="007B1111" w:rsidRPr="00972B23" w:rsidRDefault="007B1111" w:rsidP="00E960F1">
            <w:pPr>
              <w:pStyle w:val="Tabletext"/>
              <w:jc w:val="right"/>
            </w:pPr>
            <w:r w:rsidRPr="00972B23">
              <w:t>0</w:t>
            </w:r>
          </w:p>
        </w:tc>
        <w:tc>
          <w:tcPr>
            <w:tcW w:w="1526" w:type="dxa"/>
            <w:vAlign w:val="center"/>
          </w:tcPr>
          <w:p w:rsidR="007B1111" w:rsidRPr="00972B23" w:rsidRDefault="007B1111" w:rsidP="00E960F1">
            <w:pPr>
              <w:pStyle w:val="Tabletext"/>
              <w:jc w:val="right"/>
            </w:pPr>
            <w:r w:rsidRPr="00972B23">
              <w:t>19</w:t>
            </w:r>
          </w:p>
        </w:tc>
      </w:tr>
      <w:tr w:rsidR="007B1111" w:rsidTr="00E960F1">
        <w:tc>
          <w:tcPr>
            <w:tcW w:w="1526" w:type="dxa"/>
          </w:tcPr>
          <w:p w:rsidR="007B1111" w:rsidRPr="00972B23" w:rsidRDefault="007B1111" w:rsidP="007B1111">
            <w:pPr>
              <w:pStyle w:val="Tabletext"/>
            </w:pPr>
            <w:r w:rsidRPr="00972B23">
              <w:t>Total</w:t>
            </w:r>
          </w:p>
        </w:tc>
        <w:tc>
          <w:tcPr>
            <w:tcW w:w="1526" w:type="dxa"/>
            <w:vAlign w:val="center"/>
          </w:tcPr>
          <w:p w:rsidR="007B1111" w:rsidRPr="00972B23" w:rsidRDefault="007B1111" w:rsidP="00E960F1">
            <w:pPr>
              <w:pStyle w:val="Tabletext"/>
              <w:jc w:val="right"/>
            </w:pPr>
            <w:r w:rsidRPr="00972B23">
              <w:t>184</w:t>
            </w:r>
          </w:p>
        </w:tc>
        <w:tc>
          <w:tcPr>
            <w:tcW w:w="1526" w:type="dxa"/>
            <w:vAlign w:val="center"/>
          </w:tcPr>
          <w:p w:rsidR="007B1111" w:rsidRPr="00972B23" w:rsidRDefault="007B1111" w:rsidP="00E960F1">
            <w:pPr>
              <w:pStyle w:val="Tabletext"/>
              <w:jc w:val="right"/>
            </w:pPr>
            <w:r w:rsidRPr="00972B23">
              <w:t>112</w:t>
            </w:r>
          </w:p>
        </w:tc>
        <w:tc>
          <w:tcPr>
            <w:tcW w:w="1526" w:type="dxa"/>
            <w:vAlign w:val="center"/>
          </w:tcPr>
          <w:p w:rsidR="007B1111" w:rsidRPr="00972B23" w:rsidRDefault="007B1111" w:rsidP="00E960F1">
            <w:pPr>
              <w:pStyle w:val="Tabletext"/>
              <w:jc w:val="right"/>
            </w:pPr>
            <w:r w:rsidRPr="00972B23">
              <w:t>83</w:t>
            </w:r>
          </w:p>
        </w:tc>
        <w:tc>
          <w:tcPr>
            <w:tcW w:w="1526" w:type="dxa"/>
            <w:vAlign w:val="center"/>
          </w:tcPr>
          <w:p w:rsidR="007B1111" w:rsidRPr="00972B23" w:rsidRDefault="007B1111" w:rsidP="00E960F1">
            <w:pPr>
              <w:pStyle w:val="Tabletext"/>
              <w:jc w:val="right"/>
            </w:pPr>
            <w:r w:rsidRPr="00972B23">
              <w:t>15</w:t>
            </w:r>
          </w:p>
        </w:tc>
        <w:tc>
          <w:tcPr>
            <w:tcW w:w="1526" w:type="dxa"/>
            <w:vAlign w:val="center"/>
          </w:tcPr>
          <w:p w:rsidR="007B1111" w:rsidRPr="00972B23" w:rsidRDefault="007B1111" w:rsidP="00E960F1">
            <w:pPr>
              <w:pStyle w:val="Tabletext"/>
              <w:jc w:val="right"/>
            </w:pPr>
            <w:r w:rsidRPr="00972B23">
              <w:t>7</w:t>
            </w:r>
          </w:p>
        </w:tc>
        <w:tc>
          <w:tcPr>
            <w:tcW w:w="1526" w:type="dxa"/>
            <w:vAlign w:val="center"/>
          </w:tcPr>
          <w:p w:rsidR="007B1111" w:rsidRPr="00972B23" w:rsidRDefault="007B1111" w:rsidP="00E960F1">
            <w:pPr>
              <w:pStyle w:val="Tabletext"/>
              <w:jc w:val="right"/>
            </w:pPr>
            <w:r w:rsidRPr="00972B23">
              <w:t>401</w:t>
            </w:r>
          </w:p>
        </w:tc>
      </w:tr>
      <w:tr w:rsidR="007B1111" w:rsidTr="00E960F1">
        <w:tc>
          <w:tcPr>
            <w:tcW w:w="1526" w:type="dxa"/>
          </w:tcPr>
          <w:p w:rsidR="007B1111" w:rsidRPr="00972B23" w:rsidRDefault="007B1111" w:rsidP="007B1111">
            <w:pPr>
              <w:pStyle w:val="Tabletext"/>
            </w:pPr>
            <w:r>
              <w:t>% of total</w:t>
            </w:r>
          </w:p>
        </w:tc>
        <w:tc>
          <w:tcPr>
            <w:tcW w:w="1526" w:type="dxa"/>
            <w:vAlign w:val="center"/>
          </w:tcPr>
          <w:p w:rsidR="007B1111" w:rsidRPr="00972B23" w:rsidRDefault="007B1111" w:rsidP="00E960F1">
            <w:pPr>
              <w:pStyle w:val="Tabletext"/>
              <w:jc w:val="right"/>
            </w:pPr>
            <w:r w:rsidRPr="00972B23">
              <w:t>46%</w:t>
            </w:r>
          </w:p>
        </w:tc>
        <w:tc>
          <w:tcPr>
            <w:tcW w:w="1526" w:type="dxa"/>
            <w:vAlign w:val="center"/>
          </w:tcPr>
          <w:p w:rsidR="007B1111" w:rsidRPr="00972B23" w:rsidRDefault="007B1111" w:rsidP="00E960F1">
            <w:pPr>
              <w:pStyle w:val="Tabletext"/>
              <w:jc w:val="right"/>
            </w:pPr>
            <w:r w:rsidRPr="00972B23">
              <w:t>28%</w:t>
            </w:r>
          </w:p>
        </w:tc>
        <w:tc>
          <w:tcPr>
            <w:tcW w:w="1526" w:type="dxa"/>
            <w:vAlign w:val="center"/>
          </w:tcPr>
          <w:p w:rsidR="007B1111" w:rsidRPr="00972B23" w:rsidRDefault="007B1111" w:rsidP="00E960F1">
            <w:pPr>
              <w:pStyle w:val="Tabletext"/>
              <w:jc w:val="right"/>
            </w:pPr>
            <w:r w:rsidRPr="00972B23">
              <w:t>21%</w:t>
            </w:r>
          </w:p>
        </w:tc>
        <w:tc>
          <w:tcPr>
            <w:tcW w:w="1526" w:type="dxa"/>
            <w:vAlign w:val="center"/>
          </w:tcPr>
          <w:p w:rsidR="007B1111" w:rsidRPr="00972B23" w:rsidRDefault="007B1111" w:rsidP="00E960F1">
            <w:pPr>
              <w:pStyle w:val="Tabletext"/>
              <w:jc w:val="right"/>
            </w:pPr>
            <w:r w:rsidRPr="00972B23">
              <w:t>4%</w:t>
            </w:r>
          </w:p>
        </w:tc>
        <w:tc>
          <w:tcPr>
            <w:tcW w:w="1526" w:type="dxa"/>
            <w:vAlign w:val="center"/>
          </w:tcPr>
          <w:p w:rsidR="007B1111" w:rsidRPr="00972B23" w:rsidRDefault="007B1111" w:rsidP="00E960F1">
            <w:pPr>
              <w:pStyle w:val="Tabletext"/>
              <w:jc w:val="right"/>
            </w:pPr>
            <w:r w:rsidRPr="00972B23">
              <w:t>2%</w:t>
            </w:r>
          </w:p>
        </w:tc>
        <w:tc>
          <w:tcPr>
            <w:tcW w:w="1526" w:type="dxa"/>
            <w:vAlign w:val="center"/>
          </w:tcPr>
          <w:p w:rsidR="007B1111" w:rsidRDefault="007B1111" w:rsidP="00E960F1">
            <w:pPr>
              <w:pStyle w:val="Tabletext"/>
              <w:jc w:val="right"/>
            </w:pPr>
            <w:r w:rsidRPr="00972B23">
              <w:t>100%</w:t>
            </w:r>
          </w:p>
        </w:tc>
      </w:tr>
    </w:tbl>
    <w:p w:rsidR="0085303A" w:rsidRDefault="0085303A" w:rsidP="0085303A"/>
    <w:p w:rsidR="0085303A" w:rsidRPr="0085303A" w:rsidRDefault="0085303A" w:rsidP="00513A50">
      <w:pPr>
        <w:pStyle w:val="BodyText1"/>
      </w:pPr>
      <w:r w:rsidRPr="0085303A">
        <w:t xml:space="preserve">Table 17 shows the number of fatalities by more detailed occupation groups and mechanism of incident. These data show that some occupations have higher numbers of fatalities due to specific mechanisms than other occupations. </w:t>
      </w:r>
    </w:p>
    <w:p w:rsidR="0085303A" w:rsidRPr="0085303A" w:rsidRDefault="0085303A" w:rsidP="00513A50">
      <w:pPr>
        <w:pStyle w:val="BodyText1"/>
      </w:pPr>
      <w:r w:rsidRPr="0085303A">
        <w:t xml:space="preserve">The occupations with the highest numbers of fatalities were electricians (54 fatalities), building &amp; plumbing </w:t>
      </w:r>
      <w:proofErr w:type="spellStart"/>
      <w:r w:rsidRPr="0085303A">
        <w:t>labourers</w:t>
      </w:r>
      <w:proofErr w:type="spellEnd"/>
      <w:r w:rsidRPr="0085303A">
        <w:t xml:space="preserve"> (41), bricklayers, carpenters &amp; joiners (39) and earthmoving plant operators (38). </w:t>
      </w:r>
    </w:p>
    <w:p w:rsidR="003444F5" w:rsidRDefault="003444F5">
      <w:pPr>
        <w:rPr>
          <w:rFonts w:ascii="Arial" w:hAnsi="Arial" w:cs="Arial"/>
          <w:b/>
          <w:sz w:val="20"/>
          <w:lang w:val="en-US"/>
        </w:rPr>
      </w:pPr>
      <w:r>
        <w:br w:type="page"/>
      </w:r>
    </w:p>
    <w:p w:rsidR="0085303A" w:rsidRDefault="0085303A" w:rsidP="00982F9F">
      <w:pPr>
        <w:pStyle w:val="Tableheading"/>
      </w:pPr>
      <w:r>
        <w:t>Table 17: Worker fatalities in the construction industry: number by occupation and mechanism of incident, 2003 to 2013 combined</w:t>
      </w:r>
    </w:p>
    <w:tbl>
      <w:tblPr>
        <w:tblStyle w:val="TableGrid"/>
        <w:tblW w:w="0" w:type="auto"/>
        <w:tblLook w:val="04A0" w:firstRow="1" w:lastRow="0" w:firstColumn="1" w:lastColumn="0" w:noHBand="0" w:noVBand="1"/>
        <w:tblCaption w:val="Table 17: Worker fatalities in the construction industry: number by occupation and mechanism of incident, 2003 to 2013 combined"/>
        <w:tblDescription w:val="Table 17 shows the number of fatalities by more detailed occupation groups and mechanism of incident. "/>
      </w:tblPr>
      <w:tblGrid>
        <w:gridCol w:w="1867"/>
        <w:gridCol w:w="1166"/>
        <w:gridCol w:w="1127"/>
        <w:gridCol w:w="1090"/>
        <w:gridCol w:w="1078"/>
        <w:gridCol w:w="1076"/>
        <w:gridCol w:w="1207"/>
        <w:gridCol w:w="1027"/>
        <w:gridCol w:w="1044"/>
      </w:tblGrid>
      <w:tr w:rsidR="00002A3E" w:rsidTr="00715413">
        <w:trPr>
          <w:trHeight w:val="283"/>
          <w:tblHeader/>
        </w:trPr>
        <w:tc>
          <w:tcPr>
            <w:tcW w:w="1867" w:type="dxa"/>
            <w:shd w:val="clear" w:color="auto" w:fill="D9D9D9" w:themeFill="background1" w:themeFillShade="D9"/>
            <w:vAlign w:val="center"/>
          </w:tcPr>
          <w:p w:rsidR="00002A3E" w:rsidRPr="000C7F9B" w:rsidRDefault="00002A3E" w:rsidP="00002A3E">
            <w:pPr>
              <w:pStyle w:val="Tableheaderrow"/>
            </w:pPr>
          </w:p>
        </w:tc>
        <w:tc>
          <w:tcPr>
            <w:tcW w:w="8815" w:type="dxa"/>
            <w:gridSpan w:val="8"/>
            <w:shd w:val="clear" w:color="auto" w:fill="D9D9D9" w:themeFill="background1" w:themeFillShade="D9"/>
            <w:vAlign w:val="center"/>
          </w:tcPr>
          <w:p w:rsidR="00002A3E" w:rsidRPr="000C7F9B" w:rsidRDefault="00002A3E" w:rsidP="00002A3E">
            <w:pPr>
              <w:pStyle w:val="Tableheaderrow"/>
            </w:pPr>
            <w:r w:rsidRPr="000C7F9B">
              <w:t>Mechanism of incident</w:t>
            </w:r>
          </w:p>
        </w:tc>
      </w:tr>
      <w:tr w:rsidR="00002A3E" w:rsidTr="00715413">
        <w:trPr>
          <w:tblHeader/>
        </w:trPr>
        <w:tc>
          <w:tcPr>
            <w:tcW w:w="1867" w:type="dxa"/>
            <w:shd w:val="clear" w:color="auto" w:fill="D9D9D9" w:themeFill="background1" w:themeFillShade="D9"/>
            <w:vAlign w:val="center"/>
          </w:tcPr>
          <w:p w:rsidR="00002A3E" w:rsidRPr="000C7F9B" w:rsidRDefault="00002A3E" w:rsidP="00002A3E">
            <w:pPr>
              <w:pStyle w:val="Tableheaderrow"/>
              <w:jc w:val="left"/>
            </w:pPr>
            <w:r w:rsidRPr="000C7F9B">
              <w:t>Occupation</w:t>
            </w:r>
          </w:p>
        </w:tc>
        <w:tc>
          <w:tcPr>
            <w:tcW w:w="1174" w:type="dxa"/>
            <w:shd w:val="clear" w:color="auto" w:fill="D9D9D9" w:themeFill="background1" w:themeFillShade="D9"/>
            <w:vAlign w:val="center"/>
          </w:tcPr>
          <w:p w:rsidR="00002A3E" w:rsidRPr="000C7F9B" w:rsidRDefault="00002A3E" w:rsidP="00E960F1">
            <w:pPr>
              <w:pStyle w:val="Tableheaderrow"/>
              <w:jc w:val="right"/>
            </w:pPr>
            <w:r w:rsidRPr="000C7F9B">
              <w:t>Falls from height</w:t>
            </w:r>
          </w:p>
        </w:tc>
        <w:tc>
          <w:tcPr>
            <w:tcW w:w="1128" w:type="dxa"/>
            <w:shd w:val="clear" w:color="auto" w:fill="D9D9D9" w:themeFill="background1" w:themeFillShade="D9"/>
            <w:vAlign w:val="center"/>
          </w:tcPr>
          <w:p w:rsidR="00002A3E" w:rsidRPr="000C7F9B" w:rsidRDefault="00002A3E" w:rsidP="00E960F1">
            <w:pPr>
              <w:pStyle w:val="Tableheaderrow"/>
              <w:jc w:val="right"/>
            </w:pPr>
            <w:r w:rsidRPr="000C7F9B">
              <w:t>Contact with electricity</w:t>
            </w:r>
          </w:p>
        </w:tc>
        <w:tc>
          <w:tcPr>
            <w:tcW w:w="1093" w:type="dxa"/>
            <w:shd w:val="clear" w:color="auto" w:fill="D9D9D9" w:themeFill="background1" w:themeFillShade="D9"/>
            <w:vAlign w:val="center"/>
          </w:tcPr>
          <w:p w:rsidR="00002A3E" w:rsidRPr="000C7F9B" w:rsidRDefault="00002A3E" w:rsidP="00E960F1">
            <w:pPr>
              <w:pStyle w:val="Tableheaderrow"/>
              <w:jc w:val="right"/>
            </w:pPr>
            <w:r w:rsidRPr="000C7F9B">
              <w:t>Vehicle incident</w:t>
            </w:r>
          </w:p>
        </w:tc>
        <w:tc>
          <w:tcPr>
            <w:tcW w:w="1082" w:type="dxa"/>
            <w:shd w:val="clear" w:color="auto" w:fill="D9D9D9" w:themeFill="background1" w:themeFillShade="D9"/>
            <w:vAlign w:val="center"/>
          </w:tcPr>
          <w:p w:rsidR="00002A3E" w:rsidRPr="000C7F9B" w:rsidRDefault="00002A3E" w:rsidP="00E960F1">
            <w:pPr>
              <w:pStyle w:val="Tableheaderrow"/>
              <w:jc w:val="right"/>
            </w:pPr>
            <w:r w:rsidRPr="000C7F9B">
              <w:t>Being hit by moving objects</w:t>
            </w:r>
          </w:p>
        </w:tc>
        <w:tc>
          <w:tcPr>
            <w:tcW w:w="1080" w:type="dxa"/>
            <w:shd w:val="clear" w:color="auto" w:fill="D9D9D9" w:themeFill="background1" w:themeFillShade="D9"/>
            <w:vAlign w:val="center"/>
          </w:tcPr>
          <w:p w:rsidR="00002A3E" w:rsidRPr="000C7F9B" w:rsidRDefault="00002A3E" w:rsidP="00E960F1">
            <w:pPr>
              <w:pStyle w:val="Tableheaderrow"/>
              <w:jc w:val="right"/>
            </w:pPr>
            <w:r w:rsidRPr="000C7F9B">
              <w:t>Being hit by falling objects</w:t>
            </w:r>
          </w:p>
        </w:tc>
        <w:tc>
          <w:tcPr>
            <w:tcW w:w="1174" w:type="dxa"/>
            <w:shd w:val="clear" w:color="auto" w:fill="D9D9D9" w:themeFill="background1" w:themeFillShade="D9"/>
            <w:vAlign w:val="center"/>
          </w:tcPr>
          <w:p w:rsidR="00002A3E" w:rsidRPr="000C7F9B" w:rsidRDefault="00002A3E" w:rsidP="00E960F1">
            <w:pPr>
              <w:pStyle w:val="Tableheaderrow"/>
              <w:jc w:val="right"/>
            </w:pPr>
            <w:r w:rsidRPr="000C7F9B">
              <w:t>Other mechanism</w:t>
            </w:r>
          </w:p>
        </w:tc>
        <w:tc>
          <w:tcPr>
            <w:tcW w:w="1034" w:type="dxa"/>
            <w:shd w:val="clear" w:color="auto" w:fill="D9D9D9" w:themeFill="background1" w:themeFillShade="D9"/>
            <w:vAlign w:val="center"/>
          </w:tcPr>
          <w:p w:rsidR="00002A3E" w:rsidRPr="000C7F9B" w:rsidRDefault="00002A3E" w:rsidP="00E960F1">
            <w:pPr>
              <w:pStyle w:val="Tableheaderrow"/>
              <w:jc w:val="right"/>
            </w:pPr>
            <w:r w:rsidRPr="000C7F9B">
              <w:t>Total</w:t>
            </w:r>
          </w:p>
        </w:tc>
        <w:tc>
          <w:tcPr>
            <w:tcW w:w="1050" w:type="dxa"/>
            <w:shd w:val="clear" w:color="auto" w:fill="D9D9D9" w:themeFill="background1" w:themeFillShade="D9"/>
            <w:vAlign w:val="center"/>
          </w:tcPr>
          <w:p w:rsidR="00002A3E" w:rsidRPr="000C7F9B" w:rsidRDefault="00002A3E" w:rsidP="00E960F1">
            <w:pPr>
              <w:pStyle w:val="Tableheaderrow"/>
              <w:jc w:val="right"/>
            </w:pPr>
            <w:r>
              <w:t>% of total</w:t>
            </w:r>
          </w:p>
        </w:tc>
      </w:tr>
      <w:tr w:rsidR="00002A3E" w:rsidTr="00E960F1">
        <w:tc>
          <w:tcPr>
            <w:tcW w:w="1867" w:type="dxa"/>
          </w:tcPr>
          <w:p w:rsidR="00002A3E" w:rsidRPr="000C7F9B" w:rsidRDefault="00002A3E" w:rsidP="00002A3E">
            <w:pPr>
              <w:pStyle w:val="Tabletext"/>
            </w:pPr>
            <w:r w:rsidRPr="000C7F9B">
              <w:t>Technicians &amp; trades workers</w:t>
            </w:r>
          </w:p>
        </w:tc>
        <w:tc>
          <w:tcPr>
            <w:tcW w:w="1174" w:type="dxa"/>
            <w:vAlign w:val="center"/>
          </w:tcPr>
          <w:p w:rsidR="00002A3E" w:rsidRPr="000C7F9B" w:rsidRDefault="00002A3E" w:rsidP="00E960F1">
            <w:pPr>
              <w:pStyle w:val="Tabletext"/>
              <w:jc w:val="right"/>
            </w:pPr>
            <w:r w:rsidRPr="000C7F9B">
              <w:t>68</w:t>
            </w:r>
          </w:p>
        </w:tc>
        <w:tc>
          <w:tcPr>
            <w:tcW w:w="1128" w:type="dxa"/>
            <w:vAlign w:val="center"/>
          </w:tcPr>
          <w:p w:rsidR="00002A3E" w:rsidRPr="000C7F9B" w:rsidRDefault="00002A3E" w:rsidP="00E960F1">
            <w:pPr>
              <w:pStyle w:val="Tabletext"/>
              <w:jc w:val="right"/>
            </w:pPr>
            <w:r w:rsidRPr="000C7F9B">
              <w:t>49</w:t>
            </w:r>
          </w:p>
        </w:tc>
        <w:tc>
          <w:tcPr>
            <w:tcW w:w="1093" w:type="dxa"/>
            <w:vAlign w:val="center"/>
          </w:tcPr>
          <w:p w:rsidR="00002A3E" w:rsidRPr="000C7F9B" w:rsidRDefault="00002A3E" w:rsidP="00E960F1">
            <w:pPr>
              <w:pStyle w:val="Tabletext"/>
              <w:jc w:val="right"/>
            </w:pPr>
            <w:r w:rsidRPr="000C7F9B">
              <w:t>19</w:t>
            </w:r>
          </w:p>
        </w:tc>
        <w:tc>
          <w:tcPr>
            <w:tcW w:w="1082" w:type="dxa"/>
            <w:vAlign w:val="center"/>
          </w:tcPr>
          <w:p w:rsidR="00002A3E" w:rsidRPr="000C7F9B" w:rsidRDefault="00002A3E" w:rsidP="00E960F1">
            <w:pPr>
              <w:pStyle w:val="Tabletext"/>
              <w:jc w:val="right"/>
            </w:pPr>
            <w:r w:rsidRPr="000C7F9B">
              <w:t>9</w:t>
            </w:r>
          </w:p>
        </w:tc>
        <w:tc>
          <w:tcPr>
            <w:tcW w:w="1080" w:type="dxa"/>
            <w:vAlign w:val="center"/>
          </w:tcPr>
          <w:p w:rsidR="00002A3E" w:rsidRPr="000C7F9B" w:rsidRDefault="00002A3E" w:rsidP="00E960F1">
            <w:pPr>
              <w:pStyle w:val="Tabletext"/>
              <w:jc w:val="right"/>
            </w:pPr>
            <w:r w:rsidRPr="000C7F9B">
              <w:t>16</w:t>
            </w:r>
          </w:p>
        </w:tc>
        <w:tc>
          <w:tcPr>
            <w:tcW w:w="1174" w:type="dxa"/>
            <w:vAlign w:val="center"/>
          </w:tcPr>
          <w:p w:rsidR="00002A3E" w:rsidRPr="000C7F9B" w:rsidRDefault="00002A3E" w:rsidP="00E960F1">
            <w:pPr>
              <w:pStyle w:val="Tabletext"/>
              <w:jc w:val="right"/>
            </w:pPr>
            <w:r w:rsidRPr="000C7F9B">
              <w:t>23</w:t>
            </w:r>
          </w:p>
        </w:tc>
        <w:tc>
          <w:tcPr>
            <w:tcW w:w="1034" w:type="dxa"/>
            <w:vAlign w:val="center"/>
          </w:tcPr>
          <w:p w:rsidR="00002A3E" w:rsidRPr="000C7F9B" w:rsidRDefault="00002A3E" w:rsidP="00E960F1">
            <w:pPr>
              <w:pStyle w:val="Tabletext"/>
              <w:jc w:val="right"/>
            </w:pPr>
            <w:r w:rsidRPr="000C7F9B">
              <w:t>184</w:t>
            </w:r>
          </w:p>
        </w:tc>
        <w:tc>
          <w:tcPr>
            <w:tcW w:w="1050" w:type="dxa"/>
            <w:vAlign w:val="center"/>
          </w:tcPr>
          <w:p w:rsidR="00002A3E" w:rsidRPr="000C7F9B" w:rsidRDefault="00002A3E" w:rsidP="00E960F1">
            <w:pPr>
              <w:pStyle w:val="Tabletext"/>
              <w:jc w:val="right"/>
            </w:pPr>
            <w:r w:rsidRPr="000C7F9B">
              <w:t>46%</w:t>
            </w:r>
          </w:p>
        </w:tc>
      </w:tr>
      <w:tr w:rsidR="00002A3E" w:rsidTr="00E960F1">
        <w:tc>
          <w:tcPr>
            <w:tcW w:w="1867" w:type="dxa"/>
          </w:tcPr>
          <w:p w:rsidR="00002A3E" w:rsidRPr="000C7F9B" w:rsidRDefault="00002A3E" w:rsidP="00002A3E">
            <w:pPr>
              <w:pStyle w:val="Tabletext"/>
            </w:pPr>
            <w:r w:rsidRPr="000C7F9B">
              <w:t>Electricians</w:t>
            </w:r>
          </w:p>
        </w:tc>
        <w:tc>
          <w:tcPr>
            <w:tcW w:w="1174" w:type="dxa"/>
            <w:vAlign w:val="center"/>
          </w:tcPr>
          <w:p w:rsidR="00002A3E" w:rsidRPr="000C7F9B" w:rsidRDefault="00002A3E" w:rsidP="00E960F1">
            <w:pPr>
              <w:pStyle w:val="Tabletext"/>
              <w:jc w:val="right"/>
            </w:pPr>
            <w:r w:rsidRPr="000C7F9B">
              <w:t>12</w:t>
            </w:r>
          </w:p>
        </w:tc>
        <w:tc>
          <w:tcPr>
            <w:tcW w:w="1128" w:type="dxa"/>
            <w:vAlign w:val="center"/>
          </w:tcPr>
          <w:p w:rsidR="00002A3E" w:rsidRPr="000C7F9B" w:rsidRDefault="00002A3E" w:rsidP="00E960F1">
            <w:pPr>
              <w:pStyle w:val="Tabletext"/>
              <w:jc w:val="right"/>
            </w:pPr>
            <w:r w:rsidRPr="000C7F9B">
              <w:t>30</w:t>
            </w:r>
          </w:p>
        </w:tc>
        <w:tc>
          <w:tcPr>
            <w:tcW w:w="1093" w:type="dxa"/>
            <w:vAlign w:val="center"/>
          </w:tcPr>
          <w:p w:rsidR="00002A3E" w:rsidRPr="000C7F9B" w:rsidRDefault="00002A3E" w:rsidP="00E960F1">
            <w:pPr>
              <w:pStyle w:val="Tabletext"/>
              <w:jc w:val="right"/>
            </w:pPr>
            <w:r w:rsidRPr="000C7F9B">
              <w:t>7</w:t>
            </w:r>
          </w:p>
        </w:tc>
        <w:tc>
          <w:tcPr>
            <w:tcW w:w="1082" w:type="dxa"/>
            <w:vAlign w:val="center"/>
          </w:tcPr>
          <w:p w:rsidR="00002A3E" w:rsidRPr="000C7F9B" w:rsidRDefault="00002A3E" w:rsidP="00E960F1">
            <w:pPr>
              <w:pStyle w:val="Tabletext"/>
              <w:jc w:val="right"/>
            </w:pPr>
            <w:r w:rsidRPr="000C7F9B">
              <w:t>2</w:t>
            </w:r>
          </w:p>
        </w:tc>
        <w:tc>
          <w:tcPr>
            <w:tcW w:w="1080" w:type="dxa"/>
            <w:vAlign w:val="center"/>
          </w:tcPr>
          <w:p w:rsidR="00002A3E" w:rsidRPr="000C7F9B" w:rsidRDefault="00002A3E" w:rsidP="00E960F1">
            <w:pPr>
              <w:pStyle w:val="Tabletext"/>
              <w:jc w:val="right"/>
            </w:pPr>
            <w:r w:rsidRPr="000C7F9B">
              <w:t>0</w:t>
            </w:r>
          </w:p>
        </w:tc>
        <w:tc>
          <w:tcPr>
            <w:tcW w:w="1174" w:type="dxa"/>
            <w:vAlign w:val="center"/>
          </w:tcPr>
          <w:p w:rsidR="00002A3E" w:rsidRPr="000C7F9B" w:rsidRDefault="00002A3E" w:rsidP="00E960F1">
            <w:pPr>
              <w:pStyle w:val="Tabletext"/>
              <w:jc w:val="right"/>
            </w:pPr>
            <w:r w:rsidRPr="000C7F9B">
              <w:t>3</w:t>
            </w:r>
          </w:p>
        </w:tc>
        <w:tc>
          <w:tcPr>
            <w:tcW w:w="1034" w:type="dxa"/>
            <w:vAlign w:val="center"/>
          </w:tcPr>
          <w:p w:rsidR="00002A3E" w:rsidRPr="000C7F9B" w:rsidRDefault="00002A3E" w:rsidP="00E960F1">
            <w:pPr>
              <w:pStyle w:val="Tabletext"/>
              <w:jc w:val="right"/>
            </w:pPr>
            <w:r w:rsidRPr="000C7F9B">
              <w:t>54</w:t>
            </w:r>
          </w:p>
        </w:tc>
        <w:tc>
          <w:tcPr>
            <w:tcW w:w="1050" w:type="dxa"/>
            <w:vAlign w:val="center"/>
          </w:tcPr>
          <w:p w:rsidR="00002A3E" w:rsidRPr="000C7F9B" w:rsidRDefault="00002A3E" w:rsidP="00E960F1">
            <w:pPr>
              <w:pStyle w:val="Tabletext"/>
              <w:jc w:val="right"/>
            </w:pPr>
            <w:r w:rsidRPr="000C7F9B">
              <w:t>13%</w:t>
            </w:r>
          </w:p>
        </w:tc>
      </w:tr>
      <w:tr w:rsidR="00002A3E" w:rsidTr="00E960F1">
        <w:tc>
          <w:tcPr>
            <w:tcW w:w="1867" w:type="dxa"/>
          </w:tcPr>
          <w:p w:rsidR="00002A3E" w:rsidRPr="000C7F9B" w:rsidRDefault="00002A3E" w:rsidP="00002A3E">
            <w:pPr>
              <w:pStyle w:val="Tabletext"/>
            </w:pPr>
            <w:r w:rsidRPr="000C7F9B">
              <w:t>Bricklayers, carpenters &amp; joiners</w:t>
            </w:r>
          </w:p>
        </w:tc>
        <w:tc>
          <w:tcPr>
            <w:tcW w:w="1174" w:type="dxa"/>
            <w:vAlign w:val="center"/>
          </w:tcPr>
          <w:p w:rsidR="00002A3E" w:rsidRPr="000C7F9B" w:rsidRDefault="00002A3E" w:rsidP="00E960F1">
            <w:pPr>
              <w:pStyle w:val="Tabletext"/>
              <w:jc w:val="right"/>
            </w:pPr>
            <w:r w:rsidRPr="000C7F9B">
              <w:t>17</w:t>
            </w:r>
          </w:p>
        </w:tc>
        <w:tc>
          <w:tcPr>
            <w:tcW w:w="1128" w:type="dxa"/>
            <w:vAlign w:val="center"/>
          </w:tcPr>
          <w:p w:rsidR="00002A3E" w:rsidRPr="000C7F9B" w:rsidRDefault="00002A3E" w:rsidP="00E960F1">
            <w:pPr>
              <w:pStyle w:val="Tabletext"/>
              <w:jc w:val="right"/>
            </w:pPr>
            <w:r w:rsidRPr="000C7F9B">
              <w:t>5</w:t>
            </w:r>
          </w:p>
        </w:tc>
        <w:tc>
          <w:tcPr>
            <w:tcW w:w="1093" w:type="dxa"/>
            <w:vAlign w:val="center"/>
          </w:tcPr>
          <w:p w:rsidR="00002A3E" w:rsidRPr="000C7F9B" w:rsidRDefault="00002A3E" w:rsidP="00E960F1">
            <w:pPr>
              <w:pStyle w:val="Tabletext"/>
              <w:jc w:val="right"/>
            </w:pPr>
            <w:r w:rsidRPr="000C7F9B">
              <w:t>3</w:t>
            </w:r>
          </w:p>
        </w:tc>
        <w:tc>
          <w:tcPr>
            <w:tcW w:w="1082" w:type="dxa"/>
            <w:vAlign w:val="center"/>
          </w:tcPr>
          <w:p w:rsidR="00002A3E" w:rsidRPr="000C7F9B" w:rsidRDefault="00002A3E" w:rsidP="00E960F1">
            <w:pPr>
              <w:pStyle w:val="Tabletext"/>
              <w:jc w:val="right"/>
            </w:pPr>
            <w:r w:rsidRPr="000C7F9B">
              <w:t>2</w:t>
            </w:r>
          </w:p>
        </w:tc>
        <w:tc>
          <w:tcPr>
            <w:tcW w:w="1080" w:type="dxa"/>
            <w:vAlign w:val="center"/>
          </w:tcPr>
          <w:p w:rsidR="00002A3E" w:rsidRPr="000C7F9B" w:rsidRDefault="00002A3E" w:rsidP="00E960F1">
            <w:pPr>
              <w:pStyle w:val="Tabletext"/>
              <w:jc w:val="right"/>
            </w:pPr>
            <w:r w:rsidRPr="000C7F9B">
              <w:t>6</w:t>
            </w:r>
          </w:p>
        </w:tc>
        <w:tc>
          <w:tcPr>
            <w:tcW w:w="1174" w:type="dxa"/>
            <w:vAlign w:val="center"/>
          </w:tcPr>
          <w:p w:rsidR="00002A3E" w:rsidRPr="000C7F9B" w:rsidRDefault="00002A3E" w:rsidP="00E960F1">
            <w:pPr>
              <w:pStyle w:val="Tabletext"/>
              <w:jc w:val="right"/>
            </w:pPr>
            <w:r w:rsidRPr="000C7F9B">
              <w:t>6</w:t>
            </w:r>
          </w:p>
        </w:tc>
        <w:tc>
          <w:tcPr>
            <w:tcW w:w="1034" w:type="dxa"/>
            <w:vAlign w:val="center"/>
          </w:tcPr>
          <w:p w:rsidR="00002A3E" w:rsidRPr="000C7F9B" w:rsidRDefault="00002A3E" w:rsidP="00E960F1">
            <w:pPr>
              <w:pStyle w:val="Tabletext"/>
              <w:jc w:val="right"/>
            </w:pPr>
            <w:r w:rsidRPr="000C7F9B">
              <w:t>39</w:t>
            </w:r>
          </w:p>
        </w:tc>
        <w:tc>
          <w:tcPr>
            <w:tcW w:w="1050" w:type="dxa"/>
            <w:vAlign w:val="center"/>
          </w:tcPr>
          <w:p w:rsidR="00002A3E" w:rsidRPr="000C7F9B" w:rsidRDefault="00002A3E" w:rsidP="00E960F1">
            <w:pPr>
              <w:pStyle w:val="Tabletext"/>
              <w:jc w:val="right"/>
            </w:pPr>
            <w:r w:rsidRPr="000C7F9B">
              <w:t>10%</w:t>
            </w:r>
          </w:p>
        </w:tc>
      </w:tr>
      <w:tr w:rsidR="00002A3E" w:rsidTr="00E960F1">
        <w:tc>
          <w:tcPr>
            <w:tcW w:w="1867" w:type="dxa"/>
          </w:tcPr>
          <w:p w:rsidR="00002A3E" w:rsidRPr="000C7F9B" w:rsidRDefault="00002A3E" w:rsidP="00002A3E">
            <w:pPr>
              <w:pStyle w:val="Tabletext"/>
            </w:pPr>
            <w:r w:rsidRPr="000C7F9B">
              <w:t>Glaziers, plasterers &amp; tilers</w:t>
            </w:r>
          </w:p>
        </w:tc>
        <w:tc>
          <w:tcPr>
            <w:tcW w:w="1174" w:type="dxa"/>
            <w:vAlign w:val="center"/>
          </w:tcPr>
          <w:p w:rsidR="00002A3E" w:rsidRPr="000C7F9B" w:rsidRDefault="00002A3E" w:rsidP="00E960F1">
            <w:pPr>
              <w:pStyle w:val="Tabletext"/>
              <w:jc w:val="right"/>
            </w:pPr>
            <w:r w:rsidRPr="000C7F9B">
              <w:t>13</w:t>
            </w:r>
          </w:p>
        </w:tc>
        <w:tc>
          <w:tcPr>
            <w:tcW w:w="1128" w:type="dxa"/>
            <w:vAlign w:val="center"/>
          </w:tcPr>
          <w:p w:rsidR="00002A3E" w:rsidRPr="000C7F9B" w:rsidRDefault="00002A3E" w:rsidP="00E960F1">
            <w:pPr>
              <w:pStyle w:val="Tabletext"/>
              <w:jc w:val="right"/>
            </w:pPr>
            <w:r w:rsidRPr="000C7F9B">
              <w:t>2</w:t>
            </w:r>
          </w:p>
        </w:tc>
        <w:tc>
          <w:tcPr>
            <w:tcW w:w="1093" w:type="dxa"/>
            <w:vAlign w:val="center"/>
          </w:tcPr>
          <w:p w:rsidR="00002A3E" w:rsidRPr="000C7F9B" w:rsidRDefault="00002A3E" w:rsidP="00E960F1">
            <w:pPr>
              <w:pStyle w:val="Tabletext"/>
              <w:jc w:val="right"/>
            </w:pPr>
            <w:r w:rsidRPr="000C7F9B">
              <w:t>1</w:t>
            </w:r>
          </w:p>
        </w:tc>
        <w:tc>
          <w:tcPr>
            <w:tcW w:w="1082" w:type="dxa"/>
            <w:vAlign w:val="center"/>
          </w:tcPr>
          <w:p w:rsidR="00002A3E" w:rsidRPr="000C7F9B" w:rsidRDefault="00002A3E" w:rsidP="00E960F1">
            <w:pPr>
              <w:pStyle w:val="Tabletext"/>
              <w:jc w:val="right"/>
            </w:pPr>
            <w:r w:rsidRPr="000C7F9B">
              <w:t>1</w:t>
            </w:r>
          </w:p>
        </w:tc>
        <w:tc>
          <w:tcPr>
            <w:tcW w:w="1080" w:type="dxa"/>
            <w:vAlign w:val="center"/>
          </w:tcPr>
          <w:p w:rsidR="00002A3E" w:rsidRPr="000C7F9B" w:rsidRDefault="00002A3E" w:rsidP="00E960F1">
            <w:pPr>
              <w:pStyle w:val="Tabletext"/>
              <w:jc w:val="right"/>
            </w:pPr>
            <w:r w:rsidRPr="000C7F9B">
              <w:t>2</w:t>
            </w:r>
          </w:p>
        </w:tc>
        <w:tc>
          <w:tcPr>
            <w:tcW w:w="1174" w:type="dxa"/>
            <w:vAlign w:val="center"/>
          </w:tcPr>
          <w:p w:rsidR="00002A3E" w:rsidRPr="000C7F9B" w:rsidRDefault="00002A3E" w:rsidP="00E960F1">
            <w:pPr>
              <w:pStyle w:val="Tabletext"/>
              <w:jc w:val="right"/>
            </w:pPr>
            <w:r w:rsidRPr="000C7F9B">
              <w:t>2</w:t>
            </w:r>
          </w:p>
        </w:tc>
        <w:tc>
          <w:tcPr>
            <w:tcW w:w="1034" w:type="dxa"/>
            <w:vAlign w:val="center"/>
          </w:tcPr>
          <w:p w:rsidR="00002A3E" w:rsidRPr="000C7F9B" w:rsidRDefault="00002A3E" w:rsidP="00E960F1">
            <w:pPr>
              <w:pStyle w:val="Tabletext"/>
              <w:jc w:val="right"/>
            </w:pPr>
            <w:r w:rsidRPr="000C7F9B">
              <w:t>21</w:t>
            </w:r>
          </w:p>
        </w:tc>
        <w:tc>
          <w:tcPr>
            <w:tcW w:w="1050" w:type="dxa"/>
            <w:vAlign w:val="center"/>
          </w:tcPr>
          <w:p w:rsidR="00002A3E" w:rsidRPr="000C7F9B" w:rsidRDefault="00002A3E" w:rsidP="00E960F1">
            <w:pPr>
              <w:pStyle w:val="Tabletext"/>
              <w:jc w:val="right"/>
            </w:pPr>
            <w:r w:rsidRPr="000C7F9B">
              <w:t>5%</w:t>
            </w:r>
          </w:p>
        </w:tc>
      </w:tr>
      <w:tr w:rsidR="00002A3E" w:rsidTr="00E960F1">
        <w:tc>
          <w:tcPr>
            <w:tcW w:w="1867" w:type="dxa"/>
          </w:tcPr>
          <w:p w:rsidR="00002A3E" w:rsidRPr="000C7F9B" w:rsidRDefault="00002A3E" w:rsidP="00002A3E">
            <w:pPr>
              <w:pStyle w:val="Tabletext"/>
            </w:pPr>
            <w:r w:rsidRPr="000C7F9B">
              <w:t>Plumbers</w:t>
            </w:r>
          </w:p>
        </w:tc>
        <w:tc>
          <w:tcPr>
            <w:tcW w:w="1174" w:type="dxa"/>
            <w:vAlign w:val="center"/>
          </w:tcPr>
          <w:p w:rsidR="00002A3E" w:rsidRPr="000C7F9B" w:rsidRDefault="00002A3E" w:rsidP="00E960F1">
            <w:pPr>
              <w:pStyle w:val="Tabletext"/>
              <w:jc w:val="right"/>
            </w:pPr>
            <w:r w:rsidRPr="000C7F9B">
              <w:t>8</w:t>
            </w:r>
          </w:p>
        </w:tc>
        <w:tc>
          <w:tcPr>
            <w:tcW w:w="1128" w:type="dxa"/>
            <w:vAlign w:val="center"/>
          </w:tcPr>
          <w:p w:rsidR="00002A3E" w:rsidRPr="000C7F9B" w:rsidRDefault="00002A3E" w:rsidP="00E960F1">
            <w:pPr>
              <w:pStyle w:val="Tabletext"/>
              <w:jc w:val="right"/>
            </w:pPr>
            <w:r w:rsidRPr="000C7F9B">
              <w:t>5</w:t>
            </w:r>
          </w:p>
        </w:tc>
        <w:tc>
          <w:tcPr>
            <w:tcW w:w="1093" w:type="dxa"/>
            <w:vAlign w:val="center"/>
          </w:tcPr>
          <w:p w:rsidR="00002A3E" w:rsidRPr="000C7F9B" w:rsidRDefault="00002A3E" w:rsidP="00E960F1">
            <w:pPr>
              <w:pStyle w:val="Tabletext"/>
              <w:jc w:val="right"/>
            </w:pPr>
            <w:r w:rsidRPr="000C7F9B">
              <w:t>2</w:t>
            </w:r>
          </w:p>
        </w:tc>
        <w:tc>
          <w:tcPr>
            <w:tcW w:w="1082" w:type="dxa"/>
            <w:vAlign w:val="center"/>
          </w:tcPr>
          <w:p w:rsidR="00002A3E" w:rsidRPr="000C7F9B" w:rsidRDefault="00002A3E" w:rsidP="00E960F1">
            <w:pPr>
              <w:pStyle w:val="Tabletext"/>
              <w:jc w:val="right"/>
            </w:pPr>
            <w:r w:rsidRPr="000C7F9B">
              <w:t>1</w:t>
            </w:r>
          </w:p>
        </w:tc>
        <w:tc>
          <w:tcPr>
            <w:tcW w:w="1080" w:type="dxa"/>
            <w:vAlign w:val="center"/>
          </w:tcPr>
          <w:p w:rsidR="00002A3E" w:rsidRPr="000C7F9B" w:rsidRDefault="00002A3E" w:rsidP="00E960F1">
            <w:pPr>
              <w:pStyle w:val="Tabletext"/>
              <w:jc w:val="right"/>
            </w:pPr>
            <w:r w:rsidRPr="000C7F9B">
              <w:t>2</w:t>
            </w:r>
          </w:p>
        </w:tc>
        <w:tc>
          <w:tcPr>
            <w:tcW w:w="1174" w:type="dxa"/>
            <w:vAlign w:val="center"/>
          </w:tcPr>
          <w:p w:rsidR="00002A3E" w:rsidRPr="000C7F9B" w:rsidRDefault="00002A3E" w:rsidP="00E960F1">
            <w:pPr>
              <w:pStyle w:val="Tabletext"/>
              <w:jc w:val="right"/>
            </w:pPr>
            <w:r w:rsidRPr="000C7F9B">
              <w:t>3</w:t>
            </w:r>
          </w:p>
        </w:tc>
        <w:tc>
          <w:tcPr>
            <w:tcW w:w="1034" w:type="dxa"/>
            <w:vAlign w:val="center"/>
          </w:tcPr>
          <w:p w:rsidR="00002A3E" w:rsidRPr="000C7F9B" w:rsidRDefault="00002A3E" w:rsidP="00E960F1">
            <w:pPr>
              <w:pStyle w:val="Tabletext"/>
              <w:jc w:val="right"/>
            </w:pPr>
            <w:r w:rsidRPr="000C7F9B">
              <w:t>21</w:t>
            </w:r>
          </w:p>
        </w:tc>
        <w:tc>
          <w:tcPr>
            <w:tcW w:w="1050" w:type="dxa"/>
            <w:vAlign w:val="center"/>
          </w:tcPr>
          <w:p w:rsidR="00002A3E" w:rsidRPr="000C7F9B" w:rsidRDefault="00002A3E" w:rsidP="00E960F1">
            <w:pPr>
              <w:pStyle w:val="Tabletext"/>
              <w:jc w:val="right"/>
            </w:pPr>
            <w:r w:rsidRPr="000C7F9B">
              <w:t>5%</w:t>
            </w:r>
          </w:p>
        </w:tc>
      </w:tr>
      <w:tr w:rsidR="00002A3E" w:rsidTr="00E960F1">
        <w:tc>
          <w:tcPr>
            <w:tcW w:w="1867" w:type="dxa"/>
          </w:tcPr>
          <w:p w:rsidR="00002A3E" w:rsidRPr="000C7F9B" w:rsidRDefault="00002A3E" w:rsidP="00002A3E">
            <w:pPr>
              <w:pStyle w:val="Tabletext"/>
            </w:pPr>
            <w:r w:rsidRPr="000C7F9B">
              <w:t>Painting Trades Workers</w:t>
            </w:r>
          </w:p>
        </w:tc>
        <w:tc>
          <w:tcPr>
            <w:tcW w:w="1174" w:type="dxa"/>
            <w:vAlign w:val="center"/>
          </w:tcPr>
          <w:p w:rsidR="00002A3E" w:rsidRPr="000C7F9B" w:rsidRDefault="00002A3E" w:rsidP="00E960F1">
            <w:pPr>
              <w:pStyle w:val="Tabletext"/>
              <w:jc w:val="right"/>
            </w:pPr>
            <w:r w:rsidRPr="000C7F9B">
              <w:t>12</w:t>
            </w:r>
          </w:p>
        </w:tc>
        <w:tc>
          <w:tcPr>
            <w:tcW w:w="1128" w:type="dxa"/>
            <w:vAlign w:val="center"/>
          </w:tcPr>
          <w:p w:rsidR="00002A3E" w:rsidRPr="000C7F9B" w:rsidRDefault="00002A3E" w:rsidP="00E960F1">
            <w:pPr>
              <w:pStyle w:val="Tabletext"/>
              <w:jc w:val="right"/>
            </w:pPr>
            <w:r w:rsidRPr="000C7F9B">
              <w:t>2</w:t>
            </w:r>
          </w:p>
        </w:tc>
        <w:tc>
          <w:tcPr>
            <w:tcW w:w="1093" w:type="dxa"/>
            <w:vAlign w:val="center"/>
          </w:tcPr>
          <w:p w:rsidR="00002A3E" w:rsidRPr="000C7F9B" w:rsidRDefault="00002A3E" w:rsidP="00E960F1">
            <w:pPr>
              <w:pStyle w:val="Tabletext"/>
              <w:jc w:val="right"/>
            </w:pPr>
            <w:r w:rsidRPr="000C7F9B">
              <w:t>1</w:t>
            </w:r>
          </w:p>
        </w:tc>
        <w:tc>
          <w:tcPr>
            <w:tcW w:w="1082" w:type="dxa"/>
            <w:vAlign w:val="center"/>
          </w:tcPr>
          <w:p w:rsidR="00002A3E" w:rsidRPr="000C7F9B" w:rsidRDefault="00002A3E" w:rsidP="00E960F1">
            <w:pPr>
              <w:pStyle w:val="Tabletext"/>
              <w:jc w:val="right"/>
            </w:pPr>
            <w:r w:rsidRPr="000C7F9B">
              <w:t>1</w:t>
            </w:r>
          </w:p>
        </w:tc>
        <w:tc>
          <w:tcPr>
            <w:tcW w:w="1080" w:type="dxa"/>
            <w:vAlign w:val="center"/>
          </w:tcPr>
          <w:p w:rsidR="00002A3E" w:rsidRPr="000C7F9B" w:rsidRDefault="00002A3E" w:rsidP="00E960F1">
            <w:pPr>
              <w:pStyle w:val="Tabletext"/>
              <w:jc w:val="right"/>
            </w:pPr>
            <w:r w:rsidRPr="000C7F9B">
              <w:t>0</w:t>
            </w:r>
          </w:p>
        </w:tc>
        <w:tc>
          <w:tcPr>
            <w:tcW w:w="1174" w:type="dxa"/>
            <w:vAlign w:val="center"/>
          </w:tcPr>
          <w:p w:rsidR="00002A3E" w:rsidRPr="000C7F9B" w:rsidRDefault="00002A3E" w:rsidP="00E960F1">
            <w:pPr>
              <w:pStyle w:val="Tabletext"/>
              <w:jc w:val="right"/>
            </w:pPr>
            <w:r w:rsidRPr="000C7F9B">
              <w:t>3</w:t>
            </w:r>
          </w:p>
        </w:tc>
        <w:tc>
          <w:tcPr>
            <w:tcW w:w="1034" w:type="dxa"/>
            <w:vAlign w:val="center"/>
          </w:tcPr>
          <w:p w:rsidR="00002A3E" w:rsidRPr="000C7F9B" w:rsidRDefault="00002A3E" w:rsidP="00E960F1">
            <w:pPr>
              <w:pStyle w:val="Tabletext"/>
              <w:jc w:val="right"/>
            </w:pPr>
            <w:r w:rsidRPr="000C7F9B">
              <w:t>19</w:t>
            </w:r>
          </w:p>
        </w:tc>
        <w:tc>
          <w:tcPr>
            <w:tcW w:w="1050" w:type="dxa"/>
            <w:vAlign w:val="center"/>
          </w:tcPr>
          <w:p w:rsidR="00002A3E" w:rsidRPr="000C7F9B" w:rsidRDefault="00002A3E" w:rsidP="00E960F1">
            <w:pPr>
              <w:pStyle w:val="Tabletext"/>
              <w:jc w:val="right"/>
            </w:pPr>
            <w:r w:rsidRPr="000C7F9B">
              <w:t>5%</w:t>
            </w:r>
          </w:p>
        </w:tc>
      </w:tr>
      <w:tr w:rsidR="00002A3E" w:rsidTr="00E960F1">
        <w:tc>
          <w:tcPr>
            <w:tcW w:w="1867" w:type="dxa"/>
          </w:tcPr>
          <w:p w:rsidR="00002A3E" w:rsidRPr="000C7F9B" w:rsidRDefault="00002A3E" w:rsidP="00002A3E">
            <w:pPr>
              <w:pStyle w:val="Tabletext"/>
            </w:pPr>
            <w:r w:rsidRPr="000C7F9B">
              <w:t xml:space="preserve">Electronics </w:t>
            </w:r>
            <w:r>
              <w:t>&amp;</w:t>
            </w:r>
            <w:r w:rsidRPr="000C7F9B">
              <w:t xml:space="preserve"> Telecommunications Trades Workers</w:t>
            </w:r>
          </w:p>
        </w:tc>
        <w:tc>
          <w:tcPr>
            <w:tcW w:w="1174" w:type="dxa"/>
            <w:vAlign w:val="center"/>
          </w:tcPr>
          <w:p w:rsidR="00002A3E" w:rsidRPr="000C7F9B" w:rsidRDefault="00002A3E" w:rsidP="00E960F1">
            <w:pPr>
              <w:pStyle w:val="Tabletext"/>
              <w:jc w:val="right"/>
            </w:pPr>
            <w:r w:rsidRPr="000C7F9B">
              <w:t>3</w:t>
            </w:r>
          </w:p>
        </w:tc>
        <w:tc>
          <w:tcPr>
            <w:tcW w:w="1128" w:type="dxa"/>
            <w:vAlign w:val="center"/>
          </w:tcPr>
          <w:p w:rsidR="00002A3E" w:rsidRPr="000C7F9B" w:rsidRDefault="00002A3E" w:rsidP="00E960F1">
            <w:pPr>
              <w:pStyle w:val="Tabletext"/>
              <w:jc w:val="right"/>
            </w:pPr>
            <w:r w:rsidRPr="000C7F9B">
              <w:t>4</w:t>
            </w:r>
          </w:p>
        </w:tc>
        <w:tc>
          <w:tcPr>
            <w:tcW w:w="1093" w:type="dxa"/>
            <w:vAlign w:val="center"/>
          </w:tcPr>
          <w:p w:rsidR="00002A3E" w:rsidRPr="000C7F9B" w:rsidRDefault="00002A3E" w:rsidP="00E960F1">
            <w:pPr>
              <w:pStyle w:val="Tabletext"/>
              <w:jc w:val="right"/>
            </w:pPr>
            <w:r w:rsidRPr="000C7F9B">
              <w:t>2</w:t>
            </w:r>
          </w:p>
        </w:tc>
        <w:tc>
          <w:tcPr>
            <w:tcW w:w="1082" w:type="dxa"/>
            <w:vAlign w:val="center"/>
          </w:tcPr>
          <w:p w:rsidR="00002A3E" w:rsidRPr="000C7F9B" w:rsidRDefault="00002A3E" w:rsidP="00E960F1">
            <w:pPr>
              <w:pStyle w:val="Tabletext"/>
              <w:jc w:val="right"/>
            </w:pPr>
            <w:r w:rsidRPr="000C7F9B">
              <w:t>1</w:t>
            </w:r>
          </w:p>
        </w:tc>
        <w:tc>
          <w:tcPr>
            <w:tcW w:w="1080" w:type="dxa"/>
            <w:vAlign w:val="center"/>
          </w:tcPr>
          <w:p w:rsidR="00002A3E" w:rsidRPr="000C7F9B" w:rsidRDefault="00002A3E" w:rsidP="00E960F1">
            <w:pPr>
              <w:pStyle w:val="Tabletext"/>
              <w:jc w:val="right"/>
            </w:pPr>
            <w:r w:rsidRPr="000C7F9B">
              <w:t>0</w:t>
            </w:r>
          </w:p>
        </w:tc>
        <w:tc>
          <w:tcPr>
            <w:tcW w:w="1174" w:type="dxa"/>
            <w:vAlign w:val="center"/>
          </w:tcPr>
          <w:p w:rsidR="00002A3E" w:rsidRPr="000C7F9B" w:rsidRDefault="00002A3E" w:rsidP="00E960F1">
            <w:pPr>
              <w:pStyle w:val="Tabletext"/>
              <w:jc w:val="right"/>
            </w:pPr>
            <w:r w:rsidRPr="000C7F9B">
              <w:t>2</w:t>
            </w:r>
          </w:p>
        </w:tc>
        <w:tc>
          <w:tcPr>
            <w:tcW w:w="1034" w:type="dxa"/>
            <w:vAlign w:val="center"/>
          </w:tcPr>
          <w:p w:rsidR="00002A3E" w:rsidRPr="000C7F9B" w:rsidRDefault="00002A3E" w:rsidP="00E960F1">
            <w:pPr>
              <w:pStyle w:val="Tabletext"/>
              <w:jc w:val="right"/>
            </w:pPr>
            <w:r w:rsidRPr="000C7F9B">
              <w:t>12</w:t>
            </w:r>
          </w:p>
        </w:tc>
        <w:tc>
          <w:tcPr>
            <w:tcW w:w="1050" w:type="dxa"/>
            <w:vAlign w:val="center"/>
          </w:tcPr>
          <w:p w:rsidR="00002A3E" w:rsidRPr="000C7F9B" w:rsidRDefault="00002A3E" w:rsidP="00E960F1">
            <w:pPr>
              <w:pStyle w:val="Tabletext"/>
              <w:jc w:val="right"/>
            </w:pPr>
            <w:r w:rsidRPr="000C7F9B">
              <w:t>3%</w:t>
            </w:r>
          </w:p>
        </w:tc>
      </w:tr>
      <w:tr w:rsidR="00002A3E" w:rsidTr="00E960F1">
        <w:tc>
          <w:tcPr>
            <w:tcW w:w="1867" w:type="dxa"/>
          </w:tcPr>
          <w:p w:rsidR="00002A3E" w:rsidRPr="000C7F9B" w:rsidRDefault="00002A3E" w:rsidP="00002A3E">
            <w:pPr>
              <w:pStyle w:val="Tabletext"/>
            </w:pPr>
            <w:r w:rsidRPr="000C7F9B">
              <w:t>Labourers</w:t>
            </w:r>
          </w:p>
        </w:tc>
        <w:tc>
          <w:tcPr>
            <w:tcW w:w="1174" w:type="dxa"/>
            <w:vAlign w:val="center"/>
          </w:tcPr>
          <w:p w:rsidR="00002A3E" w:rsidRPr="000C7F9B" w:rsidRDefault="00002A3E" w:rsidP="00E960F1">
            <w:pPr>
              <w:pStyle w:val="Tabletext"/>
              <w:jc w:val="right"/>
            </w:pPr>
            <w:r w:rsidRPr="000C7F9B">
              <w:t>39</w:t>
            </w:r>
          </w:p>
        </w:tc>
        <w:tc>
          <w:tcPr>
            <w:tcW w:w="1128" w:type="dxa"/>
            <w:vAlign w:val="center"/>
          </w:tcPr>
          <w:p w:rsidR="00002A3E" w:rsidRPr="000C7F9B" w:rsidRDefault="00002A3E" w:rsidP="00E960F1">
            <w:pPr>
              <w:pStyle w:val="Tabletext"/>
              <w:jc w:val="right"/>
            </w:pPr>
            <w:r w:rsidRPr="000C7F9B">
              <w:t>11</w:t>
            </w:r>
          </w:p>
        </w:tc>
        <w:tc>
          <w:tcPr>
            <w:tcW w:w="1093" w:type="dxa"/>
            <w:vAlign w:val="center"/>
          </w:tcPr>
          <w:p w:rsidR="00002A3E" w:rsidRPr="000C7F9B" w:rsidRDefault="00002A3E" w:rsidP="00E960F1">
            <w:pPr>
              <w:pStyle w:val="Tabletext"/>
              <w:jc w:val="right"/>
            </w:pPr>
            <w:r w:rsidRPr="000C7F9B">
              <w:t>12</w:t>
            </w:r>
          </w:p>
        </w:tc>
        <w:tc>
          <w:tcPr>
            <w:tcW w:w="1082" w:type="dxa"/>
            <w:vAlign w:val="center"/>
          </w:tcPr>
          <w:p w:rsidR="00002A3E" w:rsidRPr="000C7F9B" w:rsidRDefault="00002A3E" w:rsidP="00E960F1">
            <w:pPr>
              <w:pStyle w:val="Tabletext"/>
              <w:jc w:val="right"/>
            </w:pPr>
            <w:r w:rsidRPr="000C7F9B">
              <w:t>18</w:t>
            </w:r>
          </w:p>
        </w:tc>
        <w:tc>
          <w:tcPr>
            <w:tcW w:w="1080" w:type="dxa"/>
            <w:vAlign w:val="center"/>
          </w:tcPr>
          <w:p w:rsidR="00002A3E" w:rsidRPr="000C7F9B" w:rsidRDefault="00002A3E" w:rsidP="00E960F1">
            <w:pPr>
              <w:pStyle w:val="Tabletext"/>
              <w:jc w:val="right"/>
            </w:pPr>
            <w:r w:rsidRPr="000C7F9B">
              <w:t>16</w:t>
            </w:r>
          </w:p>
        </w:tc>
        <w:tc>
          <w:tcPr>
            <w:tcW w:w="1174" w:type="dxa"/>
            <w:vAlign w:val="center"/>
          </w:tcPr>
          <w:p w:rsidR="00002A3E" w:rsidRPr="000C7F9B" w:rsidRDefault="00002A3E" w:rsidP="00E960F1">
            <w:pPr>
              <w:pStyle w:val="Tabletext"/>
              <w:jc w:val="right"/>
            </w:pPr>
            <w:r w:rsidRPr="000C7F9B">
              <w:t>16</w:t>
            </w:r>
          </w:p>
        </w:tc>
        <w:tc>
          <w:tcPr>
            <w:tcW w:w="1034" w:type="dxa"/>
            <w:vAlign w:val="center"/>
          </w:tcPr>
          <w:p w:rsidR="00002A3E" w:rsidRPr="000C7F9B" w:rsidRDefault="00002A3E" w:rsidP="00E960F1">
            <w:pPr>
              <w:pStyle w:val="Tabletext"/>
              <w:jc w:val="right"/>
            </w:pPr>
            <w:r w:rsidRPr="000C7F9B">
              <w:t>112</w:t>
            </w:r>
          </w:p>
        </w:tc>
        <w:tc>
          <w:tcPr>
            <w:tcW w:w="1050" w:type="dxa"/>
            <w:vAlign w:val="center"/>
          </w:tcPr>
          <w:p w:rsidR="00002A3E" w:rsidRPr="000C7F9B" w:rsidRDefault="00002A3E" w:rsidP="00E960F1">
            <w:pPr>
              <w:pStyle w:val="Tabletext"/>
              <w:jc w:val="right"/>
            </w:pPr>
            <w:r w:rsidRPr="000C7F9B">
              <w:t>28%</w:t>
            </w:r>
          </w:p>
        </w:tc>
      </w:tr>
      <w:tr w:rsidR="00002A3E" w:rsidTr="00E960F1">
        <w:tc>
          <w:tcPr>
            <w:tcW w:w="1867" w:type="dxa"/>
          </w:tcPr>
          <w:p w:rsidR="00002A3E" w:rsidRPr="000C7F9B" w:rsidRDefault="00002A3E" w:rsidP="00002A3E">
            <w:pPr>
              <w:pStyle w:val="Tabletext"/>
            </w:pPr>
            <w:r w:rsidRPr="000C7F9B">
              <w:t xml:space="preserve">Building </w:t>
            </w:r>
            <w:r>
              <w:t>&amp;</w:t>
            </w:r>
            <w:r w:rsidRPr="000C7F9B">
              <w:t xml:space="preserve"> Plumbing Labourers</w:t>
            </w:r>
          </w:p>
        </w:tc>
        <w:tc>
          <w:tcPr>
            <w:tcW w:w="1174" w:type="dxa"/>
            <w:vAlign w:val="center"/>
          </w:tcPr>
          <w:p w:rsidR="00002A3E" w:rsidRPr="000C7F9B" w:rsidRDefault="00002A3E" w:rsidP="00E960F1">
            <w:pPr>
              <w:pStyle w:val="Tabletext"/>
              <w:jc w:val="right"/>
            </w:pPr>
            <w:r w:rsidRPr="000C7F9B">
              <w:t>18</w:t>
            </w:r>
          </w:p>
        </w:tc>
        <w:tc>
          <w:tcPr>
            <w:tcW w:w="1128" w:type="dxa"/>
            <w:vAlign w:val="center"/>
          </w:tcPr>
          <w:p w:rsidR="00002A3E" w:rsidRPr="000C7F9B" w:rsidRDefault="00002A3E" w:rsidP="00E960F1">
            <w:pPr>
              <w:pStyle w:val="Tabletext"/>
              <w:jc w:val="right"/>
            </w:pPr>
            <w:r w:rsidRPr="000C7F9B">
              <w:t>4</w:t>
            </w:r>
          </w:p>
        </w:tc>
        <w:tc>
          <w:tcPr>
            <w:tcW w:w="1093" w:type="dxa"/>
            <w:vAlign w:val="center"/>
          </w:tcPr>
          <w:p w:rsidR="00002A3E" w:rsidRPr="000C7F9B" w:rsidRDefault="00002A3E" w:rsidP="00E960F1">
            <w:pPr>
              <w:pStyle w:val="Tabletext"/>
              <w:jc w:val="right"/>
            </w:pPr>
            <w:r w:rsidRPr="000C7F9B">
              <w:t>3</w:t>
            </w:r>
          </w:p>
        </w:tc>
        <w:tc>
          <w:tcPr>
            <w:tcW w:w="1082" w:type="dxa"/>
            <w:vAlign w:val="center"/>
          </w:tcPr>
          <w:p w:rsidR="00002A3E" w:rsidRPr="000C7F9B" w:rsidRDefault="00002A3E" w:rsidP="00E960F1">
            <w:pPr>
              <w:pStyle w:val="Tabletext"/>
              <w:jc w:val="right"/>
            </w:pPr>
            <w:r w:rsidRPr="000C7F9B">
              <w:t>3</w:t>
            </w:r>
          </w:p>
        </w:tc>
        <w:tc>
          <w:tcPr>
            <w:tcW w:w="1080" w:type="dxa"/>
            <w:vAlign w:val="center"/>
          </w:tcPr>
          <w:p w:rsidR="00002A3E" w:rsidRPr="000C7F9B" w:rsidRDefault="00002A3E" w:rsidP="00E960F1">
            <w:pPr>
              <w:pStyle w:val="Tabletext"/>
              <w:jc w:val="right"/>
            </w:pPr>
            <w:r w:rsidRPr="000C7F9B">
              <w:t>9</w:t>
            </w:r>
          </w:p>
        </w:tc>
        <w:tc>
          <w:tcPr>
            <w:tcW w:w="1174" w:type="dxa"/>
            <w:vAlign w:val="center"/>
          </w:tcPr>
          <w:p w:rsidR="00002A3E" w:rsidRPr="000C7F9B" w:rsidRDefault="00002A3E" w:rsidP="00E960F1">
            <w:pPr>
              <w:pStyle w:val="Tabletext"/>
              <w:jc w:val="right"/>
            </w:pPr>
            <w:r w:rsidRPr="000C7F9B">
              <w:t>4</w:t>
            </w:r>
          </w:p>
        </w:tc>
        <w:tc>
          <w:tcPr>
            <w:tcW w:w="1034" w:type="dxa"/>
            <w:vAlign w:val="center"/>
          </w:tcPr>
          <w:p w:rsidR="00002A3E" w:rsidRPr="000C7F9B" w:rsidRDefault="00002A3E" w:rsidP="00E960F1">
            <w:pPr>
              <w:pStyle w:val="Tabletext"/>
              <w:jc w:val="right"/>
            </w:pPr>
            <w:r w:rsidRPr="000C7F9B">
              <w:t>41</w:t>
            </w:r>
          </w:p>
        </w:tc>
        <w:tc>
          <w:tcPr>
            <w:tcW w:w="1050" w:type="dxa"/>
            <w:vAlign w:val="center"/>
          </w:tcPr>
          <w:p w:rsidR="00002A3E" w:rsidRPr="000C7F9B" w:rsidRDefault="00002A3E" w:rsidP="00E960F1">
            <w:pPr>
              <w:pStyle w:val="Tabletext"/>
              <w:jc w:val="right"/>
            </w:pPr>
            <w:r w:rsidRPr="000C7F9B">
              <w:t>10%</w:t>
            </w:r>
          </w:p>
        </w:tc>
      </w:tr>
      <w:tr w:rsidR="00002A3E" w:rsidTr="00E960F1">
        <w:tc>
          <w:tcPr>
            <w:tcW w:w="1867" w:type="dxa"/>
          </w:tcPr>
          <w:p w:rsidR="00002A3E" w:rsidRPr="000C7F9B" w:rsidRDefault="00002A3E" w:rsidP="00002A3E">
            <w:pPr>
              <w:pStyle w:val="Tabletext"/>
            </w:pPr>
            <w:r w:rsidRPr="000C7F9B">
              <w:t>Structural Steel Construction Workers</w:t>
            </w:r>
          </w:p>
        </w:tc>
        <w:tc>
          <w:tcPr>
            <w:tcW w:w="1174" w:type="dxa"/>
            <w:vAlign w:val="center"/>
          </w:tcPr>
          <w:p w:rsidR="00002A3E" w:rsidRPr="000C7F9B" w:rsidRDefault="00002A3E" w:rsidP="00E960F1">
            <w:pPr>
              <w:pStyle w:val="Tabletext"/>
              <w:jc w:val="right"/>
            </w:pPr>
            <w:r w:rsidRPr="000C7F9B">
              <w:t>6</w:t>
            </w:r>
          </w:p>
        </w:tc>
        <w:tc>
          <w:tcPr>
            <w:tcW w:w="1128" w:type="dxa"/>
            <w:vAlign w:val="center"/>
          </w:tcPr>
          <w:p w:rsidR="00002A3E" w:rsidRPr="000C7F9B" w:rsidRDefault="00002A3E" w:rsidP="00E960F1">
            <w:pPr>
              <w:pStyle w:val="Tabletext"/>
              <w:jc w:val="right"/>
            </w:pPr>
            <w:r w:rsidRPr="000C7F9B">
              <w:t>0</w:t>
            </w:r>
          </w:p>
        </w:tc>
        <w:tc>
          <w:tcPr>
            <w:tcW w:w="1093" w:type="dxa"/>
            <w:vAlign w:val="center"/>
          </w:tcPr>
          <w:p w:rsidR="00002A3E" w:rsidRPr="000C7F9B" w:rsidRDefault="00002A3E" w:rsidP="00E960F1">
            <w:pPr>
              <w:pStyle w:val="Tabletext"/>
              <w:jc w:val="right"/>
            </w:pPr>
            <w:r w:rsidRPr="000C7F9B">
              <w:t>2</w:t>
            </w:r>
          </w:p>
        </w:tc>
        <w:tc>
          <w:tcPr>
            <w:tcW w:w="1082" w:type="dxa"/>
            <w:vAlign w:val="center"/>
          </w:tcPr>
          <w:p w:rsidR="00002A3E" w:rsidRPr="000C7F9B" w:rsidRDefault="00002A3E" w:rsidP="00E960F1">
            <w:pPr>
              <w:pStyle w:val="Tabletext"/>
              <w:jc w:val="right"/>
            </w:pPr>
            <w:r w:rsidRPr="000C7F9B">
              <w:t>0</w:t>
            </w:r>
          </w:p>
        </w:tc>
        <w:tc>
          <w:tcPr>
            <w:tcW w:w="1080" w:type="dxa"/>
            <w:vAlign w:val="center"/>
          </w:tcPr>
          <w:p w:rsidR="00002A3E" w:rsidRPr="000C7F9B" w:rsidRDefault="00002A3E" w:rsidP="00E960F1">
            <w:pPr>
              <w:pStyle w:val="Tabletext"/>
              <w:jc w:val="right"/>
            </w:pPr>
            <w:r w:rsidRPr="000C7F9B">
              <w:t>3</w:t>
            </w:r>
          </w:p>
        </w:tc>
        <w:tc>
          <w:tcPr>
            <w:tcW w:w="1174" w:type="dxa"/>
            <w:vAlign w:val="center"/>
          </w:tcPr>
          <w:p w:rsidR="00002A3E" w:rsidRPr="000C7F9B" w:rsidRDefault="00002A3E" w:rsidP="00E960F1">
            <w:pPr>
              <w:pStyle w:val="Tabletext"/>
              <w:jc w:val="right"/>
            </w:pPr>
            <w:r w:rsidRPr="000C7F9B">
              <w:t>2</w:t>
            </w:r>
          </w:p>
        </w:tc>
        <w:tc>
          <w:tcPr>
            <w:tcW w:w="1034" w:type="dxa"/>
            <w:vAlign w:val="center"/>
          </w:tcPr>
          <w:p w:rsidR="00002A3E" w:rsidRPr="000C7F9B" w:rsidRDefault="00002A3E" w:rsidP="00E960F1">
            <w:pPr>
              <w:pStyle w:val="Tabletext"/>
              <w:jc w:val="right"/>
            </w:pPr>
            <w:r w:rsidRPr="000C7F9B">
              <w:t>13</w:t>
            </w:r>
          </w:p>
        </w:tc>
        <w:tc>
          <w:tcPr>
            <w:tcW w:w="1050" w:type="dxa"/>
            <w:vAlign w:val="center"/>
          </w:tcPr>
          <w:p w:rsidR="00002A3E" w:rsidRPr="000C7F9B" w:rsidRDefault="00002A3E" w:rsidP="00E960F1">
            <w:pPr>
              <w:pStyle w:val="Tabletext"/>
              <w:jc w:val="right"/>
            </w:pPr>
            <w:r w:rsidRPr="000C7F9B">
              <w:t>3%</w:t>
            </w:r>
          </w:p>
        </w:tc>
      </w:tr>
      <w:tr w:rsidR="00002A3E" w:rsidTr="00E960F1">
        <w:tc>
          <w:tcPr>
            <w:tcW w:w="1867" w:type="dxa"/>
          </w:tcPr>
          <w:p w:rsidR="00002A3E" w:rsidRPr="000C7F9B" w:rsidRDefault="00002A3E" w:rsidP="00002A3E">
            <w:pPr>
              <w:pStyle w:val="Tabletext"/>
            </w:pPr>
            <w:r w:rsidRPr="000C7F9B">
              <w:t>Concreters</w:t>
            </w:r>
          </w:p>
        </w:tc>
        <w:tc>
          <w:tcPr>
            <w:tcW w:w="1174" w:type="dxa"/>
            <w:vAlign w:val="center"/>
          </w:tcPr>
          <w:p w:rsidR="00002A3E" w:rsidRPr="000C7F9B" w:rsidRDefault="00002A3E" w:rsidP="00E960F1">
            <w:pPr>
              <w:pStyle w:val="Tabletext"/>
              <w:jc w:val="right"/>
            </w:pPr>
            <w:r w:rsidRPr="000C7F9B">
              <w:t>3</w:t>
            </w:r>
          </w:p>
        </w:tc>
        <w:tc>
          <w:tcPr>
            <w:tcW w:w="1128" w:type="dxa"/>
            <w:vAlign w:val="center"/>
          </w:tcPr>
          <w:p w:rsidR="00002A3E" w:rsidRPr="000C7F9B" w:rsidRDefault="00002A3E" w:rsidP="00E960F1">
            <w:pPr>
              <w:pStyle w:val="Tabletext"/>
              <w:jc w:val="right"/>
            </w:pPr>
            <w:r w:rsidRPr="000C7F9B">
              <w:t>0</w:t>
            </w:r>
          </w:p>
        </w:tc>
        <w:tc>
          <w:tcPr>
            <w:tcW w:w="1093" w:type="dxa"/>
            <w:vAlign w:val="center"/>
          </w:tcPr>
          <w:p w:rsidR="00002A3E" w:rsidRPr="000C7F9B" w:rsidRDefault="00002A3E" w:rsidP="00E960F1">
            <w:pPr>
              <w:pStyle w:val="Tabletext"/>
              <w:jc w:val="right"/>
            </w:pPr>
            <w:r w:rsidRPr="000C7F9B">
              <w:t>2</w:t>
            </w:r>
          </w:p>
        </w:tc>
        <w:tc>
          <w:tcPr>
            <w:tcW w:w="1082" w:type="dxa"/>
            <w:vAlign w:val="center"/>
          </w:tcPr>
          <w:p w:rsidR="00002A3E" w:rsidRPr="000C7F9B" w:rsidRDefault="00002A3E" w:rsidP="00E960F1">
            <w:pPr>
              <w:pStyle w:val="Tabletext"/>
              <w:jc w:val="right"/>
            </w:pPr>
            <w:r w:rsidRPr="000C7F9B">
              <w:t>2</w:t>
            </w:r>
          </w:p>
        </w:tc>
        <w:tc>
          <w:tcPr>
            <w:tcW w:w="1080" w:type="dxa"/>
            <w:vAlign w:val="center"/>
          </w:tcPr>
          <w:p w:rsidR="00002A3E" w:rsidRPr="000C7F9B" w:rsidRDefault="00002A3E" w:rsidP="00E960F1">
            <w:pPr>
              <w:pStyle w:val="Tabletext"/>
              <w:jc w:val="right"/>
            </w:pPr>
            <w:r w:rsidRPr="000C7F9B">
              <w:t>2</w:t>
            </w:r>
          </w:p>
        </w:tc>
        <w:tc>
          <w:tcPr>
            <w:tcW w:w="1174" w:type="dxa"/>
            <w:vAlign w:val="center"/>
          </w:tcPr>
          <w:p w:rsidR="00002A3E" w:rsidRPr="000C7F9B" w:rsidRDefault="00002A3E" w:rsidP="00E960F1">
            <w:pPr>
              <w:pStyle w:val="Tabletext"/>
              <w:jc w:val="right"/>
            </w:pPr>
            <w:r w:rsidRPr="000C7F9B">
              <w:t>2</w:t>
            </w:r>
          </w:p>
        </w:tc>
        <w:tc>
          <w:tcPr>
            <w:tcW w:w="1034" w:type="dxa"/>
            <w:vAlign w:val="center"/>
          </w:tcPr>
          <w:p w:rsidR="00002A3E" w:rsidRPr="000C7F9B" w:rsidRDefault="00002A3E" w:rsidP="00E960F1">
            <w:pPr>
              <w:pStyle w:val="Tabletext"/>
              <w:jc w:val="right"/>
            </w:pPr>
            <w:r w:rsidRPr="000C7F9B">
              <w:t>11</w:t>
            </w:r>
          </w:p>
        </w:tc>
        <w:tc>
          <w:tcPr>
            <w:tcW w:w="1050" w:type="dxa"/>
            <w:vAlign w:val="center"/>
          </w:tcPr>
          <w:p w:rsidR="00002A3E" w:rsidRPr="000C7F9B" w:rsidRDefault="00002A3E" w:rsidP="00E960F1">
            <w:pPr>
              <w:pStyle w:val="Tabletext"/>
              <w:jc w:val="right"/>
            </w:pPr>
            <w:r w:rsidRPr="000C7F9B">
              <w:t>3%</w:t>
            </w:r>
          </w:p>
        </w:tc>
      </w:tr>
      <w:tr w:rsidR="00002A3E" w:rsidTr="00E960F1">
        <w:tc>
          <w:tcPr>
            <w:tcW w:w="1867" w:type="dxa"/>
          </w:tcPr>
          <w:p w:rsidR="00002A3E" w:rsidRPr="000C7F9B" w:rsidRDefault="00002A3E" w:rsidP="00002A3E">
            <w:pPr>
              <w:pStyle w:val="Tabletext"/>
            </w:pPr>
            <w:r w:rsidRPr="000C7F9B">
              <w:t>Traffic control labourers</w:t>
            </w:r>
          </w:p>
        </w:tc>
        <w:tc>
          <w:tcPr>
            <w:tcW w:w="1174" w:type="dxa"/>
            <w:vAlign w:val="center"/>
          </w:tcPr>
          <w:p w:rsidR="00002A3E" w:rsidRPr="000C7F9B" w:rsidRDefault="00002A3E" w:rsidP="00E960F1">
            <w:pPr>
              <w:pStyle w:val="Tabletext"/>
              <w:jc w:val="right"/>
            </w:pPr>
            <w:r w:rsidRPr="000C7F9B">
              <w:t>0</w:t>
            </w:r>
          </w:p>
        </w:tc>
        <w:tc>
          <w:tcPr>
            <w:tcW w:w="1128" w:type="dxa"/>
            <w:vAlign w:val="center"/>
          </w:tcPr>
          <w:p w:rsidR="00002A3E" w:rsidRPr="000C7F9B" w:rsidRDefault="00002A3E" w:rsidP="00E960F1">
            <w:pPr>
              <w:pStyle w:val="Tabletext"/>
              <w:jc w:val="right"/>
            </w:pPr>
            <w:r w:rsidRPr="000C7F9B">
              <w:t>0</w:t>
            </w:r>
          </w:p>
        </w:tc>
        <w:tc>
          <w:tcPr>
            <w:tcW w:w="1093" w:type="dxa"/>
            <w:vAlign w:val="center"/>
          </w:tcPr>
          <w:p w:rsidR="00002A3E" w:rsidRPr="000C7F9B" w:rsidRDefault="00002A3E" w:rsidP="00E960F1">
            <w:pPr>
              <w:pStyle w:val="Tabletext"/>
              <w:jc w:val="right"/>
            </w:pPr>
            <w:r w:rsidRPr="000C7F9B">
              <w:t>0</w:t>
            </w:r>
          </w:p>
        </w:tc>
        <w:tc>
          <w:tcPr>
            <w:tcW w:w="1082" w:type="dxa"/>
            <w:vAlign w:val="center"/>
          </w:tcPr>
          <w:p w:rsidR="00002A3E" w:rsidRPr="000C7F9B" w:rsidRDefault="00002A3E" w:rsidP="00E960F1">
            <w:pPr>
              <w:pStyle w:val="Tabletext"/>
              <w:jc w:val="right"/>
            </w:pPr>
            <w:r w:rsidRPr="000C7F9B">
              <w:t>11</w:t>
            </w:r>
          </w:p>
        </w:tc>
        <w:tc>
          <w:tcPr>
            <w:tcW w:w="1080" w:type="dxa"/>
            <w:vAlign w:val="center"/>
          </w:tcPr>
          <w:p w:rsidR="00002A3E" w:rsidRPr="000C7F9B" w:rsidRDefault="00002A3E" w:rsidP="00E960F1">
            <w:pPr>
              <w:pStyle w:val="Tabletext"/>
              <w:jc w:val="right"/>
            </w:pPr>
            <w:r w:rsidRPr="000C7F9B">
              <w:t>0</w:t>
            </w:r>
          </w:p>
        </w:tc>
        <w:tc>
          <w:tcPr>
            <w:tcW w:w="1174" w:type="dxa"/>
            <w:vAlign w:val="center"/>
          </w:tcPr>
          <w:p w:rsidR="00002A3E" w:rsidRPr="000C7F9B" w:rsidRDefault="00002A3E" w:rsidP="00E960F1">
            <w:pPr>
              <w:pStyle w:val="Tabletext"/>
              <w:jc w:val="right"/>
            </w:pPr>
            <w:r w:rsidRPr="000C7F9B">
              <w:t>0</w:t>
            </w:r>
          </w:p>
        </w:tc>
        <w:tc>
          <w:tcPr>
            <w:tcW w:w="1034" w:type="dxa"/>
            <w:vAlign w:val="center"/>
          </w:tcPr>
          <w:p w:rsidR="00002A3E" w:rsidRPr="000C7F9B" w:rsidRDefault="00002A3E" w:rsidP="00E960F1">
            <w:pPr>
              <w:pStyle w:val="Tabletext"/>
              <w:jc w:val="right"/>
            </w:pPr>
            <w:r w:rsidRPr="000C7F9B">
              <w:t>11</w:t>
            </w:r>
          </w:p>
        </w:tc>
        <w:tc>
          <w:tcPr>
            <w:tcW w:w="1050" w:type="dxa"/>
            <w:vAlign w:val="center"/>
          </w:tcPr>
          <w:p w:rsidR="00002A3E" w:rsidRPr="000C7F9B" w:rsidRDefault="00002A3E" w:rsidP="00E960F1">
            <w:pPr>
              <w:pStyle w:val="Tabletext"/>
              <w:jc w:val="right"/>
            </w:pPr>
            <w:r w:rsidRPr="000C7F9B">
              <w:t>3%</w:t>
            </w:r>
          </w:p>
        </w:tc>
      </w:tr>
      <w:tr w:rsidR="00002A3E" w:rsidTr="00E960F1">
        <w:tc>
          <w:tcPr>
            <w:tcW w:w="1867" w:type="dxa"/>
          </w:tcPr>
          <w:p w:rsidR="00002A3E" w:rsidRPr="000C7F9B" w:rsidRDefault="00002A3E" w:rsidP="00002A3E">
            <w:pPr>
              <w:pStyle w:val="Tabletext"/>
            </w:pPr>
            <w:r w:rsidRPr="000C7F9B">
              <w:t>Machinery operators &amp; drivers</w:t>
            </w:r>
          </w:p>
        </w:tc>
        <w:tc>
          <w:tcPr>
            <w:tcW w:w="1174" w:type="dxa"/>
            <w:vAlign w:val="center"/>
          </w:tcPr>
          <w:p w:rsidR="00002A3E" w:rsidRPr="000C7F9B" w:rsidRDefault="00002A3E" w:rsidP="00E960F1">
            <w:pPr>
              <w:pStyle w:val="Tabletext"/>
              <w:jc w:val="right"/>
            </w:pPr>
            <w:r w:rsidRPr="000C7F9B">
              <w:t>2</w:t>
            </w:r>
          </w:p>
        </w:tc>
        <w:tc>
          <w:tcPr>
            <w:tcW w:w="1128" w:type="dxa"/>
            <w:vAlign w:val="center"/>
          </w:tcPr>
          <w:p w:rsidR="00002A3E" w:rsidRPr="000C7F9B" w:rsidRDefault="00002A3E" w:rsidP="00E960F1">
            <w:pPr>
              <w:pStyle w:val="Tabletext"/>
              <w:jc w:val="right"/>
            </w:pPr>
            <w:r w:rsidRPr="000C7F9B">
              <w:t>1</w:t>
            </w:r>
          </w:p>
        </w:tc>
        <w:tc>
          <w:tcPr>
            <w:tcW w:w="1093" w:type="dxa"/>
            <w:vAlign w:val="center"/>
          </w:tcPr>
          <w:p w:rsidR="00002A3E" w:rsidRPr="000C7F9B" w:rsidRDefault="00002A3E" w:rsidP="00E960F1">
            <w:pPr>
              <w:pStyle w:val="Tabletext"/>
              <w:jc w:val="right"/>
            </w:pPr>
            <w:r w:rsidRPr="000C7F9B">
              <w:t>22</w:t>
            </w:r>
          </w:p>
        </w:tc>
        <w:tc>
          <w:tcPr>
            <w:tcW w:w="1082" w:type="dxa"/>
            <w:vAlign w:val="center"/>
          </w:tcPr>
          <w:p w:rsidR="00002A3E" w:rsidRPr="000C7F9B" w:rsidRDefault="00002A3E" w:rsidP="00E960F1">
            <w:pPr>
              <w:pStyle w:val="Tabletext"/>
              <w:jc w:val="right"/>
            </w:pPr>
            <w:r w:rsidRPr="000C7F9B">
              <w:t>18</w:t>
            </w:r>
          </w:p>
        </w:tc>
        <w:tc>
          <w:tcPr>
            <w:tcW w:w="1080" w:type="dxa"/>
            <w:vAlign w:val="center"/>
          </w:tcPr>
          <w:p w:rsidR="00002A3E" w:rsidRPr="000C7F9B" w:rsidRDefault="00002A3E" w:rsidP="00E960F1">
            <w:pPr>
              <w:pStyle w:val="Tabletext"/>
              <w:jc w:val="right"/>
            </w:pPr>
            <w:r w:rsidRPr="000C7F9B">
              <w:t>11</w:t>
            </w:r>
          </w:p>
        </w:tc>
        <w:tc>
          <w:tcPr>
            <w:tcW w:w="1174" w:type="dxa"/>
            <w:vAlign w:val="center"/>
          </w:tcPr>
          <w:p w:rsidR="00002A3E" w:rsidRPr="000C7F9B" w:rsidRDefault="00002A3E" w:rsidP="00E960F1">
            <w:pPr>
              <w:pStyle w:val="Tabletext"/>
              <w:jc w:val="right"/>
            </w:pPr>
            <w:r w:rsidRPr="000C7F9B">
              <w:t>29</w:t>
            </w:r>
          </w:p>
        </w:tc>
        <w:tc>
          <w:tcPr>
            <w:tcW w:w="1034" w:type="dxa"/>
            <w:vAlign w:val="center"/>
          </w:tcPr>
          <w:p w:rsidR="00002A3E" w:rsidRPr="000C7F9B" w:rsidRDefault="00002A3E" w:rsidP="00E960F1">
            <w:pPr>
              <w:pStyle w:val="Tabletext"/>
              <w:jc w:val="right"/>
            </w:pPr>
            <w:r w:rsidRPr="000C7F9B">
              <w:t>83</w:t>
            </w:r>
          </w:p>
        </w:tc>
        <w:tc>
          <w:tcPr>
            <w:tcW w:w="1050" w:type="dxa"/>
            <w:vAlign w:val="center"/>
          </w:tcPr>
          <w:p w:rsidR="00002A3E" w:rsidRPr="000C7F9B" w:rsidRDefault="00002A3E" w:rsidP="00E960F1">
            <w:pPr>
              <w:pStyle w:val="Tabletext"/>
              <w:jc w:val="right"/>
            </w:pPr>
            <w:r w:rsidRPr="000C7F9B">
              <w:t>21%</w:t>
            </w:r>
          </w:p>
        </w:tc>
      </w:tr>
      <w:tr w:rsidR="00002A3E" w:rsidTr="00E960F1">
        <w:tc>
          <w:tcPr>
            <w:tcW w:w="1867" w:type="dxa"/>
          </w:tcPr>
          <w:p w:rsidR="00002A3E" w:rsidRPr="000C7F9B" w:rsidRDefault="00002A3E" w:rsidP="00002A3E">
            <w:pPr>
              <w:pStyle w:val="Tabletext"/>
            </w:pPr>
            <w:r w:rsidRPr="000C7F9B">
              <w:t>Earthmoving Plant Operators</w:t>
            </w:r>
          </w:p>
        </w:tc>
        <w:tc>
          <w:tcPr>
            <w:tcW w:w="1174" w:type="dxa"/>
            <w:vAlign w:val="center"/>
          </w:tcPr>
          <w:p w:rsidR="00002A3E" w:rsidRPr="000C7F9B" w:rsidRDefault="00002A3E" w:rsidP="00E960F1">
            <w:pPr>
              <w:pStyle w:val="Tabletext"/>
              <w:jc w:val="right"/>
            </w:pPr>
            <w:r w:rsidRPr="000C7F9B">
              <w:t>1</w:t>
            </w:r>
          </w:p>
        </w:tc>
        <w:tc>
          <w:tcPr>
            <w:tcW w:w="1128" w:type="dxa"/>
            <w:vAlign w:val="center"/>
          </w:tcPr>
          <w:p w:rsidR="00002A3E" w:rsidRPr="000C7F9B" w:rsidRDefault="00002A3E" w:rsidP="00E960F1">
            <w:pPr>
              <w:pStyle w:val="Tabletext"/>
              <w:jc w:val="right"/>
            </w:pPr>
            <w:r w:rsidRPr="000C7F9B">
              <w:t>1</w:t>
            </w:r>
          </w:p>
        </w:tc>
        <w:tc>
          <w:tcPr>
            <w:tcW w:w="1093" w:type="dxa"/>
            <w:vAlign w:val="center"/>
          </w:tcPr>
          <w:p w:rsidR="00002A3E" w:rsidRPr="000C7F9B" w:rsidRDefault="00002A3E" w:rsidP="00E960F1">
            <w:pPr>
              <w:pStyle w:val="Tabletext"/>
              <w:jc w:val="right"/>
            </w:pPr>
            <w:r w:rsidRPr="000C7F9B">
              <w:t>14</w:t>
            </w:r>
          </w:p>
        </w:tc>
        <w:tc>
          <w:tcPr>
            <w:tcW w:w="1082" w:type="dxa"/>
            <w:vAlign w:val="center"/>
          </w:tcPr>
          <w:p w:rsidR="00002A3E" w:rsidRPr="000C7F9B" w:rsidRDefault="00002A3E" w:rsidP="00E960F1">
            <w:pPr>
              <w:pStyle w:val="Tabletext"/>
              <w:jc w:val="right"/>
            </w:pPr>
            <w:r w:rsidRPr="000C7F9B">
              <w:t>8</w:t>
            </w:r>
          </w:p>
        </w:tc>
        <w:tc>
          <w:tcPr>
            <w:tcW w:w="1080" w:type="dxa"/>
            <w:vAlign w:val="center"/>
          </w:tcPr>
          <w:p w:rsidR="00002A3E" w:rsidRPr="000C7F9B" w:rsidRDefault="00002A3E" w:rsidP="00E960F1">
            <w:pPr>
              <w:pStyle w:val="Tabletext"/>
              <w:jc w:val="right"/>
            </w:pPr>
            <w:r w:rsidRPr="000C7F9B">
              <w:t>5</w:t>
            </w:r>
          </w:p>
        </w:tc>
        <w:tc>
          <w:tcPr>
            <w:tcW w:w="1174" w:type="dxa"/>
            <w:vAlign w:val="center"/>
          </w:tcPr>
          <w:p w:rsidR="00002A3E" w:rsidRPr="000C7F9B" w:rsidRDefault="00002A3E" w:rsidP="00E960F1">
            <w:pPr>
              <w:pStyle w:val="Tabletext"/>
              <w:jc w:val="right"/>
            </w:pPr>
            <w:r w:rsidRPr="000C7F9B">
              <w:t>9</w:t>
            </w:r>
          </w:p>
        </w:tc>
        <w:tc>
          <w:tcPr>
            <w:tcW w:w="1034" w:type="dxa"/>
            <w:vAlign w:val="center"/>
          </w:tcPr>
          <w:p w:rsidR="00002A3E" w:rsidRPr="000C7F9B" w:rsidRDefault="00002A3E" w:rsidP="00E960F1">
            <w:pPr>
              <w:pStyle w:val="Tabletext"/>
              <w:jc w:val="right"/>
            </w:pPr>
            <w:r w:rsidRPr="000C7F9B">
              <w:t>38</w:t>
            </w:r>
          </w:p>
        </w:tc>
        <w:tc>
          <w:tcPr>
            <w:tcW w:w="1050" w:type="dxa"/>
            <w:vAlign w:val="center"/>
          </w:tcPr>
          <w:p w:rsidR="00002A3E" w:rsidRPr="000C7F9B" w:rsidRDefault="00002A3E" w:rsidP="00E960F1">
            <w:pPr>
              <w:pStyle w:val="Tabletext"/>
              <w:jc w:val="right"/>
            </w:pPr>
            <w:r w:rsidRPr="000C7F9B">
              <w:t>9%</w:t>
            </w:r>
          </w:p>
        </w:tc>
      </w:tr>
      <w:tr w:rsidR="00002A3E" w:rsidTr="00E960F1">
        <w:tc>
          <w:tcPr>
            <w:tcW w:w="1867" w:type="dxa"/>
          </w:tcPr>
          <w:p w:rsidR="00002A3E" w:rsidRPr="000C7F9B" w:rsidRDefault="00002A3E" w:rsidP="00002A3E">
            <w:pPr>
              <w:pStyle w:val="Tabletext"/>
            </w:pPr>
            <w:r w:rsidRPr="000C7F9B">
              <w:t>Truck drivers</w:t>
            </w:r>
          </w:p>
        </w:tc>
        <w:tc>
          <w:tcPr>
            <w:tcW w:w="1174" w:type="dxa"/>
            <w:vAlign w:val="center"/>
          </w:tcPr>
          <w:p w:rsidR="00002A3E" w:rsidRPr="000C7F9B" w:rsidRDefault="00002A3E" w:rsidP="00E960F1">
            <w:pPr>
              <w:pStyle w:val="Tabletext"/>
              <w:jc w:val="right"/>
            </w:pPr>
            <w:r w:rsidRPr="000C7F9B">
              <w:t>0</w:t>
            </w:r>
          </w:p>
        </w:tc>
        <w:tc>
          <w:tcPr>
            <w:tcW w:w="1128" w:type="dxa"/>
            <w:vAlign w:val="center"/>
          </w:tcPr>
          <w:p w:rsidR="00002A3E" w:rsidRPr="000C7F9B" w:rsidRDefault="00002A3E" w:rsidP="00E960F1">
            <w:pPr>
              <w:pStyle w:val="Tabletext"/>
              <w:jc w:val="right"/>
            </w:pPr>
            <w:r w:rsidRPr="000C7F9B">
              <w:t>0</w:t>
            </w:r>
          </w:p>
        </w:tc>
        <w:tc>
          <w:tcPr>
            <w:tcW w:w="1093" w:type="dxa"/>
            <w:vAlign w:val="center"/>
          </w:tcPr>
          <w:p w:rsidR="00002A3E" w:rsidRPr="000C7F9B" w:rsidRDefault="00002A3E" w:rsidP="00E960F1">
            <w:pPr>
              <w:pStyle w:val="Tabletext"/>
              <w:jc w:val="right"/>
            </w:pPr>
            <w:r w:rsidRPr="000C7F9B">
              <w:t>9</w:t>
            </w:r>
          </w:p>
        </w:tc>
        <w:tc>
          <w:tcPr>
            <w:tcW w:w="1082" w:type="dxa"/>
            <w:vAlign w:val="center"/>
          </w:tcPr>
          <w:p w:rsidR="00002A3E" w:rsidRPr="000C7F9B" w:rsidRDefault="00002A3E" w:rsidP="00E960F1">
            <w:pPr>
              <w:pStyle w:val="Tabletext"/>
              <w:jc w:val="right"/>
            </w:pPr>
            <w:r w:rsidRPr="000C7F9B">
              <w:t>7</w:t>
            </w:r>
          </w:p>
        </w:tc>
        <w:tc>
          <w:tcPr>
            <w:tcW w:w="1080" w:type="dxa"/>
            <w:vAlign w:val="center"/>
          </w:tcPr>
          <w:p w:rsidR="00002A3E" w:rsidRPr="000C7F9B" w:rsidRDefault="00002A3E" w:rsidP="00E960F1">
            <w:pPr>
              <w:pStyle w:val="Tabletext"/>
              <w:jc w:val="right"/>
            </w:pPr>
            <w:r w:rsidRPr="000C7F9B">
              <w:t>6</w:t>
            </w:r>
          </w:p>
        </w:tc>
        <w:tc>
          <w:tcPr>
            <w:tcW w:w="1174" w:type="dxa"/>
            <w:vAlign w:val="center"/>
          </w:tcPr>
          <w:p w:rsidR="00002A3E" w:rsidRPr="000C7F9B" w:rsidRDefault="00002A3E" w:rsidP="00E960F1">
            <w:pPr>
              <w:pStyle w:val="Tabletext"/>
              <w:jc w:val="right"/>
            </w:pPr>
            <w:r w:rsidRPr="000C7F9B">
              <w:t>1</w:t>
            </w:r>
          </w:p>
        </w:tc>
        <w:tc>
          <w:tcPr>
            <w:tcW w:w="1034" w:type="dxa"/>
            <w:vAlign w:val="center"/>
          </w:tcPr>
          <w:p w:rsidR="00002A3E" w:rsidRPr="000C7F9B" w:rsidRDefault="00002A3E" w:rsidP="00E960F1">
            <w:pPr>
              <w:pStyle w:val="Tabletext"/>
              <w:jc w:val="right"/>
            </w:pPr>
            <w:r w:rsidRPr="000C7F9B">
              <w:t>23</w:t>
            </w:r>
          </w:p>
        </w:tc>
        <w:tc>
          <w:tcPr>
            <w:tcW w:w="1050" w:type="dxa"/>
            <w:vAlign w:val="center"/>
          </w:tcPr>
          <w:p w:rsidR="00002A3E" w:rsidRPr="000C7F9B" w:rsidRDefault="00002A3E" w:rsidP="00E960F1">
            <w:pPr>
              <w:pStyle w:val="Tabletext"/>
              <w:jc w:val="right"/>
            </w:pPr>
            <w:r w:rsidRPr="000C7F9B">
              <w:t>6%</w:t>
            </w:r>
          </w:p>
        </w:tc>
      </w:tr>
      <w:tr w:rsidR="00002A3E" w:rsidTr="00E960F1">
        <w:tc>
          <w:tcPr>
            <w:tcW w:w="1867" w:type="dxa"/>
          </w:tcPr>
          <w:p w:rsidR="00002A3E" w:rsidRPr="000C7F9B" w:rsidRDefault="00002A3E" w:rsidP="00002A3E">
            <w:pPr>
              <w:pStyle w:val="Tabletext"/>
            </w:pPr>
            <w:r w:rsidRPr="000C7F9B">
              <w:t xml:space="preserve">Machine </w:t>
            </w:r>
            <w:r>
              <w:t>&amp;</w:t>
            </w:r>
            <w:r w:rsidRPr="000C7F9B">
              <w:t xml:space="preserve"> Stationary Plant Operators</w:t>
            </w:r>
          </w:p>
        </w:tc>
        <w:tc>
          <w:tcPr>
            <w:tcW w:w="1174" w:type="dxa"/>
            <w:vAlign w:val="center"/>
          </w:tcPr>
          <w:p w:rsidR="00002A3E" w:rsidRPr="000C7F9B" w:rsidRDefault="00002A3E" w:rsidP="00E960F1">
            <w:pPr>
              <w:pStyle w:val="Tabletext"/>
              <w:jc w:val="right"/>
            </w:pPr>
            <w:r w:rsidRPr="000C7F9B">
              <w:t>1</w:t>
            </w:r>
          </w:p>
        </w:tc>
        <w:tc>
          <w:tcPr>
            <w:tcW w:w="1128" w:type="dxa"/>
            <w:vAlign w:val="center"/>
          </w:tcPr>
          <w:p w:rsidR="00002A3E" w:rsidRPr="000C7F9B" w:rsidRDefault="00002A3E" w:rsidP="00E960F1">
            <w:pPr>
              <w:pStyle w:val="Tabletext"/>
              <w:jc w:val="right"/>
            </w:pPr>
            <w:r w:rsidRPr="000C7F9B">
              <w:t>1</w:t>
            </w:r>
          </w:p>
        </w:tc>
        <w:tc>
          <w:tcPr>
            <w:tcW w:w="1093" w:type="dxa"/>
            <w:vAlign w:val="center"/>
          </w:tcPr>
          <w:p w:rsidR="00002A3E" w:rsidRPr="000C7F9B" w:rsidRDefault="00002A3E" w:rsidP="00E960F1">
            <w:pPr>
              <w:pStyle w:val="Tabletext"/>
              <w:jc w:val="right"/>
            </w:pPr>
            <w:r w:rsidRPr="000C7F9B">
              <w:t>2</w:t>
            </w:r>
          </w:p>
        </w:tc>
        <w:tc>
          <w:tcPr>
            <w:tcW w:w="1082" w:type="dxa"/>
            <w:vAlign w:val="center"/>
          </w:tcPr>
          <w:p w:rsidR="00002A3E" w:rsidRPr="000C7F9B" w:rsidRDefault="00002A3E" w:rsidP="00E960F1">
            <w:pPr>
              <w:pStyle w:val="Tabletext"/>
              <w:jc w:val="right"/>
            </w:pPr>
            <w:r w:rsidRPr="000C7F9B">
              <w:t>2</w:t>
            </w:r>
          </w:p>
        </w:tc>
        <w:tc>
          <w:tcPr>
            <w:tcW w:w="1080" w:type="dxa"/>
            <w:vAlign w:val="center"/>
          </w:tcPr>
          <w:p w:rsidR="00002A3E" w:rsidRPr="000C7F9B" w:rsidRDefault="00002A3E" w:rsidP="00E960F1">
            <w:pPr>
              <w:pStyle w:val="Tabletext"/>
              <w:jc w:val="right"/>
            </w:pPr>
            <w:r w:rsidRPr="000C7F9B">
              <w:t>2</w:t>
            </w:r>
          </w:p>
        </w:tc>
        <w:tc>
          <w:tcPr>
            <w:tcW w:w="1174" w:type="dxa"/>
            <w:vAlign w:val="center"/>
          </w:tcPr>
          <w:p w:rsidR="00002A3E" w:rsidRPr="000C7F9B" w:rsidRDefault="00002A3E" w:rsidP="00E960F1">
            <w:pPr>
              <w:pStyle w:val="Tabletext"/>
              <w:jc w:val="right"/>
            </w:pPr>
            <w:r w:rsidRPr="000C7F9B">
              <w:t>6</w:t>
            </w:r>
          </w:p>
        </w:tc>
        <w:tc>
          <w:tcPr>
            <w:tcW w:w="1034" w:type="dxa"/>
            <w:vAlign w:val="center"/>
          </w:tcPr>
          <w:p w:rsidR="00002A3E" w:rsidRPr="000C7F9B" w:rsidRDefault="00002A3E" w:rsidP="00E960F1">
            <w:pPr>
              <w:pStyle w:val="Tabletext"/>
              <w:jc w:val="right"/>
            </w:pPr>
            <w:r w:rsidRPr="000C7F9B">
              <w:t>14</w:t>
            </w:r>
          </w:p>
        </w:tc>
        <w:tc>
          <w:tcPr>
            <w:tcW w:w="1050" w:type="dxa"/>
            <w:vAlign w:val="center"/>
          </w:tcPr>
          <w:p w:rsidR="00002A3E" w:rsidRPr="000C7F9B" w:rsidRDefault="00002A3E" w:rsidP="00E960F1">
            <w:pPr>
              <w:pStyle w:val="Tabletext"/>
              <w:jc w:val="right"/>
            </w:pPr>
            <w:r w:rsidRPr="000C7F9B">
              <w:t>3%</w:t>
            </w:r>
          </w:p>
        </w:tc>
      </w:tr>
      <w:tr w:rsidR="00002A3E" w:rsidTr="00E960F1">
        <w:tc>
          <w:tcPr>
            <w:tcW w:w="1867" w:type="dxa"/>
          </w:tcPr>
          <w:p w:rsidR="00002A3E" w:rsidRPr="000C7F9B" w:rsidRDefault="00002A3E" w:rsidP="00002A3E">
            <w:pPr>
              <w:pStyle w:val="Tabletext"/>
            </w:pPr>
            <w:r w:rsidRPr="000C7F9B">
              <w:t>Managers</w:t>
            </w:r>
          </w:p>
        </w:tc>
        <w:tc>
          <w:tcPr>
            <w:tcW w:w="1174" w:type="dxa"/>
            <w:vAlign w:val="center"/>
          </w:tcPr>
          <w:p w:rsidR="00002A3E" w:rsidRPr="000C7F9B" w:rsidRDefault="00002A3E" w:rsidP="00E960F1">
            <w:pPr>
              <w:pStyle w:val="Tabletext"/>
              <w:jc w:val="right"/>
            </w:pPr>
            <w:r w:rsidRPr="000C7F9B">
              <w:t>2</w:t>
            </w:r>
          </w:p>
        </w:tc>
        <w:tc>
          <w:tcPr>
            <w:tcW w:w="1128" w:type="dxa"/>
            <w:vAlign w:val="center"/>
          </w:tcPr>
          <w:p w:rsidR="00002A3E" w:rsidRPr="000C7F9B" w:rsidRDefault="00002A3E" w:rsidP="00E960F1">
            <w:pPr>
              <w:pStyle w:val="Tabletext"/>
              <w:jc w:val="right"/>
            </w:pPr>
            <w:r w:rsidRPr="000C7F9B">
              <w:t>0</w:t>
            </w:r>
          </w:p>
        </w:tc>
        <w:tc>
          <w:tcPr>
            <w:tcW w:w="1093" w:type="dxa"/>
            <w:vAlign w:val="center"/>
          </w:tcPr>
          <w:p w:rsidR="00002A3E" w:rsidRPr="000C7F9B" w:rsidRDefault="00002A3E" w:rsidP="00E960F1">
            <w:pPr>
              <w:pStyle w:val="Tabletext"/>
              <w:jc w:val="right"/>
            </w:pPr>
            <w:r w:rsidRPr="000C7F9B">
              <w:t>7</w:t>
            </w:r>
          </w:p>
        </w:tc>
        <w:tc>
          <w:tcPr>
            <w:tcW w:w="1082" w:type="dxa"/>
            <w:vAlign w:val="center"/>
          </w:tcPr>
          <w:p w:rsidR="00002A3E" w:rsidRPr="000C7F9B" w:rsidRDefault="00002A3E" w:rsidP="00E960F1">
            <w:pPr>
              <w:pStyle w:val="Tabletext"/>
              <w:jc w:val="right"/>
            </w:pPr>
            <w:r w:rsidRPr="000C7F9B">
              <w:t>3</w:t>
            </w:r>
          </w:p>
        </w:tc>
        <w:tc>
          <w:tcPr>
            <w:tcW w:w="1080" w:type="dxa"/>
            <w:vAlign w:val="center"/>
          </w:tcPr>
          <w:p w:rsidR="00002A3E" w:rsidRPr="000C7F9B" w:rsidRDefault="00002A3E" w:rsidP="00E960F1">
            <w:pPr>
              <w:pStyle w:val="Tabletext"/>
              <w:jc w:val="right"/>
            </w:pPr>
            <w:r w:rsidRPr="000C7F9B">
              <w:t>3</w:t>
            </w:r>
          </w:p>
        </w:tc>
        <w:tc>
          <w:tcPr>
            <w:tcW w:w="1174" w:type="dxa"/>
            <w:vAlign w:val="center"/>
          </w:tcPr>
          <w:p w:rsidR="00002A3E" w:rsidRPr="000C7F9B" w:rsidRDefault="00002A3E" w:rsidP="00E960F1">
            <w:pPr>
              <w:pStyle w:val="Tabletext"/>
              <w:jc w:val="right"/>
            </w:pPr>
            <w:r w:rsidRPr="000C7F9B">
              <w:t>0</w:t>
            </w:r>
          </w:p>
        </w:tc>
        <w:tc>
          <w:tcPr>
            <w:tcW w:w="1034" w:type="dxa"/>
            <w:vAlign w:val="center"/>
          </w:tcPr>
          <w:p w:rsidR="00002A3E" w:rsidRPr="000C7F9B" w:rsidRDefault="00002A3E" w:rsidP="00E960F1">
            <w:pPr>
              <w:pStyle w:val="Tabletext"/>
              <w:jc w:val="right"/>
            </w:pPr>
            <w:r w:rsidRPr="000C7F9B">
              <w:t>15</w:t>
            </w:r>
          </w:p>
        </w:tc>
        <w:tc>
          <w:tcPr>
            <w:tcW w:w="1050" w:type="dxa"/>
            <w:vAlign w:val="center"/>
          </w:tcPr>
          <w:p w:rsidR="00002A3E" w:rsidRPr="000C7F9B" w:rsidRDefault="00002A3E" w:rsidP="00E960F1">
            <w:pPr>
              <w:pStyle w:val="Tabletext"/>
              <w:jc w:val="right"/>
            </w:pPr>
            <w:r w:rsidRPr="000C7F9B">
              <w:t>4%</w:t>
            </w:r>
          </w:p>
        </w:tc>
      </w:tr>
      <w:tr w:rsidR="00002A3E" w:rsidTr="00E960F1">
        <w:tc>
          <w:tcPr>
            <w:tcW w:w="1867" w:type="dxa"/>
          </w:tcPr>
          <w:p w:rsidR="00002A3E" w:rsidRPr="000C7F9B" w:rsidRDefault="00002A3E" w:rsidP="00002A3E">
            <w:pPr>
              <w:pStyle w:val="Tabletext"/>
            </w:pPr>
            <w:r w:rsidRPr="000C7F9B">
              <w:t>Other occupations</w:t>
            </w:r>
          </w:p>
        </w:tc>
        <w:tc>
          <w:tcPr>
            <w:tcW w:w="1174" w:type="dxa"/>
            <w:vAlign w:val="center"/>
          </w:tcPr>
          <w:p w:rsidR="00002A3E" w:rsidRPr="000C7F9B" w:rsidRDefault="00002A3E" w:rsidP="00E960F1">
            <w:pPr>
              <w:pStyle w:val="Tabletext"/>
              <w:jc w:val="right"/>
            </w:pPr>
            <w:r w:rsidRPr="000C7F9B">
              <w:t>1</w:t>
            </w:r>
          </w:p>
        </w:tc>
        <w:tc>
          <w:tcPr>
            <w:tcW w:w="1128" w:type="dxa"/>
            <w:vAlign w:val="center"/>
          </w:tcPr>
          <w:p w:rsidR="00002A3E" w:rsidRPr="000C7F9B" w:rsidRDefault="00002A3E" w:rsidP="00E960F1">
            <w:pPr>
              <w:pStyle w:val="Tabletext"/>
              <w:jc w:val="right"/>
            </w:pPr>
            <w:r w:rsidRPr="000C7F9B">
              <w:t>0</w:t>
            </w:r>
          </w:p>
        </w:tc>
        <w:tc>
          <w:tcPr>
            <w:tcW w:w="1093" w:type="dxa"/>
            <w:vAlign w:val="center"/>
          </w:tcPr>
          <w:p w:rsidR="00002A3E" w:rsidRPr="000C7F9B" w:rsidRDefault="00002A3E" w:rsidP="00E960F1">
            <w:pPr>
              <w:pStyle w:val="Tabletext"/>
              <w:jc w:val="right"/>
            </w:pPr>
            <w:r w:rsidRPr="000C7F9B">
              <w:t>5</w:t>
            </w:r>
          </w:p>
        </w:tc>
        <w:tc>
          <w:tcPr>
            <w:tcW w:w="1082" w:type="dxa"/>
            <w:vAlign w:val="center"/>
          </w:tcPr>
          <w:p w:rsidR="00002A3E" w:rsidRPr="000C7F9B" w:rsidRDefault="00002A3E" w:rsidP="00E960F1">
            <w:pPr>
              <w:pStyle w:val="Tabletext"/>
              <w:jc w:val="right"/>
            </w:pPr>
            <w:r w:rsidRPr="000C7F9B">
              <w:t>0</w:t>
            </w:r>
          </w:p>
        </w:tc>
        <w:tc>
          <w:tcPr>
            <w:tcW w:w="1080" w:type="dxa"/>
            <w:vAlign w:val="center"/>
          </w:tcPr>
          <w:p w:rsidR="00002A3E" w:rsidRPr="000C7F9B" w:rsidRDefault="00002A3E" w:rsidP="00E960F1">
            <w:pPr>
              <w:pStyle w:val="Tabletext"/>
              <w:jc w:val="right"/>
            </w:pPr>
            <w:r w:rsidRPr="000C7F9B">
              <w:t>0</w:t>
            </w:r>
          </w:p>
        </w:tc>
        <w:tc>
          <w:tcPr>
            <w:tcW w:w="1174" w:type="dxa"/>
            <w:vAlign w:val="center"/>
          </w:tcPr>
          <w:p w:rsidR="00002A3E" w:rsidRPr="000C7F9B" w:rsidRDefault="00002A3E" w:rsidP="00E960F1">
            <w:pPr>
              <w:pStyle w:val="Tabletext"/>
              <w:jc w:val="right"/>
            </w:pPr>
            <w:r w:rsidRPr="000C7F9B">
              <w:t>1</w:t>
            </w:r>
          </w:p>
        </w:tc>
        <w:tc>
          <w:tcPr>
            <w:tcW w:w="1034" w:type="dxa"/>
            <w:vAlign w:val="center"/>
          </w:tcPr>
          <w:p w:rsidR="00002A3E" w:rsidRPr="000C7F9B" w:rsidRDefault="00002A3E" w:rsidP="00E960F1">
            <w:pPr>
              <w:pStyle w:val="Tabletext"/>
              <w:jc w:val="right"/>
            </w:pPr>
            <w:r w:rsidRPr="000C7F9B">
              <w:t>7</w:t>
            </w:r>
          </w:p>
        </w:tc>
        <w:tc>
          <w:tcPr>
            <w:tcW w:w="1050" w:type="dxa"/>
            <w:vAlign w:val="center"/>
          </w:tcPr>
          <w:p w:rsidR="00002A3E" w:rsidRPr="000C7F9B" w:rsidRDefault="00002A3E" w:rsidP="00E960F1">
            <w:pPr>
              <w:pStyle w:val="Tabletext"/>
              <w:jc w:val="right"/>
            </w:pPr>
            <w:r w:rsidRPr="000C7F9B">
              <w:t>2%</w:t>
            </w:r>
          </w:p>
        </w:tc>
      </w:tr>
      <w:tr w:rsidR="00002A3E" w:rsidTr="00E960F1">
        <w:tc>
          <w:tcPr>
            <w:tcW w:w="1867" w:type="dxa"/>
          </w:tcPr>
          <w:p w:rsidR="00002A3E" w:rsidRPr="000C7F9B" w:rsidRDefault="00002A3E" w:rsidP="00002A3E">
            <w:pPr>
              <w:pStyle w:val="Tabletext"/>
            </w:pPr>
            <w:r w:rsidRPr="000C7F9B">
              <w:t>Total</w:t>
            </w:r>
          </w:p>
        </w:tc>
        <w:tc>
          <w:tcPr>
            <w:tcW w:w="1174" w:type="dxa"/>
            <w:vAlign w:val="center"/>
          </w:tcPr>
          <w:p w:rsidR="00002A3E" w:rsidRPr="000C7F9B" w:rsidRDefault="00002A3E" w:rsidP="00E960F1">
            <w:pPr>
              <w:pStyle w:val="Tabletext"/>
              <w:jc w:val="right"/>
            </w:pPr>
            <w:r w:rsidRPr="000C7F9B">
              <w:t>112</w:t>
            </w:r>
          </w:p>
        </w:tc>
        <w:tc>
          <w:tcPr>
            <w:tcW w:w="1128" w:type="dxa"/>
            <w:vAlign w:val="center"/>
          </w:tcPr>
          <w:p w:rsidR="00002A3E" w:rsidRPr="000C7F9B" w:rsidRDefault="00002A3E" w:rsidP="00E960F1">
            <w:pPr>
              <w:pStyle w:val="Tabletext"/>
              <w:jc w:val="right"/>
            </w:pPr>
            <w:r w:rsidRPr="000C7F9B">
              <w:t>61</w:t>
            </w:r>
          </w:p>
        </w:tc>
        <w:tc>
          <w:tcPr>
            <w:tcW w:w="1093" w:type="dxa"/>
            <w:vAlign w:val="center"/>
          </w:tcPr>
          <w:p w:rsidR="00002A3E" w:rsidRPr="000C7F9B" w:rsidRDefault="00002A3E" w:rsidP="00E960F1">
            <w:pPr>
              <w:pStyle w:val="Tabletext"/>
              <w:jc w:val="right"/>
            </w:pPr>
            <w:r w:rsidRPr="000C7F9B">
              <w:t>65</w:t>
            </w:r>
          </w:p>
        </w:tc>
        <w:tc>
          <w:tcPr>
            <w:tcW w:w="1082" w:type="dxa"/>
            <w:vAlign w:val="center"/>
          </w:tcPr>
          <w:p w:rsidR="00002A3E" w:rsidRPr="000C7F9B" w:rsidRDefault="00002A3E" w:rsidP="00E960F1">
            <w:pPr>
              <w:pStyle w:val="Tabletext"/>
              <w:jc w:val="right"/>
            </w:pPr>
            <w:r w:rsidRPr="000C7F9B">
              <w:t>48</w:t>
            </w:r>
          </w:p>
        </w:tc>
        <w:tc>
          <w:tcPr>
            <w:tcW w:w="1080" w:type="dxa"/>
            <w:vAlign w:val="center"/>
          </w:tcPr>
          <w:p w:rsidR="00002A3E" w:rsidRPr="000C7F9B" w:rsidRDefault="00002A3E" w:rsidP="00E960F1">
            <w:pPr>
              <w:pStyle w:val="Tabletext"/>
              <w:jc w:val="right"/>
            </w:pPr>
            <w:r w:rsidRPr="000C7F9B">
              <w:t>46</w:t>
            </w:r>
          </w:p>
        </w:tc>
        <w:tc>
          <w:tcPr>
            <w:tcW w:w="1174" w:type="dxa"/>
            <w:vAlign w:val="center"/>
          </w:tcPr>
          <w:p w:rsidR="00002A3E" w:rsidRPr="000C7F9B" w:rsidRDefault="00002A3E" w:rsidP="00E960F1">
            <w:pPr>
              <w:pStyle w:val="Tabletext"/>
              <w:jc w:val="right"/>
            </w:pPr>
            <w:r w:rsidRPr="000C7F9B">
              <w:t>69</w:t>
            </w:r>
          </w:p>
        </w:tc>
        <w:tc>
          <w:tcPr>
            <w:tcW w:w="1034" w:type="dxa"/>
            <w:vAlign w:val="center"/>
          </w:tcPr>
          <w:p w:rsidR="00002A3E" w:rsidRPr="000C7F9B" w:rsidRDefault="00002A3E" w:rsidP="00E960F1">
            <w:pPr>
              <w:pStyle w:val="Tabletext"/>
              <w:jc w:val="right"/>
            </w:pPr>
            <w:r w:rsidRPr="000C7F9B">
              <w:t>401</w:t>
            </w:r>
          </w:p>
        </w:tc>
        <w:tc>
          <w:tcPr>
            <w:tcW w:w="1050" w:type="dxa"/>
            <w:vAlign w:val="center"/>
          </w:tcPr>
          <w:p w:rsidR="00002A3E" w:rsidRDefault="00002A3E" w:rsidP="00E960F1">
            <w:pPr>
              <w:pStyle w:val="Tabletext"/>
              <w:jc w:val="right"/>
            </w:pPr>
            <w:r w:rsidRPr="000C7F9B">
              <w:t>100%</w:t>
            </w:r>
          </w:p>
        </w:tc>
      </w:tr>
    </w:tbl>
    <w:p w:rsidR="003444F5" w:rsidRDefault="003444F5" w:rsidP="00257F90">
      <w:pPr>
        <w:pStyle w:val="Heading2"/>
      </w:pPr>
    </w:p>
    <w:p w:rsidR="003444F5" w:rsidRDefault="003444F5" w:rsidP="003444F5">
      <w:pPr>
        <w:rPr>
          <w:rFonts w:ascii="Arial" w:eastAsiaTheme="majorEastAsia" w:hAnsi="Arial" w:cs="Arial"/>
          <w:color w:val="0070C0"/>
          <w:sz w:val="36"/>
          <w:szCs w:val="26"/>
          <w:lang w:val="en-US"/>
        </w:rPr>
      </w:pPr>
      <w:r>
        <w:br w:type="page"/>
      </w:r>
    </w:p>
    <w:p w:rsidR="0085303A" w:rsidRDefault="00982F9F" w:rsidP="00257F90">
      <w:pPr>
        <w:pStyle w:val="Heading2"/>
      </w:pPr>
      <w:bookmarkStart w:id="22" w:name="_Toc427590853"/>
      <w:r>
        <w:t>Fatalities at construction worksites</w:t>
      </w:r>
      <w:bookmarkEnd w:id="22"/>
    </w:p>
    <w:p w:rsidR="0085303A" w:rsidRDefault="0085303A" w:rsidP="00513A50">
      <w:pPr>
        <w:pStyle w:val="BodyText1"/>
      </w:pPr>
      <w:r w:rsidRPr="0085303A">
        <w:t>Of the 401 construction workers who were killed while working over the 2003–13 period, 60 were not working on a construction site at the time of the incident. In addition, there were 39 workers who died on construction sites that were employed by a non-construction employer (Table 18).</w:t>
      </w:r>
    </w:p>
    <w:p w:rsidR="0085303A" w:rsidRDefault="0085303A" w:rsidP="00982F9F">
      <w:pPr>
        <w:pStyle w:val="Tableheading"/>
      </w:pPr>
      <w:r>
        <w:t>Table 18: Worker fatalities associated with construction: number by type of employer, 2003 to 2013</w:t>
      </w:r>
    </w:p>
    <w:tbl>
      <w:tblPr>
        <w:tblStyle w:val="TableGrid"/>
        <w:tblW w:w="0" w:type="auto"/>
        <w:tblLook w:val="04A0" w:firstRow="1" w:lastRow="0" w:firstColumn="1" w:lastColumn="0" w:noHBand="0" w:noVBand="1"/>
        <w:tblCaption w:val="Table 18: Worker fatalities associated with construction: number by type of employer, 2003 to 2013"/>
        <w:tblDescription w:val="Table shows breakdown of fatalities from 2003 to 2013 and whether they were construction workers not on a construction site, working on a construction site or a non-construction worker working on a construction site."/>
      </w:tblPr>
      <w:tblGrid>
        <w:gridCol w:w="2136"/>
        <w:gridCol w:w="2136"/>
        <w:gridCol w:w="2136"/>
        <w:gridCol w:w="2137"/>
        <w:gridCol w:w="2137"/>
      </w:tblGrid>
      <w:tr w:rsidR="00002A3E" w:rsidTr="00715413">
        <w:trPr>
          <w:tblHeader/>
        </w:trPr>
        <w:tc>
          <w:tcPr>
            <w:tcW w:w="2136" w:type="dxa"/>
            <w:shd w:val="clear" w:color="auto" w:fill="D9D9D9" w:themeFill="background1" w:themeFillShade="D9"/>
            <w:vAlign w:val="center"/>
          </w:tcPr>
          <w:p w:rsidR="00002A3E" w:rsidRPr="00EE4759" w:rsidRDefault="00002A3E" w:rsidP="00002A3E">
            <w:pPr>
              <w:pStyle w:val="Tableheaderrow"/>
            </w:pPr>
            <w:r w:rsidRPr="00EE4759">
              <w:t>Year</w:t>
            </w:r>
          </w:p>
        </w:tc>
        <w:tc>
          <w:tcPr>
            <w:tcW w:w="2136" w:type="dxa"/>
            <w:shd w:val="clear" w:color="auto" w:fill="D9D9D9" w:themeFill="background1" w:themeFillShade="D9"/>
            <w:vAlign w:val="center"/>
          </w:tcPr>
          <w:p w:rsidR="00002A3E" w:rsidRPr="00EE4759" w:rsidRDefault="00002A3E" w:rsidP="00E960F1">
            <w:pPr>
              <w:pStyle w:val="Tableheaderrow"/>
              <w:jc w:val="right"/>
            </w:pPr>
            <w:r>
              <w:t>Construction worker not working on construction site</w:t>
            </w:r>
          </w:p>
        </w:tc>
        <w:tc>
          <w:tcPr>
            <w:tcW w:w="2136" w:type="dxa"/>
            <w:shd w:val="clear" w:color="auto" w:fill="D9D9D9" w:themeFill="background1" w:themeFillShade="D9"/>
            <w:vAlign w:val="center"/>
          </w:tcPr>
          <w:p w:rsidR="00002A3E" w:rsidRPr="00EE4759" w:rsidRDefault="00002A3E" w:rsidP="00E960F1">
            <w:pPr>
              <w:pStyle w:val="Tableheaderrow"/>
              <w:jc w:val="right"/>
            </w:pPr>
            <w:r>
              <w:t>Construction worker working on construction site</w:t>
            </w:r>
          </w:p>
        </w:tc>
        <w:tc>
          <w:tcPr>
            <w:tcW w:w="2137" w:type="dxa"/>
            <w:shd w:val="clear" w:color="auto" w:fill="D9D9D9" w:themeFill="background1" w:themeFillShade="D9"/>
            <w:vAlign w:val="center"/>
          </w:tcPr>
          <w:p w:rsidR="00002A3E" w:rsidRPr="00EE4759" w:rsidRDefault="00002A3E" w:rsidP="00E960F1">
            <w:pPr>
              <w:pStyle w:val="Tableheaderrow"/>
              <w:jc w:val="right"/>
            </w:pPr>
            <w:r>
              <w:t>Non-construction worker working on construction site</w:t>
            </w:r>
          </w:p>
        </w:tc>
        <w:tc>
          <w:tcPr>
            <w:tcW w:w="2137" w:type="dxa"/>
            <w:shd w:val="clear" w:color="auto" w:fill="D9D9D9" w:themeFill="background1" w:themeFillShade="D9"/>
            <w:vAlign w:val="center"/>
          </w:tcPr>
          <w:p w:rsidR="00002A3E" w:rsidRPr="00EE4759" w:rsidRDefault="00002A3E" w:rsidP="00E960F1">
            <w:pPr>
              <w:pStyle w:val="Tableheaderrow"/>
              <w:jc w:val="right"/>
            </w:pPr>
            <w:r w:rsidRPr="00EE4759">
              <w:t>Total</w:t>
            </w:r>
          </w:p>
        </w:tc>
      </w:tr>
      <w:tr w:rsidR="00002A3E" w:rsidTr="00E960F1">
        <w:tc>
          <w:tcPr>
            <w:tcW w:w="2136" w:type="dxa"/>
          </w:tcPr>
          <w:p w:rsidR="00002A3E" w:rsidRPr="00EE4759" w:rsidRDefault="00002A3E" w:rsidP="00002A3E">
            <w:pPr>
              <w:pStyle w:val="Tabletext"/>
            </w:pPr>
            <w:r w:rsidRPr="00EE4759">
              <w:t>2003</w:t>
            </w:r>
          </w:p>
        </w:tc>
        <w:tc>
          <w:tcPr>
            <w:tcW w:w="2136" w:type="dxa"/>
            <w:vAlign w:val="center"/>
          </w:tcPr>
          <w:p w:rsidR="00002A3E" w:rsidRPr="00EE4759" w:rsidRDefault="00002A3E" w:rsidP="00E960F1">
            <w:pPr>
              <w:pStyle w:val="Tabletext"/>
              <w:jc w:val="right"/>
            </w:pPr>
            <w:r w:rsidRPr="00EE4759">
              <w:t>5</w:t>
            </w:r>
          </w:p>
        </w:tc>
        <w:tc>
          <w:tcPr>
            <w:tcW w:w="2136" w:type="dxa"/>
            <w:vAlign w:val="center"/>
          </w:tcPr>
          <w:p w:rsidR="00002A3E" w:rsidRPr="00EE4759" w:rsidRDefault="00002A3E" w:rsidP="00E960F1">
            <w:pPr>
              <w:pStyle w:val="Tabletext"/>
              <w:jc w:val="right"/>
            </w:pPr>
            <w:r w:rsidRPr="00EE4759">
              <w:t>38</w:t>
            </w:r>
          </w:p>
        </w:tc>
        <w:tc>
          <w:tcPr>
            <w:tcW w:w="2137" w:type="dxa"/>
            <w:vAlign w:val="center"/>
          </w:tcPr>
          <w:p w:rsidR="00002A3E" w:rsidRPr="00EE4759" w:rsidRDefault="00002A3E" w:rsidP="00E960F1">
            <w:pPr>
              <w:pStyle w:val="Tabletext"/>
              <w:jc w:val="right"/>
            </w:pPr>
            <w:r w:rsidRPr="00EE4759">
              <w:t>4</w:t>
            </w:r>
          </w:p>
        </w:tc>
        <w:tc>
          <w:tcPr>
            <w:tcW w:w="2137" w:type="dxa"/>
            <w:vAlign w:val="center"/>
          </w:tcPr>
          <w:p w:rsidR="00002A3E" w:rsidRPr="00EE4759" w:rsidRDefault="00002A3E" w:rsidP="00E960F1">
            <w:pPr>
              <w:pStyle w:val="Tabletext"/>
              <w:jc w:val="right"/>
            </w:pPr>
            <w:r w:rsidRPr="00EE4759">
              <w:t>47</w:t>
            </w:r>
          </w:p>
        </w:tc>
      </w:tr>
      <w:tr w:rsidR="00002A3E" w:rsidTr="00E960F1">
        <w:tc>
          <w:tcPr>
            <w:tcW w:w="2136" w:type="dxa"/>
          </w:tcPr>
          <w:p w:rsidR="00002A3E" w:rsidRPr="00EE4759" w:rsidRDefault="00002A3E" w:rsidP="00002A3E">
            <w:pPr>
              <w:pStyle w:val="Tabletext"/>
            </w:pPr>
            <w:r w:rsidRPr="00EE4759">
              <w:t>2004</w:t>
            </w:r>
          </w:p>
        </w:tc>
        <w:tc>
          <w:tcPr>
            <w:tcW w:w="2136" w:type="dxa"/>
            <w:vAlign w:val="center"/>
          </w:tcPr>
          <w:p w:rsidR="00002A3E" w:rsidRPr="00EE4759" w:rsidRDefault="00002A3E" w:rsidP="00E960F1">
            <w:pPr>
              <w:pStyle w:val="Tabletext"/>
              <w:jc w:val="right"/>
            </w:pPr>
            <w:r w:rsidRPr="00EE4759">
              <w:t>3</w:t>
            </w:r>
          </w:p>
        </w:tc>
        <w:tc>
          <w:tcPr>
            <w:tcW w:w="2136" w:type="dxa"/>
            <w:vAlign w:val="center"/>
          </w:tcPr>
          <w:p w:rsidR="00002A3E" w:rsidRPr="00EE4759" w:rsidRDefault="00002A3E" w:rsidP="00E960F1">
            <w:pPr>
              <w:pStyle w:val="Tabletext"/>
              <w:jc w:val="right"/>
            </w:pPr>
            <w:r w:rsidRPr="00EE4759">
              <w:t>32</w:t>
            </w:r>
          </w:p>
        </w:tc>
        <w:tc>
          <w:tcPr>
            <w:tcW w:w="2137" w:type="dxa"/>
            <w:vAlign w:val="center"/>
          </w:tcPr>
          <w:p w:rsidR="00002A3E" w:rsidRPr="00EE4759" w:rsidRDefault="00002A3E" w:rsidP="00E960F1">
            <w:pPr>
              <w:pStyle w:val="Tabletext"/>
              <w:jc w:val="right"/>
            </w:pPr>
            <w:r w:rsidRPr="00EE4759">
              <w:t>2</w:t>
            </w:r>
          </w:p>
        </w:tc>
        <w:tc>
          <w:tcPr>
            <w:tcW w:w="2137" w:type="dxa"/>
            <w:vAlign w:val="center"/>
          </w:tcPr>
          <w:p w:rsidR="00002A3E" w:rsidRPr="00EE4759" w:rsidRDefault="00002A3E" w:rsidP="00E960F1">
            <w:pPr>
              <w:pStyle w:val="Tabletext"/>
              <w:jc w:val="right"/>
            </w:pPr>
            <w:r w:rsidRPr="00EE4759">
              <w:t>37</w:t>
            </w:r>
          </w:p>
        </w:tc>
      </w:tr>
      <w:tr w:rsidR="00002A3E" w:rsidTr="00E960F1">
        <w:tc>
          <w:tcPr>
            <w:tcW w:w="2136" w:type="dxa"/>
          </w:tcPr>
          <w:p w:rsidR="00002A3E" w:rsidRPr="00EE4759" w:rsidRDefault="00002A3E" w:rsidP="00002A3E">
            <w:pPr>
              <w:pStyle w:val="Tabletext"/>
            </w:pPr>
            <w:r w:rsidRPr="00EE4759">
              <w:t>2005</w:t>
            </w:r>
          </w:p>
        </w:tc>
        <w:tc>
          <w:tcPr>
            <w:tcW w:w="2136" w:type="dxa"/>
            <w:vAlign w:val="center"/>
          </w:tcPr>
          <w:p w:rsidR="00002A3E" w:rsidRPr="00EE4759" w:rsidRDefault="00002A3E" w:rsidP="00E960F1">
            <w:pPr>
              <w:pStyle w:val="Tabletext"/>
              <w:jc w:val="right"/>
            </w:pPr>
            <w:r w:rsidRPr="00EE4759">
              <w:t>9</w:t>
            </w:r>
          </w:p>
        </w:tc>
        <w:tc>
          <w:tcPr>
            <w:tcW w:w="2136" w:type="dxa"/>
            <w:vAlign w:val="center"/>
          </w:tcPr>
          <w:p w:rsidR="00002A3E" w:rsidRPr="00EE4759" w:rsidRDefault="00002A3E" w:rsidP="00E960F1">
            <w:pPr>
              <w:pStyle w:val="Tabletext"/>
              <w:jc w:val="right"/>
            </w:pPr>
            <w:r w:rsidRPr="00EE4759">
              <w:t>21</w:t>
            </w:r>
          </w:p>
        </w:tc>
        <w:tc>
          <w:tcPr>
            <w:tcW w:w="2137" w:type="dxa"/>
            <w:vAlign w:val="center"/>
          </w:tcPr>
          <w:p w:rsidR="00002A3E" w:rsidRPr="00EE4759" w:rsidRDefault="00002A3E" w:rsidP="00E960F1">
            <w:pPr>
              <w:pStyle w:val="Tabletext"/>
              <w:jc w:val="right"/>
            </w:pPr>
            <w:r w:rsidRPr="00EE4759">
              <w:t>3</w:t>
            </w:r>
          </w:p>
        </w:tc>
        <w:tc>
          <w:tcPr>
            <w:tcW w:w="2137" w:type="dxa"/>
            <w:vAlign w:val="center"/>
          </w:tcPr>
          <w:p w:rsidR="00002A3E" w:rsidRPr="00EE4759" w:rsidRDefault="00002A3E" w:rsidP="00E960F1">
            <w:pPr>
              <w:pStyle w:val="Tabletext"/>
              <w:jc w:val="right"/>
            </w:pPr>
            <w:r w:rsidRPr="00EE4759">
              <w:t>33</w:t>
            </w:r>
          </w:p>
        </w:tc>
      </w:tr>
      <w:tr w:rsidR="00002A3E" w:rsidTr="00E960F1">
        <w:tc>
          <w:tcPr>
            <w:tcW w:w="2136" w:type="dxa"/>
          </w:tcPr>
          <w:p w:rsidR="00002A3E" w:rsidRPr="00EE4759" w:rsidRDefault="00002A3E" w:rsidP="00002A3E">
            <w:pPr>
              <w:pStyle w:val="Tabletext"/>
            </w:pPr>
            <w:r w:rsidRPr="00EE4759">
              <w:t>2006</w:t>
            </w:r>
          </w:p>
        </w:tc>
        <w:tc>
          <w:tcPr>
            <w:tcW w:w="2136" w:type="dxa"/>
            <w:vAlign w:val="center"/>
          </w:tcPr>
          <w:p w:rsidR="00002A3E" w:rsidRPr="00EE4759" w:rsidRDefault="00002A3E" w:rsidP="00E960F1">
            <w:pPr>
              <w:pStyle w:val="Tabletext"/>
              <w:jc w:val="right"/>
            </w:pPr>
            <w:r w:rsidRPr="00EE4759">
              <w:t>4</w:t>
            </w:r>
          </w:p>
        </w:tc>
        <w:tc>
          <w:tcPr>
            <w:tcW w:w="2136" w:type="dxa"/>
            <w:vAlign w:val="center"/>
          </w:tcPr>
          <w:p w:rsidR="00002A3E" w:rsidRPr="00EE4759" w:rsidRDefault="00002A3E" w:rsidP="00E960F1">
            <w:pPr>
              <w:pStyle w:val="Tabletext"/>
              <w:jc w:val="right"/>
            </w:pPr>
            <w:r w:rsidRPr="00EE4759">
              <w:t>39</w:t>
            </w:r>
          </w:p>
        </w:tc>
        <w:tc>
          <w:tcPr>
            <w:tcW w:w="2137" w:type="dxa"/>
            <w:vAlign w:val="center"/>
          </w:tcPr>
          <w:p w:rsidR="00002A3E" w:rsidRPr="00EE4759" w:rsidRDefault="00002A3E" w:rsidP="00E960F1">
            <w:pPr>
              <w:pStyle w:val="Tabletext"/>
              <w:jc w:val="right"/>
            </w:pPr>
            <w:r w:rsidRPr="00EE4759">
              <w:t>5</w:t>
            </w:r>
          </w:p>
        </w:tc>
        <w:tc>
          <w:tcPr>
            <w:tcW w:w="2137" w:type="dxa"/>
            <w:vAlign w:val="center"/>
          </w:tcPr>
          <w:p w:rsidR="00002A3E" w:rsidRPr="00EE4759" w:rsidRDefault="00002A3E" w:rsidP="00E960F1">
            <w:pPr>
              <w:pStyle w:val="Tabletext"/>
              <w:jc w:val="right"/>
            </w:pPr>
            <w:r w:rsidRPr="00EE4759">
              <w:t>48</w:t>
            </w:r>
          </w:p>
        </w:tc>
      </w:tr>
      <w:tr w:rsidR="00002A3E" w:rsidTr="00E960F1">
        <w:tc>
          <w:tcPr>
            <w:tcW w:w="2136" w:type="dxa"/>
          </w:tcPr>
          <w:p w:rsidR="00002A3E" w:rsidRPr="00EE4759" w:rsidRDefault="00002A3E" w:rsidP="00002A3E">
            <w:pPr>
              <w:pStyle w:val="Tabletext"/>
            </w:pPr>
            <w:r w:rsidRPr="00EE4759">
              <w:t>2007</w:t>
            </w:r>
          </w:p>
        </w:tc>
        <w:tc>
          <w:tcPr>
            <w:tcW w:w="2136" w:type="dxa"/>
            <w:vAlign w:val="center"/>
          </w:tcPr>
          <w:p w:rsidR="00002A3E" w:rsidRPr="00EE4759" w:rsidRDefault="00002A3E" w:rsidP="00E960F1">
            <w:pPr>
              <w:pStyle w:val="Tabletext"/>
              <w:jc w:val="right"/>
            </w:pPr>
            <w:r w:rsidRPr="00EE4759">
              <w:t>7</w:t>
            </w:r>
          </w:p>
        </w:tc>
        <w:tc>
          <w:tcPr>
            <w:tcW w:w="2136" w:type="dxa"/>
            <w:vAlign w:val="center"/>
          </w:tcPr>
          <w:p w:rsidR="00002A3E" w:rsidRPr="00EE4759" w:rsidRDefault="00002A3E" w:rsidP="00E960F1">
            <w:pPr>
              <w:pStyle w:val="Tabletext"/>
              <w:jc w:val="right"/>
            </w:pPr>
            <w:r w:rsidRPr="00EE4759">
              <w:t>38</w:t>
            </w:r>
          </w:p>
        </w:tc>
        <w:tc>
          <w:tcPr>
            <w:tcW w:w="2137" w:type="dxa"/>
            <w:vAlign w:val="center"/>
          </w:tcPr>
          <w:p w:rsidR="00002A3E" w:rsidRPr="00EE4759" w:rsidRDefault="00002A3E" w:rsidP="00E960F1">
            <w:pPr>
              <w:pStyle w:val="Tabletext"/>
              <w:jc w:val="right"/>
            </w:pPr>
            <w:r w:rsidRPr="00EE4759">
              <w:t>8</w:t>
            </w:r>
          </w:p>
        </w:tc>
        <w:tc>
          <w:tcPr>
            <w:tcW w:w="2137" w:type="dxa"/>
            <w:vAlign w:val="center"/>
          </w:tcPr>
          <w:p w:rsidR="00002A3E" w:rsidRPr="00EE4759" w:rsidRDefault="00002A3E" w:rsidP="00E960F1">
            <w:pPr>
              <w:pStyle w:val="Tabletext"/>
              <w:jc w:val="right"/>
            </w:pPr>
            <w:r w:rsidRPr="00EE4759">
              <w:t>53</w:t>
            </w:r>
          </w:p>
        </w:tc>
      </w:tr>
      <w:tr w:rsidR="00002A3E" w:rsidTr="00E960F1">
        <w:tc>
          <w:tcPr>
            <w:tcW w:w="2136" w:type="dxa"/>
          </w:tcPr>
          <w:p w:rsidR="00002A3E" w:rsidRPr="00EE4759" w:rsidRDefault="00002A3E" w:rsidP="00002A3E">
            <w:pPr>
              <w:pStyle w:val="Tabletext"/>
            </w:pPr>
            <w:r w:rsidRPr="00EE4759">
              <w:t>2008</w:t>
            </w:r>
          </w:p>
        </w:tc>
        <w:tc>
          <w:tcPr>
            <w:tcW w:w="2136" w:type="dxa"/>
            <w:vAlign w:val="center"/>
          </w:tcPr>
          <w:p w:rsidR="00002A3E" w:rsidRPr="00EE4759" w:rsidRDefault="00002A3E" w:rsidP="00E960F1">
            <w:pPr>
              <w:pStyle w:val="Tabletext"/>
              <w:jc w:val="right"/>
            </w:pPr>
            <w:r w:rsidRPr="00EE4759">
              <w:t>2</w:t>
            </w:r>
          </w:p>
        </w:tc>
        <w:tc>
          <w:tcPr>
            <w:tcW w:w="2136" w:type="dxa"/>
            <w:vAlign w:val="center"/>
          </w:tcPr>
          <w:p w:rsidR="00002A3E" w:rsidRPr="00EE4759" w:rsidRDefault="00002A3E" w:rsidP="00E960F1">
            <w:pPr>
              <w:pStyle w:val="Tabletext"/>
              <w:jc w:val="right"/>
            </w:pPr>
            <w:r w:rsidRPr="00EE4759">
              <w:t>36</w:t>
            </w:r>
          </w:p>
        </w:tc>
        <w:tc>
          <w:tcPr>
            <w:tcW w:w="2137" w:type="dxa"/>
            <w:vAlign w:val="center"/>
          </w:tcPr>
          <w:p w:rsidR="00002A3E" w:rsidRPr="00EE4759" w:rsidRDefault="00002A3E" w:rsidP="00E960F1">
            <w:pPr>
              <w:pStyle w:val="Tabletext"/>
              <w:jc w:val="right"/>
            </w:pPr>
            <w:r w:rsidRPr="00EE4759">
              <w:t>3</w:t>
            </w:r>
          </w:p>
        </w:tc>
        <w:tc>
          <w:tcPr>
            <w:tcW w:w="2137" w:type="dxa"/>
            <w:vAlign w:val="center"/>
          </w:tcPr>
          <w:p w:rsidR="00002A3E" w:rsidRPr="00EE4759" w:rsidRDefault="00002A3E" w:rsidP="00E960F1">
            <w:pPr>
              <w:pStyle w:val="Tabletext"/>
              <w:jc w:val="right"/>
            </w:pPr>
            <w:r w:rsidRPr="00EE4759">
              <w:t>41</w:t>
            </w:r>
          </w:p>
        </w:tc>
      </w:tr>
      <w:tr w:rsidR="00002A3E" w:rsidTr="00E960F1">
        <w:tc>
          <w:tcPr>
            <w:tcW w:w="2136" w:type="dxa"/>
          </w:tcPr>
          <w:p w:rsidR="00002A3E" w:rsidRPr="00EE4759" w:rsidRDefault="00002A3E" w:rsidP="00002A3E">
            <w:pPr>
              <w:pStyle w:val="Tabletext"/>
            </w:pPr>
            <w:r w:rsidRPr="00EE4759">
              <w:t>2009</w:t>
            </w:r>
          </w:p>
        </w:tc>
        <w:tc>
          <w:tcPr>
            <w:tcW w:w="2136" w:type="dxa"/>
            <w:vAlign w:val="center"/>
          </w:tcPr>
          <w:p w:rsidR="00002A3E" w:rsidRPr="00EE4759" w:rsidRDefault="00002A3E" w:rsidP="00E960F1">
            <w:pPr>
              <w:pStyle w:val="Tabletext"/>
              <w:jc w:val="right"/>
            </w:pPr>
            <w:r w:rsidRPr="00EE4759">
              <w:t>7</w:t>
            </w:r>
          </w:p>
        </w:tc>
        <w:tc>
          <w:tcPr>
            <w:tcW w:w="2136" w:type="dxa"/>
            <w:vAlign w:val="center"/>
          </w:tcPr>
          <w:p w:rsidR="00002A3E" w:rsidRPr="00EE4759" w:rsidRDefault="00002A3E" w:rsidP="00E960F1">
            <w:pPr>
              <w:pStyle w:val="Tabletext"/>
              <w:jc w:val="right"/>
            </w:pPr>
            <w:r w:rsidRPr="00EE4759">
              <w:t>29</w:t>
            </w:r>
          </w:p>
        </w:tc>
        <w:tc>
          <w:tcPr>
            <w:tcW w:w="2137" w:type="dxa"/>
            <w:vAlign w:val="center"/>
          </w:tcPr>
          <w:p w:rsidR="00002A3E" w:rsidRPr="00EE4759" w:rsidRDefault="00002A3E" w:rsidP="00E960F1">
            <w:pPr>
              <w:pStyle w:val="Tabletext"/>
              <w:jc w:val="right"/>
            </w:pPr>
            <w:r w:rsidRPr="00EE4759">
              <w:t>1</w:t>
            </w:r>
          </w:p>
        </w:tc>
        <w:tc>
          <w:tcPr>
            <w:tcW w:w="2137" w:type="dxa"/>
            <w:vAlign w:val="center"/>
          </w:tcPr>
          <w:p w:rsidR="00002A3E" w:rsidRPr="00EE4759" w:rsidRDefault="00002A3E" w:rsidP="00E960F1">
            <w:pPr>
              <w:pStyle w:val="Tabletext"/>
              <w:jc w:val="right"/>
            </w:pPr>
            <w:r w:rsidRPr="00EE4759">
              <w:t>37</w:t>
            </w:r>
          </w:p>
        </w:tc>
      </w:tr>
      <w:tr w:rsidR="00002A3E" w:rsidTr="00E960F1">
        <w:tc>
          <w:tcPr>
            <w:tcW w:w="2136" w:type="dxa"/>
          </w:tcPr>
          <w:p w:rsidR="00002A3E" w:rsidRPr="00EE4759" w:rsidRDefault="00002A3E" w:rsidP="00002A3E">
            <w:pPr>
              <w:pStyle w:val="Tabletext"/>
            </w:pPr>
            <w:r w:rsidRPr="00EE4759">
              <w:t>2010</w:t>
            </w:r>
          </w:p>
        </w:tc>
        <w:tc>
          <w:tcPr>
            <w:tcW w:w="2136" w:type="dxa"/>
            <w:vAlign w:val="center"/>
          </w:tcPr>
          <w:p w:rsidR="00002A3E" w:rsidRPr="00EE4759" w:rsidRDefault="00002A3E" w:rsidP="00E960F1">
            <w:pPr>
              <w:pStyle w:val="Tabletext"/>
              <w:jc w:val="right"/>
            </w:pPr>
            <w:r w:rsidRPr="00EE4759">
              <w:t>6</w:t>
            </w:r>
          </w:p>
        </w:tc>
        <w:tc>
          <w:tcPr>
            <w:tcW w:w="2136" w:type="dxa"/>
            <w:vAlign w:val="center"/>
          </w:tcPr>
          <w:p w:rsidR="00002A3E" w:rsidRPr="00EE4759" w:rsidRDefault="00002A3E" w:rsidP="00E960F1">
            <w:pPr>
              <w:pStyle w:val="Tabletext"/>
              <w:jc w:val="right"/>
            </w:pPr>
            <w:r w:rsidRPr="00EE4759">
              <w:t>35</w:t>
            </w:r>
          </w:p>
        </w:tc>
        <w:tc>
          <w:tcPr>
            <w:tcW w:w="2137" w:type="dxa"/>
            <w:vAlign w:val="center"/>
          </w:tcPr>
          <w:p w:rsidR="00002A3E" w:rsidRPr="00EE4759" w:rsidRDefault="00002A3E" w:rsidP="00E960F1">
            <w:pPr>
              <w:pStyle w:val="Tabletext"/>
              <w:jc w:val="right"/>
            </w:pPr>
            <w:r w:rsidRPr="00EE4759">
              <w:t>4</w:t>
            </w:r>
          </w:p>
        </w:tc>
        <w:tc>
          <w:tcPr>
            <w:tcW w:w="2137" w:type="dxa"/>
            <w:vAlign w:val="center"/>
          </w:tcPr>
          <w:p w:rsidR="00002A3E" w:rsidRPr="00EE4759" w:rsidRDefault="00002A3E" w:rsidP="00E960F1">
            <w:pPr>
              <w:pStyle w:val="Tabletext"/>
              <w:jc w:val="right"/>
            </w:pPr>
            <w:r w:rsidRPr="00EE4759">
              <w:t>45</w:t>
            </w:r>
          </w:p>
        </w:tc>
      </w:tr>
      <w:tr w:rsidR="00002A3E" w:rsidTr="00E960F1">
        <w:tc>
          <w:tcPr>
            <w:tcW w:w="2136" w:type="dxa"/>
          </w:tcPr>
          <w:p w:rsidR="00002A3E" w:rsidRPr="00EE4759" w:rsidRDefault="00002A3E" w:rsidP="00002A3E">
            <w:pPr>
              <w:pStyle w:val="Tabletext"/>
            </w:pPr>
            <w:r w:rsidRPr="00EE4759">
              <w:t>2011</w:t>
            </w:r>
          </w:p>
        </w:tc>
        <w:tc>
          <w:tcPr>
            <w:tcW w:w="2136" w:type="dxa"/>
            <w:vAlign w:val="center"/>
          </w:tcPr>
          <w:p w:rsidR="00002A3E" w:rsidRPr="00EE4759" w:rsidRDefault="00002A3E" w:rsidP="00E960F1">
            <w:pPr>
              <w:pStyle w:val="Tabletext"/>
              <w:jc w:val="right"/>
            </w:pPr>
            <w:r w:rsidRPr="00EE4759">
              <w:t>9</w:t>
            </w:r>
          </w:p>
        </w:tc>
        <w:tc>
          <w:tcPr>
            <w:tcW w:w="2136" w:type="dxa"/>
            <w:vAlign w:val="center"/>
          </w:tcPr>
          <w:p w:rsidR="00002A3E" w:rsidRPr="00EE4759" w:rsidRDefault="00002A3E" w:rsidP="00E960F1">
            <w:pPr>
              <w:pStyle w:val="Tabletext"/>
              <w:jc w:val="right"/>
            </w:pPr>
            <w:r w:rsidRPr="00EE4759">
              <w:t>32</w:t>
            </w:r>
          </w:p>
        </w:tc>
        <w:tc>
          <w:tcPr>
            <w:tcW w:w="2137" w:type="dxa"/>
            <w:vAlign w:val="center"/>
          </w:tcPr>
          <w:p w:rsidR="00002A3E" w:rsidRPr="00EE4759" w:rsidRDefault="00002A3E" w:rsidP="00E960F1">
            <w:pPr>
              <w:pStyle w:val="Tabletext"/>
              <w:jc w:val="right"/>
            </w:pPr>
            <w:r w:rsidRPr="00EE4759">
              <w:t>3</w:t>
            </w:r>
          </w:p>
        </w:tc>
        <w:tc>
          <w:tcPr>
            <w:tcW w:w="2137" w:type="dxa"/>
            <w:vAlign w:val="center"/>
          </w:tcPr>
          <w:p w:rsidR="00002A3E" w:rsidRPr="00EE4759" w:rsidRDefault="00002A3E" w:rsidP="00E960F1">
            <w:pPr>
              <w:pStyle w:val="Tabletext"/>
              <w:jc w:val="right"/>
            </w:pPr>
            <w:r w:rsidRPr="00EE4759">
              <w:t>44</w:t>
            </w:r>
          </w:p>
        </w:tc>
      </w:tr>
      <w:tr w:rsidR="00002A3E" w:rsidTr="00E960F1">
        <w:tc>
          <w:tcPr>
            <w:tcW w:w="2136" w:type="dxa"/>
          </w:tcPr>
          <w:p w:rsidR="00002A3E" w:rsidRPr="00EE4759" w:rsidRDefault="00002A3E" w:rsidP="00002A3E">
            <w:pPr>
              <w:pStyle w:val="Tabletext"/>
            </w:pPr>
            <w:r w:rsidRPr="00EE4759">
              <w:t>2012</w:t>
            </w:r>
          </w:p>
        </w:tc>
        <w:tc>
          <w:tcPr>
            <w:tcW w:w="2136" w:type="dxa"/>
            <w:vAlign w:val="center"/>
          </w:tcPr>
          <w:p w:rsidR="00002A3E" w:rsidRPr="00EE4759" w:rsidRDefault="00002A3E" w:rsidP="00E960F1">
            <w:pPr>
              <w:pStyle w:val="Tabletext"/>
              <w:jc w:val="right"/>
            </w:pPr>
            <w:r w:rsidRPr="00EE4759">
              <w:t>5</w:t>
            </w:r>
          </w:p>
        </w:tc>
        <w:tc>
          <w:tcPr>
            <w:tcW w:w="2136" w:type="dxa"/>
            <w:vAlign w:val="center"/>
          </w:tcPr>
          <w:p w:rsidR="00002A3E" w:rsidRPr="00EE4759" w:rsidRDefault="00002A3E" w:rsidP="00E960F1">
            <w:pPr>
              <w:pStyle w:val="Tabletext"/>
              <w:jc w:val="right"/>
            </w:pPr>
            <w:r w:rsidRPr="00EE4759">
              <w:t>25</w:t>
            </w:r>
          </w:p>
        </w:tc>
        <w:tc>
          <w:tcPr>
            <w:tcW w:w="2137" w:type="dxa"/>
            <w:vAlign w:val="center"/>
          </w:tcPr>
          <w:p w:rsidR="00002A3E" w:rsidRPr="00EE4759" w:rsidRDefault="00002A3E" w:rsidP="00E960F1">
            <w:pPr>
              <w:pStyle w:val="Tabletext"/>
              <w:jc w:val="right"/>
            </w:pPr>
            <w:r w:rsidRPr="00EE4759">
              <w:t>4</w:t>
            </w:r>
          </w:p>
        </w:tc>
        <w:tc>
          <w:tcPr>
            <w:tcW w:w="2137" w:type="dxa"/>
            <w:vAlign w:val="center"/>
          </w:tcPr>
          <w:p w:rsidR="00002A3E" w:rsidRPr="00EE4759" w:rsidRDefault="00002A3E" w:rsidP="00E960F1">
            <w:pPr>
              <w:pStyle w:val="Tabletext"/>
              <w:jc w:val="right"/>
            </w:pPr>
            <w:r w:rsidRPr="00EE4759">
              <w:t>34</w:t>
            </w:r>
          </w:p>
        </w:tc>
      </w:tr>
      <w:tr w:rsidR="00002A3E" w:rsidTr="00E960F1">
        <w:tc>
          <w:tcPr>
            <w:tcW w:w="2136" w:type="dxa"/>
          </w:tcPr>
          <w:p w:rsidR="00002A3E" w:rsidRPr="00EE4759" w:rsidRDefault="00002A3E" w:rsidP="00002A3E">
            <w:pPr>
              <w:pStyle w:val="Tabletext"/>
            </w:pPr>
            <w:r w:rsidRPr="00EE4759">
              <w:t>2013</w:t>
            </w:r>
          </w:p>
        </w:tc>
        <w:tc>
          <w:tcPr>
            <w:tcW w:w="2136" w:type="dxa"/>
            <w:vAlign w:val="center"/>
          </w:tcPr>
          <w:p w:rsidR="00002A3E" w:rsidRPr="00EE4759" w:rsidRDefault="00002A3E" w:rsidP="00E960F1">
            <w:pPr>
              <w:pStyle w:val="Tabletext"/>
              <w:jc w:val="right"/>
            </w:pPr>
            <w:r w:rsidRPr="00EE4759">
              <w:t>3</w:t>
            </w:r>
          </w:p>
        </w:tc>
        <w:tc>
          <w:tcPr>
            <w:tcW w:w="2136" w:type="dxa"/>
            <w:vAlign w:val="center"/>
          </w:tcPr>
          <w:p w:rsidR="00002A3E" w:rsidRPr="00EE4759" w:rsidRDefault="00002A3E" w:rsidP="00E960F1">
            <w:pPr>
              <w:pStyle w:val="Tabletext"/>
              <w:jc w:val="right"/>
            </w:pPr>
            <w:r w:rsidRPr="00EE4759">
              <w:t>16</w:t>
            </w:r>
          </w:p>
        </w:tc>
        <w:tc>
          <w:tcPr>
            <w:tcW w:w="2137" w:type="dxa"/>
            <w:vAlign w:val="center"/>
          </w:tcPr>
          <w:p w:rsidR="00002A3E" w:rsidRPr="00EE4759" w:rsidRDefault="00002A3E" w:rsidP="00E960F1">
            <w:pPr>
              <w:pStyle w:val="Tabletext"/>
              <w:jc w:val="right"/>
            </w:pPr>
            <w:r w:rsidRPr="00EE4759">
              <w:t>2</w:t>
            </w:r>
          </w:p>
        </w:tc>
        <w:tc>
          <w:tcPr>
            <w:tcW w:w="2137" w:type="dxa"/>
            <w:vAlign w:val="center"/>
          </w:tcPr>
          <w:p w:rsidR="00002A3E" w:rsidRPr="00EE4759" w:rsidRDefault="00002A3E" w:rsidP="00E960F1">
            <w:pPr>
              <w:pStyle w:val="Tabletext"/>
              <w:jc w:val="right"/>
            </w:pPr>
            <w:r w:rsidRPr="00EE4759">
              <w:t>21</w:t>
            </w:r>
          </w:p>
        </w:tc>
      </w:tr>
      <w:tr w:rsidR="00002A3E" w:rsidTr="00E960F1">
        <w:tc>
          <w:tcPr>
            <w:tcW w:w="2136" w:type="dxa"/>
          </w:tcPr>
          <w:p w:rsidR="00002A3E" w:rsidRPr="00EE4759" w:rsidRDefault="00002A3E" w:rsidP="00002A3E">
            <w:pPr>
              <w:pStyle w:val="Tabletext"/>
            </w:pPr>
            <w:r w:rsidRPr="00EE4759">
              <w:t>Total</w:t>
            </w:r>
          </w:p>
        </w:tc>
        <w:tc>
          <w:tcPr>
            <w:tcW w:w="2136" w:type="dxa"/>
            <w:vAlign w:val="center"/>
          </w:tcPr>
          <w:p w:rsidR="00002A3E" w:rsidRPr="00EE4759" w:rsidRDefault="00002A3E" w:rsidP="00E960F1">
            <w:pPr>
              <w:pStyle w:val="Tabletext"/>
              <w:jc w:val="right"/>
            </w:pPr>
            <w:r w:rsidRPr="00EE4759">
              <w:t>60</w:t>
            </w:r>
          </w:p>
        </w:tc>
        <w:tc>
          <w:tcPr>
            <w:tcW w:w="2136" w:type="dxa"/>
            <w:vAlign w:val="center"/>
          </w:tcPr>
          <w:p w:rsidR="00002A3E" w:rsidRPr="00EE4759" w:rsidRDefault="00002A3E" w:rsidP="00E960F1">
            <w:pPr>
              <w:pStyle w:val="Tabletext"/>
              <w:jc w:val="right"/>
            </w:pPr>
            <w:r w:rsidRPr="00EE4759">
              <w:t>341</w:t>
            </w:r>
          </w:p>
        </w:tc>
        <w:tc>
          <w:tcPr>
            <w:tcW w:w="2137" w:type="dxa"/>
            <w:vAlign w:val="center"/>
          </w:tcPr>
          <w:p w:rsidR="00002A3E" w:rsidRPr="00EE4759" w:rsidRDefault="00002A3E" w:rsidP="00E960F1">
            <w:pPr>
              <w:pStyle w:val="Tabletext"/>
              <w:jc w:val="right"/>
            </w:pPr>
            <w:r w:rsidRPr="00EE4759">
              <w:t>39</w:t>
            </w:r>
          </w:p>
        </w:tc>
        <w:tc>
          <w:tcPr>
            <w:tcW w:w="2137" w:type="dxa"/>
            <w:vAlign w:val="center"/>
          </w:tcPr>
          <w:p w:rsidR="00002A3E" w:rsidRDefault="00002A3E" w:rsidP="00E960F1">
            <w:pPr>
              <w:pStyle w:val="Tabletext"/>
              <w:jc w:val="right"/>
            </w:pPr>
            <w:r w:rsidRPr="00EE4759">
              <w:t>440</w:t>
            </w:r>
          </w:p>
        </w:tc>
      </w:tr>
    </w:tbl>
    <w:p w:rsidR="0085303A" w:rsidRPr="00905D87" w:rsidRDefault="00982F9F" w:rsidP="0085303A">
      <w:pPr>
        <w:pStyle w:val="Heading3"/>
        <w:rPr>
          <w:caps/>
        </w:rPr>
      </w:pPr>
      <w:bookmarkStart w:id="23" w:name="_Toc427590854"/>
      <w:r w:rsidRPr="00905D87">
        <w:t>Non-construction workers working at construction sites</w:t>
      </w:r>
      <w:bookmarkEnd w:id="23"/>
    </w:p>
    <w:p w:rsidR="0085303A" w:rsidRPr="0085303A" w:rsidRDefault="0085303A" w:rsidP="00513A50">
      <w:pPr>
        <w:pStyle w:val="BodyText1"/>
      </w:pPr>
      <w:r w:rsidRPr="0085303A">
        <w:t>Of the 39 non-construction workers killed on construction worksites, 10 were employed within the transport, postal &amp; warehousing industry, of which six were truck drivers.</w:t>
      </w:r>
    </w:p>
    <w:p w:rsidR="0085303A" w:rsidRPr="0085303A" w:rsidRDefault="0085303A" w:rsidP="00513A50">
      <w:pPr>
        <w:pStyle w:val="BodyText1"/>
      </w:pPr>
      <w:r w:rsidRPr="0085303A">
        <w:t>There were eight workers employed with the public administration &amp; safety industry, of which four were road traffic controllers. There were six workers employed by the rental, hiring and real estate services sector killed while on construction sites and five employed by manufacturing companies.</w:t>
      </w:r>
    </w:p>
    <w:p w:rsidR="0085303A" w:rsidRPr="0085303A" w:rsidRDefault="0085303A" w:rsidP="00513A50">
      <w:pPr>
        <w:pStyle w:val="BodyText1"/>
      </w:pPr>
      <w:r w:rsidRPr="0085303A">
        <w:t>Of the 39 non-construction worker fatalities 16 were the result of being hit by moving objects, of which 10 involved trucks. Falls from a height and being hit by falling objects resulted in five fatalities each.</w:t>
      </w:r>
    </w:p>
    <w:p w:rsidR="0085303A" w:rsidRPr="0085303A" w:rsidRDefault="0085303A" w:rsidP="00513A50">
      <w:pPr>
        <w:pStyle w:val="BodyText1"/>
      </w:pPr>
      <w:r w:rsidRPr="0085303A">
        <w:t>Machinery operators &amp; drivers accounted for 15 of the 39 workers, of which eight were truck drivers and four were earthmoving plant operators.</w:t>
      </w:r>
    </w:p>
    <w:p w:rsidR="0085303A" w:rsidRPr="00905D87" w:rsidRDefault="00982F9F" w:rsidP="0085303A">
      <w:pPr>
        <w:pStyle w:val="Heading3"/>
        <w:rPr>
          <w:caps/>
        </w:rPr>
      </w:pPr>
      <w:bookmarkStart w:id="24" w:name="_Toc427590855"/>
      <w:r w:rsidRPr="00905D87">
        <w:t>Construction workers working at other sites</w:t>
      </w:r>
      <w:bookmarkEnd w:id="24"/>
    </w:p>
    <w:p w:rsidR="0085303A" w:rsidRDefault="0085303A" w:rsidP="00513A50">
      <w:pPr>
        <w:pStyle w:val="BodyText1"/>
      </w:pPr>
      <w:r w:rsidRPr="0085303A">
        <w:t>Of the 60 construction workers who were working at other sites, 14 were at accommodation &amp; food services establishments where eight died following contact with electricity and five died due to falls from a height. There were 10 fatalities involving construction workers at manufacturing workplaces where four died following contact with electricity and two died due to falls from a height. Other worksites included retail trade (7), mining (5) and electricity, gas, water &amp; waste services (5). In total, 24 construction workers died at non-construction worksites from contact with electricity, 14 died due to falls from a height and seven died from being hit by moving objects.</w:t>
      </w:r>
    </w:p>
    <w:p w:rsidR="0085303A" w:rsidRDefault="0085303A" w:rsidP="00513A50">
      <w:pPr>
        <w:pStyle w:val="BodyText1"/>
      </w:pPr>
      <w:r w:rsidRPr="0085303A">
        <w:t xml:space="preserve">One-third (20) of these workers were electricians, five were painters, four were plumbers. The remaining were mostly general </w:t>
      </w:r>
      <w:proofErr w:type="spellStart"/>
      <w:r w:rsidRPr="0085303A">
        <w:t>labourers</w:t>
      </w:r>
      <w:proofErr w:type="spellEnd"/>
      <w:r w:rsidRPr="0085303A">
        <w:t>.</w:t>
      </w:r>
    </w:p>
    <w:p w:rsidR="0085303A" w:rsidRDefault="0085303A" w:rsidP="00513A50">
      <w:pPr>
        <w:pStyle w:val="BodyText1"/>
      </w:pPr>
      <w:r w:rsidRPr="0085303A">
        <w:t>One-quarter of these workers were self-employed and the remainder were employees. This is similar to the split in employment status for all construction workers.</w:t>
      </w:r>
    </w:p>
    <w:p w:rsidR="00905D87" w:rsidRDefault="00905D87">
      <w:pPr>
        <w:rPr>
          <w:lang w:val="en-US"/>
        </w:rPr>
      </w:pPr>
      <w:r>
        <w:rPr>
          <w:lang w:val="en-US"/>
        </w:rPr>
        <w:br w:type="page"/>
      </w:r>
    </w:p>
    <w:p w:rsidR="0085303A" w:rsidRDefault="00982F9F" w:rsidP="001F42A8">
      <w:pPr>
        <w:pStyle w:val="Heading1"/>
        <w:rPr>
          <w:lang w:val="en-US"/>
        </w:rPr>
      </w:pPr>
      <w:bookmarkStart w:id="25" w:name="_Toc427590856"/>
      <w:r>
        <w:rPr>
          <w:lang w:val="en-US"/>
        </w:rPr>
        <w:t>Work-related injuries</w:t>
      </w:r>
      <w:bookmarkEnd w:id="25"/>
    </w:p>
    <w:p w:rsidR="0085303A" w:rsidRDefault="0085303A" w:rsidP="0085303A">
      <w:pPr>
        <w:rPr>
          <w:lang w:val="en-US"/>
        </w:rPr>
      </w:pPr>
    </w:p>
    <w:p w:rsidR="0085303A" w:rsidRPr="0085303A" w:rsidRDefault="0085303A" w:rsidP="00513A50">
      <w:pPr>
        <w:pStyle w:val="BodyText1"/>
      </w:pPr>
      <w:r w:rsidRPr="0085303A">
        <w:t>The ABS surveys workers every four years on whether they had incurred a work-related injury in the previous year. The latest Work-related Injury Survey (</w:t>
      </w:r>
      <w:proofErr w:type="spellStart"/>
      <w:r w:rsidRPr="0085303A">
        <w:t>WRIS</w:t>
      </w:r>
      <w:proofErr w:type="spellEnd"/>
      <w:r w:rsidRPr="0085303A">
        <w:t>) was conducted for the 2013–14 year however results from the survey are not yet available for an an</w:t>
      </w:r>
      <w:r w:rsidR="00B56753">
        <w:t>a</w:t>
      </w:r>
      <w:r w:rsidRPr="0085303A">
        <w:t xml:space="preserve">lysis of the construction industry. </w:t>
      </w:r>
    </w:p>
    <w:p w:rsidR="0085303A" w:rsidRPr="0085303A" w:rsidRDefault="0085303A" w:rsidP="00513A50">
      <w:pPr>
        <w:pStyle w:val="BodyText1"/>
      </w:pPr>
      <w:r w:rsidRPr="0085303A">
        <w:t xml:space="preserve">The previous </w:t>
      </w:r>
      <w:proofErr w:type="spellStart"/>
      <w:r w:rsidRPr="0085303A">
        <w:t>WRIS</w:t>
      </w:r>
      <w:proofErr w:type="spellEnd"/>
      <w:r w:rsidRPr="0085303A">
        <w:t xml:space="preserve"> survey for the 2009–10 year showed 57 000 construction workers had incurred an injury at work. This equates to 156 construction workers being injured each day or 5.9% of all construction workers. This is a similar proportion to the proportion of workers across all industries who had incurred a work-related injury in that year (5.7%). Almost all of the injuries (98%) were recorded by male workers.</w:t>
      </w:r>
    </w:p>
    <w:p w:rsidR="0085303A" w:rsidRDefault="00982F9F" w:rsidP="00257F90">
      <w:pPr>
        <w:pStyle w:val="Heading2"/>
      </w:pPr>
      <w:bookmarkStart w:id="26" w:name="_Toc427590857"/>
      <w:r>
        <w:t>Time off work</w:t>
      </w:r>
      <w:bookmarkEnd w:id="26"/>
    </w:p>
    <w:p w:rsidR="0085303A" w:rsidRDefault="0085303A" w:rsidP="00513A50">
      <w:pPr>
        <w:pStyle w:val="BodyText1"/>
      </w:pPr>
      <w:proofErr w:type="gramStart"/>
      <w:r w:rsidRPr="0085303A">
        <w:t>More than one-third (37%) of the injuries in the construction industry involved no time off work.</w:t>
      </w:r>
      <w:proofErr w:type="gramEnd"/>
      <w:r w:rsidRPr="0085303A">
        <w:t xml:space="preserve"> This is a lower proportion than for all workers (45%). For all the other time lost categories, the construction industry had higher proportions than the all industries average suggesting that injuries in the construction industry are more severe. It is of particular note that the construction industry has four times the all industries proportion of workers who had not returned to work following their injuries (12% compared with 3%).</w:t>
      </w:r>
    </w:p>
    <w:p w:rsidR="0085303A" w:rsidRPr="0085303A" w:rsidRDefault="0085303A" w:rsidP="00DC2AAB">
      <w:pPr>
        <w:pStyle w:val="Tableheading"/>
      </w:pPr>
      <w:r>
        <w:t xml:space="preserve">Table 19: </w:t>
      </w:r>
      <w:r w:rsidRPr="0085303A">
        <w:t xml:space="preserve">Work-related injuries: Proportion for the construction industry and all industries, 2009–10 </w:t>
      </w:r>
    </w:p>
    <w:tbl>
      <w:tblPr>
        <w:tblStyle w:val="TableGrid"/>
        <w:tblW w:w="0" w:type="auto"/>
        <w:tblLook w:val="04A0" w:firstRow="1" w:lastRow="0" w:firstColumn="1" w:lastColumn="0" w:noHBand="0" w:noVBand="1"/>
        <w:tblCaption w:val="Table 19: Work-related injuries: Proportion for the construction industry and all industries, 2009–10"/>
        <w:tblDescription w:val="Shows the amount of time lost from work in construction industry compared with all industries."/>
      </w:tblPr>
      <w:tblGrid>
        <w:gridCol w:w="3560"/>
        <w:gridCol w:w="3561"/>
        <w:gridCol w:w="3561"/>
      </w:tblGrid>
      <w:tr w:rsidR="00691662" w:rsidTr="00715413">
        <w:trPr>
          <w:trHeight w:val="283"/>
          <w:tblHeader/>
        </w:trPr>
        <w:tc>
          <w:tcPr>
            <w:tcW w:w="3560" w:type="dxa"/>
            <w:shd w:val="clear" w:color="auto" w:fill="D9D9D9" w:themeFill="background1" w:themeFillShade="D9"/>
            <w:vAlign w:val="center"/>
          </w:tcPr>
          <w:p w:rsidR="00691662" w:rsidRDefault="00691662" w:rsidP="00691662">
            <w:pPr>
              <w:pStyle w:val="Tableheaderrow"/>
              <w:jc w:val="left"/>
            </w:pPr>
            <w:r>
              <w:t>Days absent from work</w:t>
            </w:r>
          </w:p>
        </w:tc>
        <w:tc>
          <w:tcPr>
            <w:tcW w:w="3561" w:type="dxa"/>
            <w:shd w:val="clear" w:color="auto" w:fill="D9D9D9" w:themeFill="background1" w:themeFillShade="D9"/>
            <w:vAlign w:val="center"/>
          </w:tcPr>
          <w:p w:rsidR="00691662" w:rsidRDefault="00691662" w:rsidP="00E960F1">
            <w:pPr>
              <w:pStyle w:val="Tableheaderrow"/>
              <w:jc w:val="right"/>
            </w:pPr>
            <w:r>
              <w:t>Construction</w:t>
            </w:r>
          </w:p>
        </w:tc>
        <w:tc>
          <w:tcPr>
            <w:tcW w:w="3561" w:type="dxa"/>
            <w:shd w:val="clear" w:color="auto" w:fill="D9D9D9" w:themeFill="background1" w:themeFillShade="D9"/>
            <w:vAlign w:val="center"/>
          </w:tcPr>
          <w:p w:rsidR="00691662" w:rsidRDefault="00691662" w:rsidP="00E960F1">
            <w:pPr>
              <w:pStyle w:val="Tableheaderrow"/>
              <w:jc w:val="right"/>
            </w:pPr>
            <w:r>
              <w:t>All industries</w:t>
            </w:r>
          </w:p>
        </w:tc>
      </w:tr>
      <w:tr w:rsidR="00691662" w:rsidTr="00E960F1">
        <w:tc>
          <w:tcPr>
            <w:tcW w:w="3560" w:type="dxa"/>
          </w:tcPr>
          <w:p w:rsidR="00691662" w:rsidRDefault="00691662" w:rsidP="00691662">
            <w:pPr>
              <w:pStyle w:val="Tabletext"/>
            </w:pPr>
            <w:r>
              <w:t>No time off</w:t>
            </w:r>
          </w:p>
        </w:tc>
        <w:tc>
          <w:tcPr>
            <w:tcW w:w="3561" w:type="dxa"/>
            <w:vAlign w:val="center"/>
          </w:tcPr>
          <w:p w:rsidR="00691662" w:rsidRDefault="00691662" w:rsidP="00E960F1">
            <w:pPr>
              <w:pStyle w:val="Tabletext"/>
              <w:jc w:val="right"/>
            </w:pPr>
            <w:r>
              <w:t>37%</w:t>
            </w:r>
          </w:p>
        </w:tc>
        <w:tc>
          <w:tcPr>
            <w:tcW w:w="3561" w:type="dxa"/>
            <w:vAlign w:val="center"/>
          </w:tcPr>
          <w:p w:rsidR="00691662" w:rsidRDefault="00691662" w:rsidP="00E960F1">
            <w:pPr>
              <w:pStyle w:val="Tabletext"/>
              <w:jc w:val="right"/>
            </w:pPr>
            <w:r>
              <w:t>45%</w:t>
            </w:r>
          </w:p>
        </w:tc>
      </w:tr>
      <w:tr w:rsidR="00691662" w:rsidTr="00E960F1">
        <w:tc>
          <w:tcPr>
            <w:tcW w:w="3560" w:type="dxa"/>
          </w:tcPr>
          <w:p w:rsidR="00691662" w:rsidRDefault="00691662" w:rsidP="00691662">
            <w:pPr>
              <w:pStyle w:val="Tabletext"/>
            </w:pPr>
            <w:r>
              <w:t>Part of a day</w:t>
            </w:r>
          </w:p>
        </w:tc>
        <w:tc>
          <w:tcPr>
            <w:tcW w:w="3561" w:type="dxa"/>
            <w:vAlign w:val="center"/>
          </w:tcPr>
          <w:p w:rsidR="00691662" w:rsidRDefault="00691662" w:rsidP="00E960F1">
            <w:pPr>
              <w:pStyle w:val="Tabletext"/>
              <w:jc w:val="right"/>
            </w:pPr>
            <w:r>
              <w:t>10%</w:t>
            </w:r>
          </w:p>
        </w:tc>
        <w:tc>
          <w:tcPr>
            <w:tcW w:w="3561" w:type="dxa"/>
            <w:vAlign w:val="center"/>
          </w:tcPr>
          <w:p w:rsidR="00691662" w:rsidRDefault="00691662" w:rsidP="00E960F1">
            <w:pPr>
              <w:pStyle w:val="Tabletext"/>
              <w:jc w:val="right"/>
            </w:pPr>
            <w:r>
              <w:t>7%</w:t>
            </w:r>
          </w:p>
        </w:tc>
      </w:tr>
      <w:tr w:rsidR="00691662" w:rsidTr="00E960F1">
        <w:tc>
          <w:tcPr>
            <w:tcW w:w="3560" w:type="dxa"/>
          </w:tcPr>
          <w:p w:rsidR="00691662" w:rsidRDefault="00691662" w:rsidP="00691662">
            <w:pPr>
              <w:pStyle w:val="Tabletext"/>
            </w:pPr>
            <w:r>
              <w:t>1 – 4 days</w:t>
            </w:r>
          </w:p>
        </w:tc>
        <w:tc>
          <w:tcPr>
            <w:tcW w:w="3561" w:type="dxa"/>
            <w:vAlign w:val="center"/>
          </w:tcPr>
          <w:p w:rsidR="00691662" w:rsidRDefault="00691662" w:rsidP="00E960F1">
            <w:pPr>
              <w:pStyle w:val="Tabletext"/>
              <w:jc w:val="right"/>
            </w:pPr>
            <w:r>
              <w:t>13%</w:t>
            </w:r>
          </w:p>
        </w:tc>
        <w:tc>
          <w:tcPr>
            <w:tcW w:w="3561" w:type="dxa"/>
            <w:vAlign w:val="center"/>
          </w:tcPr>
          <w:p w:rsidR="00691662" w:rsidRDefault="00691662" w:rsidP="00E960F1">
            <w:pPr>
              <w:pStyle w:val="Tabletext"/>
              <w:jc w:val="right"/>
            </w:pPr>
            <w:r>
              <w:t>22%</w:t>
            </w:r>
          </w:p>
        </w:tc>
      </w:tr>
      <w:tr w:rsidR="00691662" w:rsidTr="00E960F1">
        <w:tc>
          <w:tcPr>
            <w:tcW w:w="3560" w:type="dxa"/>
          </w:tcPr>
          <w:p w:rsidR="00691662" w:rsidRDefault="00691662" w:rsidP="00691662">
            <w:pPr>
              <w:pStyle w:val="Tabletext"/>
            </w:pPr>
            <w:r>
              <w:t>5 – 10 days</w:t>
            </w:r>
          </w:p>
        </w:tc>
        <w:tc>
          <w:tcPr>
            <w:tcW w:w="3561" w:type="dxa"/>
            <w:vAlign w:val="center"/>
          </w:tcPr>
          <w:p w:rsidR="00691662" w:rsidRDefault="00691662" w:rsidP="00E960F1">
            <w:pPr>
              <w:pStyle w:val="Tabletext"/>
              <w:jc w:val="right"/>
            </w:pPr>
            <w:r>
              <w:t>14%</w:t>
            </w:r>
          </w:p>
        </w:tc>
        <w:tc>
          <w:tcPr>
            <w:tcW w:w="3561" w:type="dxa"/>
            <w:vAlign w:val="center"/>
          </w:tcPr>
          <w:p w:rsidR="00691662" w:rsidRDefault="00691662" w:rsidP="00E960F1">
            <w:pPr>
              <w:pStyle w:val="Tabletext"/>
              <w:jc w:val="right"/>
            </w:pPr>
            <w:r>
              <w:t>11%</w:t>
            </w:r>
          </w:p>
        </w:tc>
      </w:tr>
      <w:tr w:rsidR="00691662" w:rsidTr="00E960F1">
        <w:tc>
          <w:tcPr>
            <w:tcW w:w="3560" w:type="dxa"/>
          </w:tcPr>
          <w:p w:rsidR="00691662" w:rsidRDefault="00691662" w:rsidP="00691662">
            <w:pPr>
              <w:pStyle w:val="Tabletext"/>
            </w:pPr>
            <w:r>
              <w:t>11 days or more</w:t>
            </w:r>
          </w:p>
        </w:tc>
        <w:tc>
          <w:tcPr>
            <w:tcW w:w="3561" w:type="dxa"/>
            <w:vAlign w:val="center"/>
          </w:tcPr>
          <w:p w:rsidR="00691662" w:rsidRDefault="00691662" w:rsidP="00E960F1">
            <w:pPr>
              <w:pStyle w:val="Tabletext"/>
              <w:jc w:val="right"/>
            </w:pPr>
            <w:r>
              <w:t>15%</w:t>
            </w:r>
          </w:p>
        </w:tc>
        <w:tc>
          <w:tcPr>
            <w:tcW w:w="3561" w:type="dxa"/>
            <w:vAlign w:val="center"/>
          </w:tcPr>
          <w:p w:rsidR="00691662" w:rsidRDefault="00691662" w:rsidP="00E960F1">
            <w:pPr>
              <w:pStyle w:val="Tabletext"/>
              <w:jc w:val="right"/>
            </w:pPr>
            <w:r>
              <w:t>13%</w:t>
            </w:r>
          </w:p>
        </w:tc>
      </w:tr>
      <w:tr w:rsidR="00691662" w:rsidTr="00E960F1">
        <w:tc>
          <w:tcPr>
            <w:tcW w:w="3560" w:type="dxa"/>
          </w:tcPr>
          <w:p w:rsidR="00691662" w:rsidRDefault="00691662" w:rsidP="00691662">
            <w:pPr>
              <w:pStyle w:val="Tabletext"/>
            </w:pPr>
            <w:r>
              <w:t>Had not returned to work since illness or injury</w:t>
            </w:r>
          </w:p>
        </w:tc>
        <w:tc>
          <w:tcPr>
            <w:tcW w:w="3561" w:type="dxa"/>
            <w:vAlign w:val="center"/>
          </w:tcPr>
          <w:p w:rsidR="00691662" w:rsidRDefault="00691662" w:rsidP="00E960F1">
            <w:pPr>
              <w:pStyle w:val="Tabletext"/>
              <w:jc w:val="right"/>
            </w:pPr>
            <w:r>
              <w:t>12%</w:t>
            </w:r>
          </w:p>
        </w:tc>
        <w:tc>
          <w:tcPr>
            <w:tcW w:w="3561" w:type="dxa"/>
            <w:vAlign w:val="center"/>
          </w:tcPr>
          <w:p w:rsidR="00691662" w:rsidRDefault="00691662" w:rsidP="00E960F1">
            <w:pPr>
              <w:pStyle w:val="Tabletext"/>
              <w:jc w:val="right"/>
            </w:pPr>
            <w:r>
              <w:t>3%</w:t>
            </w:r>
          </w:p>
        </w:tc>
      </w:tr>
      <w:tr w:rsidR="00691662" w:rsidTr="00E960F1">
        <w:tc>
          <w:tcPr>
            <w:tcW w:w="3560" w:type="dxa"/>
          </w:tcPr>
          <w:p w:rsidR="00691662" w:rsidRDefault="00691662" w:rsidP="00691662">
            <w:pPr>
              <w:pStyle w:val="Tabletext"/>
            </w:pPr>
            <w:r>
              <w:t>Total</w:t>
            </w:r>
          </w:p>
        </w:tc>
        <w:tc>
          <w:tcPr>
            <w:tcW w:w="3561" w:type="dxa"/>
            <w:vAlign w:val="center"/>
          </w:tcPr>
          <w:p w:rsidR="00691662" w:rsidRDefault="00691662" w:rsidP="00E960F1">
            <w:pPr>
              <w:pStyle w:val="Tabletext"/>
              <w:jc w:val="right"/>
            </w:pPr>
            <w:r>
              <w:t>100%</w:t>
            </w:r>
          </w:p>
        </w:tc>
        <w:tc>
          <w:tcPr>
            <w:tcW w:w="3561" w:type="dxa"/>
            <w:vAlign w:val="center"/>
          </w:tcPr>
          <w:p w:rsidR="00691662" w:rsidRDefault="00691662" w:rsidP="00E960F1">
            <w:pPr>
              <w:pStyle w:val="Tabletext"/>
              <w:jc w:val="right"/>
            </w:pPr>
            <w:r>
              <w:t>100%</w:t>
            </w:r>
          </w:p>
        </w:tc>
      </w:tr>
    </w:tbl>
    <w:p w:rsidR="0085303A" w:rsidRDefault="00982F9F" w:rsidP="00257F90">
      <w:pPr>
        <w:pStyle w:val="Heading2"/>
      </w:pPr>
      <w:bookmarkStart w:id="27" w:name="_Toc427590858"/>
      <w:r>
        <w:t>Injuries by age</w:t>
      </w:r>
      <w:bookmarkEnd w:id="27"/>
    </w:p>
    <w:p w:rsidR="0085303A" w:rsidRPr="0085303A" w:rsidRDefault="0085303A" w:rsidP="00513A50">
      <w:pPr>
        <w:pStyle w:val="BodyText1"/>
      </w:pPr>
      <w:r w:rsidRPr="0085303A">
        <w:t>Table 20 shows the profile of serious claims by age is broadly similar to the profile of employees by age. The slight differences result in incidence rates of injury ranging from 58.6 injuries per 1000 workers aged 25–34 years to 73.5 for workers aged 35–44 years.</w:t>
      </w:r>
    </w:p>
    <w:p w:rsidR="0085303A" w:rsidRDefault="0085303A" w:rsidP="00DC2AAB">
      <w:pPr>
        <w:pStyle w:val="Tableheading"/>
      </w:pPr>
      <w:r>
        <w:t xml:space="preserve">Table 20: Work-related injuries in the construction industry: Proportion of claims, workers and incidence rate, 2009–10 </w:t>
      </w:r>
    </w:p>
    <w:tbl>
      <w:tblPr>
        <w:tblStyle w:val="TableGrid"/>
        <w:tblW w:w="0" w:type="auto"/>
        <w:tblLook w:val="04A0" w:firstRow="1" w:lastRow="0" w:firstColumn="1" w:lastColumn="0" w:noHBand="0" w:noVBand="1"/>
        <w:tblCaption w:val="Table 20: Work-related injuries in the construction industry: Proportion of claims, workers and incidence rate, 2009–10 "/>
        <w:tblDescription w:val="Shows the proportion of injuries, proportion of workers and the incidence rates by age groups in the construction industry."/>
      </w:tblPr>
      <w:tblGrid>
        <w:gridCol w:w="2670"/>
        <w:gridCol w:w="2670"/>
        <w:gridCol w:w="2671"/>
        <w:gridCol w:w="2671"/>
      </w:tblGrid>
      <w:tr w:rsidR="00691662" w:rsidTr="00715413">
        <w:trPr>
          <w:tblHeader/>
        </w:trPr>
        <w:tc>
          <w:tcPr>
            <w:tcW w:w="2670" w:type="dxa"/>
            <w:shd w:val="clear" w:color="auto" w:fill="D9D9D9" w:themeFill="background1" w:themeFillShade="D9"/>
            <w:vAlign w:val="center"/>
          </w:tcPr>
          <w:p w:rsidR="00691662" w:rsidRDefault="00691662" w:rsidP="00881DE0">
            <w:pPr>
              <w:pStyle w:val="Tableheaderrow"/>
              <w:jc w:val="left"/>
            </w:pPr>
            <w:r>
              <w:t>Age group</w:t>
            </w:r>
          </w:p>
        </w:tc>
        <w:tc>
          <w:tcPr>
            <w:tcW w:w="2670" w:type="dxa"/>
            <w:shd w:val="clear" w:color="auto" w:fill="D9D9D9" w:themeFill="background1" w:themeFillShade="D9"/>
            <w:vAlign w:val="center"/>
          </w:tcPr>
          <w:p w:rsidR="00691662" w:rsidRDefault="00691662" w:rsidP="00E960F1">
            <w:pPr>
              <w:pStyle w:val="Tableheaderrow"/>
              <w:jc w:val="right"/>
            </w:pPr>
            <w:r>
              <w:t>% of injuries</w:t>
            </w:r>
          </w:p>
        </w:tc>
        <w:tc>
          <w:tcPr>
            <w:tcW w:w="2671" w:type="dxa"/>
            <w:shd w:val="clear" w:color="auto" w:fill="D9D9D9" w:themeFill="background1" w:themeFillShade="D9"/>
            <w:vAlign w:val="center"/>
          </w:tcPr>
          <w:p w:rsidR="00691662" w:rsidRDefault="00691662" w:rsidP="00E960F1">
            <w:pPr>
              <w:pStyle w:val="Tableheaderrow"/>
              <w:jc w:val="right"/>
            </w:pPr>
            <w:r>
              <w:t>% of workers</w:t>
            </w:r>
          </w:p>
        </w:tc>
        <w:tc>
          <w:tcPr>
            <w:tcW w:w="2671" w:type="dxa"/>
            <w:shd w:val="clear" w:color="auto" w:fill="D9D9D9" w:themeFill="background1" w:themeFillShade="D9"/>
            <w:vAlign w:val="center"/>
          </w:tcPr>
          <w:p w:rsidR="00691662" w:rsidRDefault="00691662" w:rsidP="00E960F1">
            <w:pPr>
              <w:pStyle w:val="Tableheaderrow"/>
              <w:jc w:val="right"/>
            </w:pPr>
            <w:r>
              <w:t>Incidence rate</w:t>
            </w:r>
            <w:r>
              <w:br/>
              <w:t xml:space="preserve"> (injuries per 1000 workers)</w:t>
            </w:r>
          </w:p>
        </w:tc>
      </w:tr>
      <w:tr w:rsidR="00691662" w:rsidTr="00E960F1">
        <w:tc>
          <w:tcPr>
            <w:tcW w:w="2670" w:type="dxa"/>
          </w:tcPr>
          <w:p w:rsidR="00691662" w:rsidRDefault="00691662" w:rsidP="00691662">
            <w:pPr>
              <w:pStyle w:val="Tabletext"/>
            </w:pPr>
            <w:r>
              <w:t>Less than 25 years</w:t>
            </w:r>
          </w:p>
        </w:tc>
        <w:tc>
          <w:tcPr>
            <w:tcW w:w="2670" w:type="dxa"/>
            <w:vAlign w:val="center"/>
          </w:tcPr>
          <w:p w:rsidR="00691662" w:rsidRDefault="00691662" w:rsidP="00E960F1">
            <w:pPr>
              <w:pStyle w:val="Tabletext"/>
              <w:jc w:val="right"/>
            </w:pPr>
            <w:r>
              <w:t>19%</w:t>
            </w:r>
          </w:p>
        </w:tc>
        <w:tc>
          <w:tcPr>
            <w:tcW w:w="2671" w:type="dxa"/>
            <w:vAlign w:val="center"/>
          </w:tcPr>
          <w:p w:rsidR="00691662" w:rsidRDefault="00691662" w:rsidP="00E960F1">
            <w:pPr>
              <w:pStyle w:val="Tabletext"/>
              <w:jc w:val="right"/>
            </w:pPr>
            <w:r>
              <w:t>17%</w:t>
            </w:r>
          </w:p>
        </w:tc>
        <w:tc>
          <w:tcPr>
            <w:tcW w:w="2671" w:type="dxa"/>
            <w:vAlign w:val="center"/>
          </w:tcPr>
          <w:p w:rsidR="00691662" w:rsidRDefault="00691662" w:rsidP="00E960F1">
            <w:pPr>
              <w:pStyle w:val="Tabletext"/>
              <w:jc w:val="right"/>
            </w:pPr>
            <w:r>
              <w:t>67.3</w:t>
            </w:r>
          </w:p>
        </w:tc>
      </w:tr>
      <w:tr w:rsidR="00691662" w:rsidTr="00E960F1">
        <w:tc>
          <w:tcPr>
            <w:tcW w:w="2670" w:type="dxa"/>
          </w:tcPr>
          <w:p w:rsidR="00691662" w:rsidRDefault="00691662" w:rsidP="00691662">
            <w:pPr>
              <w:pStyle w:val="Tabletext"/>
            </w:pPr>
            <w:r>
              <w:t>25-34 years</w:t>
            </w:r>
          </w:p>
        </w:tc>
        <w:tc>
          <w:tcPr>
            <w:tcW w:w="2670" w:type="dxa"/>
            <w:vAlign w:val="center"/>
          </w:tcPr>
          <w:p w:rsidR="00691662" w:rsidRDefault="00691662" w:rsidP="00E960F1">
            <w:pPr>
              <w:pStyle w:val="Tabletext"/>
              <w:jc w:val="right"/>
            </w:pPr>
            <w:r>
              <w:t>23%</w:t>
            </w:r>
          </w:p>
        </w:tc>
        <w:tc>
          <w:tcPr>
            <w:tcW w:w="2671" w:type="dxa"/>
            <w:vAlign w:val="center"/>
          </w:tcPr>
          <w:p w:rsidR="00691662" w:rsidRDefault="00691662" w:rsidP="00E960F1">
            <w:pPr>
              <w:pStyle w:val="Tabletext"/>
              <w:jc w:val="right"/>
            </w:pPr>
            <w:r>
              <w:t>23%</w:t>
            </w:r>
          </w:p>
        </w:tc>
        <w:tc>
          <w:tcPr>
            <w:tcW w:w="2671" w:type="dxa"/>
            <w:vAlign w:val="center"/>
          </w:tcPr>
          <w:p w:rsidR="00691662" w:rsidRDefault="00691662" w:rsidP="00E960F1">
            <w:pPr>
              <w:pStyle w:val="Tabletext"/>
              <w:jc w:val="right"/>
            </w:pPr>
            <w:r>
              <w:t>58.6</w:t>
            </w:r>
          </w:p>
        </w:tc>
      </w:tr>
      <w:tr w:rsidR="00691662" w:rsidTr="00E960F1">
        <w:tc>
          <w:tcPr>
            <w:tcW w:w="2670" w:type="dxa"/>
          </w:tcPr>
          <w:p w:rsidR="00691662" w:rsidRDefault="00691662" w:rsidP="00691662">
            <w:pPr>
              <w:pStyle w:val="Tabletext"/>
            </w:pPr>
            <w:r>
              <w:t>35-44 years</w:t>
            </w:r>
          </w:p>
        </w:tc>
        <w:tc>
          <w:tcPr>
            <w:tcW w:w="2670" w:type="dxa"/>
            <w:vAlign w:val="center"/>
          </w:tcPr>
          <w:p w:rsidR="00691662" w:rsidRDefault="00691662" w:rsidP="00E960F1">
            <w:pPr>
              <w:pStyle w:val="Tabletext"/>
              <w:jc w:val="right"/>
            </w:pPr>
            <w:r>
              <w:t>28%</w:t>
            </w:r>
          </w:p>
        </w:tc>
        <w:tc>
          <w:tcPr>
            <w:tcW w:w="2671" w:type="dxa"/>
            <w:vAlign w:val="center"/>
          </w:tcPr>
          <w:p w:rsidR="00691662" w:rsidRDefault="00691662" w:rsidP="00E960F1">
            <w:pPr>
              <w:pStyle w:val="Tabletext"/>
              <w:jc w:val="right"/>
            </w:pPr>
            <w:r>
              <w:t>23%</w:t>
            </w:r>
          </w:p>
        </w:tc>
        <w:tc>
          <w:tcPr>
            <w:tcW w:w="2671" w:type="dxa"/>
            <w:vAlign w:val="center"/>
          </w:tcPr>
          <w:p w:rsidR="00691662" w:rsidRDefault="00691662" w:rsidP="00E960F1">
            <w:pPr>
              <w:pStyle w:val="Tabletext"/>
              <w:jc w:val="right"/>
            </w:pPr>
            <w:r>
              <w:t>73.5</w:t>
            </w:r>
          </w:p>
        </w:tc>
      </w:tr>
      <w:tr w:rsidR="00691662" w:rsidTr="00E960F1">
        <w:tc>
          <w:tcPr>
            <w:tcW w:w="2670" w:type="dxa"/>
          </w:tcPr>
          <w:p w:rsidR="00691662" w:rsidRDefault="00691662" w:rsidP="00691662">
            <w:pPr>
              <w:pStyle w:val="Tabletext"/>
            </w:pPr>
            <w:r>
              <w:t>45-54 years</w:t>
            </w:r>
          </w:p>
        </w:tc>
        <w:tc>
          <w:tcPr>
            <w:tcW w:w="2670" w:type="dxa"/>
            <w:vAlign w:val="center"/>
          </w:tcPr>
          <w:p w:rsidR="00691662" w:rsidRDefault="00691662" w:rsidP="00E960F1">
            <w:pPr>
              <w:pStyle w:val="Tabletext"/>
              <w:jc w:val="right"/>
            </w:pPr>
            <w:r>
              <w:t>22%</w:t>
            </w:r>
          </w:p>
        </w:tc>
        <w:tc>
          <w:tcPr>
            <w:tcW w:w="2671" w:type="dxa"/>
            <w:vAlign w:val="center"/>
          </w:tcPr>
          <w:p w:rsidR="00691662" w:rsidRDefault="00691662" w:rsidP="00E960F1">
            <w:pPr>
              <w:pStyle w:val="Tabletext"/>
              <w:jc w:val="right"/>
            </w:pPr>
            <w:r>
              <w:t>21%</w:t>
            </w:r>
          </w:p>
        </w:tc>
        <w:tc>
          <w:tcPr>
            <w:tcW w:w="2671" w:type="dxa"/>
            <w:vAlign w:val="center"/>
          </w:tcPr>
          <w:p w:rsidR="00691662" w:rsidRDefault="00691662" w:rsidP="00E960F1">
            <w:pPr>
              <w:pStyle w:val="Tabletext"/>
              <w:jc w:val="right"/>
            </w:pPr>
            <w:r>
              <w:t>62.2</w:t>
            </w:r>
          </w:p>
        </w:tc>
      </w:tr>
      <w:tr w:rsidR="00691662" w:rsidTr="00E960F1">
        <w:tc>
          <w:tcPr>
            <w:tcW w:w="2670" w:type="dxa"/>
          </w:tcPr>
          <w:p w:rsidR="00691662" w:rsidRDefault="00691662" w:rsidP="00691662">
            <w:pPr>
              <w:pStyle w:val="Tabletext"/>
            </w:pPr>
            <w:r>
              <w:t>Total (incl</w:t>
            </w:r>
            <w:r w:rsidR="006D1161">
              <w:t>.</w:t>
            </w:r>
            <w:r>
              <w:t xml:space="preserve"> over 55 years)</w:t>
            </w:r>
          </w:p>
        </w:tc>
        <w:tc>
          <w:tcPr>
            <w:tcW w:w="2670" w:type="dxa"/>
            <w:vAlign w:val="center"/>
          </w:tcPr>
          <w:p w:rsidR="00691662" w:rsidRDefault="00691662" w:rsidP="00E960F1">
            <w:pPr>
              <w:pStyle w:val="Tabletext"/>
              <w:jc w:val="right"/>
            </w:pPr>
            <w:r>
              <w:t>100%</w:t>
            </w:r>
          </w:p>
        </w:tc>
        <w:tc>
          <w:tcPr>
            <w:tcW w:w="2671" w:type="dxa"/>
            <w:vAlign w:val="center"/>
          </w:tcPr>
          <w:p w:rsidR="00691662" w:rsidRDefault="00691662" w:rsidP="00E960F1">
            <w:pPr>
              <w:pStyle w:val="Tabletext"/>
              <w:jc w:val="right"/>
            </w:pPr>
            <w:r>
              <w:t>100%</w:t>
            </w:r>
          </w:p>
        </w:tc>
        <w:tc>
          <w:tcPr>
            <w:tcW w:w="2671" w:type="dxa"/>
            <w:vAlign w:val="center"/>
          </w:tcPr>
          <w:p w:rsidR="00691662" w:rsidRDefault="00691662" w:rsidP="00E960F1">
            <w:pPr>
              <w:pStyle w:val="Tabletext"/>
              <w:jc w:val="right"/>
            </w:pPr>
            <w:r>
              <w:t>59.2</w:t>
            </w:r>
          </w:p>
        </w:tc>
      </w:tr>
    </w:tbl>
    <w:p w:rsidR="0085303A" w:rsidRDefault="0085303A" w:rsidP="0085303A"/>
    <w:p w:rsidR="008D72B2" w:rsidRDefault="008D72B2">
      <w:pPr>
        <w:rPr>
          <w:rFonts w:ascii="Arial" w:eastAsiaTheme="majorEastAsia" w:hAnsi="Arial" w:cs="Arial"/>
          <w:b/>
          <w:bCs/>
          <w:color w:val="0070C0"/>
          <w:sz w:val="36"/>
          <w:szCs w:val="26"/>
          <w:lang w:val="en-US"/>
        </w:rPr>
      </w:pPr>
      <w:r>
        <w:br w:type="page"/>
      </w:r>
    </w:p>
    <w:p w:rsidR="0085303A" w:rsidRDefault="00982F9F" w:rsidP="00257F90">
      <w:pPr>
        <w:pStyle w:val="Heading2"/>
      </w:pPr>
      <w:bookmarkStart w:id="28" w:name="_Toc427590859"/>
      <w:r>
        <w:t>Type of injury</w:t>
      </w:r>
      <w:bookmarkEnd w:id="28"/>
    </w:p>
    <w:p w:rsidR="0085303A" w:rsidRDefault="0085303A" w:rsidP="0085303A"/>
    <w:p w:rsidR="0085303A" w:rsidRDefault="0085303A" w:rsidP="00513A50">
      <w:pPr>
        <w:pStyle w:val="BodyText1"/>
      </w:pPr>
      <w:r w:rsidRPr="0085303A">
        <w:t>Table 21 shows the types of injuries incurred by construction workers was different to the pattern for all workers. In the construction industry 31% of injuries involved cut or open wound which is nearly twice the proportion for all workers (16%). This was followed by sprain or strain (21%) and chronic joint or muscle condition (16%).</w:t>
      </w:r>
    </w:p>
    <w:p w:rsidR="0085303A" w:rsidRPr="0085303A" w:rsidRDefault="0085303A" w:rsidP="00DC2AAB">
      <w:pPr>
        <w:pStyle w:val="Tableheading"/>
      </w:pPr>
      <w:r>
        <w:t xml:space="preserve">Table 21: </w:t>
      </w:r>
      <w:r w:rsidRPr="0085303A">
        <w:t xml:space="preserve">Work-related injuries: Proportion for the construction industry and all industries by type of injury, 2009–10 </w:t>
      </w:r>
    </w:p>
    <w:tbl>
      <w:tblPr>
        <w:tblStyle w:val="TableGrid"/>
        <w:tblW w:w="0" w:type="auto"/>
        <w:tblLook w:val="04A0" w:firstRow="1" w:lastRow="0" w:firstColumn="1" w:lastColumn="0" w:noHBand="0" w:noVBand="1"/>
        <w:tblCaption w:val="Table 21: Work-related injuries: Proportion for the construction industry and all industries by type of injury, 2009–10 "/>
        <w:tblDescription w:val="Table 21 shows the types of injuries incurred by construction workers was different to the pattern for all workers."/>
      </w:tblPr>
      <w:tblGrid>
        <w:gridCol w:w="3560"/>
        <w:gridCol w:w="3561"/>
        <w:gridCol w:w="3561"/>
      </w:tblGrid>
      <w:tr w:rsidR="00881DE0" w:rsidTr="00715413">
        <w:trPr>
          <w:trHeight w:val="283"/>
          <w:tblHeader/>
        </w:trPr>
        <w:tc>
          <w:tcPr>
            <w:tcW w:w="3560" w:type="dxa"/>
            <w:shd w:val="clear" w:color="auto" w:fill="D9D9D9" w:themeFill="background1" w:themeFillShade="D9"/>
            <w:vAlign w:val="center"/>
          </w:tcPr>
          <w:p w:rsidR="00881DE0" w:rsidRDefault="00881DE0" w:rsidP="00881DE0">
            <w:pPr>
              <w:pStyle w:val="Tableheaderrow"/>
              <w:jc w:val="left"/>
            </w:pPr>
            <w:r>
              <w:t>Most recent work-related injury</w:t>
            </w:r>
          </w:p>
        </w:tc>
        <w:tc>
          <w:tcPr>
            <w:tcW w:w="3561" w:type="dxa"/>
            <w:shd w:val="clear" w:color="auto" w:fill="D9D9D9" w:themeFill="background1" w:themeFillShade="D9"/>
            <w:vAlign w:val="center"/>
          </w:tcPr>
          <w:p w:rsidR="00881DE0" w:rsidRDefault="00881DE0" w:rsidP="00E960F1">
            <w:pPr>
              <w:pStyle w:val="Tableheaderrow"/>
              <w:jc w:val="right"/>
            </w:pPr>
            <w:r>
              <w:t>Construction</w:t>
            </w:r>
          </w:p>
        </w:tc>
        <w:tc>
          <w:tcPr>
            <w:tcW w:w="3561" w:type="dxa"/>
            <w:shd w:val="clear" w:color="auto" w:fill="D9D9D9" w:themeFill="background1" w:themeFillShade="D9"/>
            <w:vAlign w:val="center"/>
          </w:tcPr>
          <w:p w:rsidR="00881DE0" w:rsidRDefault="00881DE0" w:rsidP="00E960F1">
            <w:pPr>
              <w:pStyle w:val="Tableheaderrow"/>
              <w:jc w:val="right"/>
            </w:pPr>
            <w:r>
              <w:t>All industries</w:t>
            </w:r>
          </w:p>
        </w:tc>
      </w:tr>
      <w:tr w:rsidR="00881DE0" w:rsidTr="00E960F1">
        <w:tc>
          <w:tcPr>
            <w:tcW w:w="3560" w:type="dxa"/>
          </w:tcPr>
          <w:p w:rsidR="00881DE0" w:rsidRDefault="00881DE0" w:rsidP="00881DE0">
            <w:pPr>
              <w:pStyle w:val="Tabletext"/>
            </w:pPr>
            <w:r>
              <w:t>Cut/open wound</w:t>
            </w:r>
          </w:p>
        </w:tc>
        <w:tc>
          <w:tcPr>
            <w:tcW w:w="3561" w:type="dxa"/>
            <w:vAlign w:val="center"/>
          </w:tcPr>
          <w:p w:rsidR="00881DE0" w:rsidRDefault="00881DE0" w:rsidP="00E960F1">
            <w:pPr>
              <w:pStyle w:val="Tabletext"/>
              <w:jc w:val="right"/>
            </w:pPr>
            <w:r>
              <w:t>31%</w:t>
            </w:r>
          </w:p>
        </w:tc>
        <w:tc>
          <w:tcPr>
            <w:tcW w:w="3561" w:type="dxa"/>
            <w:vAlign w:val="center"/>
          </w:tcPr>
          <w:p w:rsidR="00881DE0" w:rsidRDefault="00881DE0" w:rsidP="00E960F1">
            <w:pPr>
              <w:pStyle w:val="Tabletext"/>
              <w:jc w:val="right"/>
            </w:pPr>
            <w:r>
              <w:t>16%</w:t>
            </w:r>
          </w:p>
        </w:tc>
      </w:tr>
      <w:tr w:rsidR="00881DE0" w:rsidTr="00E960F1">
        <w:tc>
          <w:tcPr>
            <w:tcW w:w="3560" w:type="dxa"/>
          </w:tcPr>
          <w:p w:rsidR="00881DE0" w:rsidRDefault="00881DE0" w:rsidP="00881DE0">
            <w:pPr>
              <w:pStyle w:val="Tabletext"/>
            </w:pPr>
            <w:r>
              <w:t>Sprain/strain</w:t>
            </w:r>
          </w:p>
        </w:tc>
        <w:tc>
          <w:tcPr>
            <w:tcW w:w="3561" w:type="dxa"/>
            <w:vAlign w:val="center"/>
          </w:tcPr>
          <w:p w:rsidR="00881DE0" w:rsidRDefault="00881DE0" w:rsidP="00E960F1">
            <w:pPr>
              <w:pStyle w:val="Tabletext"/>
              <w:jc w:val="right"/>
            </w:pPr>
            <w:r>
              <w:t>21%</w:t>
            </w:r>
          </w:p>
        </w:tc>
        <w:tc>
          <w:tcPr>
            <w:tcW w:w="3561" w:type="dxa"/>
            <w:vAlign w:val="center"/>
          </w:tcPr>
          <w:p w:rsidR="00881DE0" w:rsidRDefault="00881DE0" w:rsidP="00E960F1">
            <w:pPr>
              <w:pStyle w:val="Tabletext"/>
              <w:jc w:val="right"/>
            </w:pPr>
            <w:r>
              <w:t>30%</w:t>
            </w:r>
          </w:p>
        </w:tc>
      </w:tr>
      <w:tr w:rsidR="00881DE0" w:rsidTr="00E960F1">
        <w:tc>
          <w:tcPr>
            <w:tcW w:w="3560" w:type="dxa"/>
          </w:tcPr>
          <w:p w:rsidR="00881DE0" w:rsidRDefault="00881DE0" w:rsidP="00881DE0">
            <w:pPr>
              <w:pStyle w:val="Tabletext"/>
            </w:pPr>
            <w:r>
              <w:t>Chronic joint or muscle condition</w:t>
            </w:r>
          </w:p>
        </w:tc>
        <w:tc>
          <w:tcPr>
            <w:tcW w:w="3561" w:type="dxa"/>
            <w:vAlign w:val="center"/>
          </w:tcPr>
          <w:p w:rsidR="00881DE0" w:rsidRDefault="00881DE0" w:rsidP="00E960F1">
            <w:pPr>
              <w:pStyle w:val="Tabletext"/>
              <w:jc w:val="right"/>
            </w:pPr>
            <w:r>
              <w:t>16%</w:t>
            </w:r>
          </w:p>
        </w:tc>
        <w:tc>
          <w:tcPr>
            <w:tcW w:w="3561" w:type="dxa"/>
            <w:vAlign w:val="center"/>
          </w:tcPr>
          <w:p w:rsidR="00881DE0" w:rsidRDefault="00881DE0" w:rsidP="00E960F1">
            <w:pPr>
              <w:pStyle w:val="Tabletext"/>
              <w:jc w:val="right"/>
            </w:pPr>
            <w:r>
              <w:t>18%</w:t>
            </w:r>
          </w:p>
        </w:tc>
      </w:tr>
      <w:tr w:rsidR="00881DE0" w:rsidTr="00E960F1">
        <w:tc>
          <w:tcPr>
            <w:tcW w:w="3560" w:type="dxa"/>
          </w:tcPr>
          <w:p w:rsidR="00881DE0" w:rsidRDefault="00881DE0" w:rsidP="00881DE0">
            <w:pPr>
              <w:pStyle w:val="Tabletext"/>
            </w:pPr>
            <w:r>
              <w:t>Fracture</w:t>
            </w:r>
          </w:p>
        </w:tc>
        <w:tc>
          <w:tcPr>
            <w:tcW w:w="3561" w:type="dxa"/>
            <w:vAlign w:val="center"/>
          </w:tcPr>
          <w:p w:rsidR="00881DE0" w:rsidRDefault="00881DE0" w:rsidP="00E960F1">
            <w:pPr>
              <w:pStyle w:val="Tabletext"/>
              <w:jc w:val="right"/>
            </w:pPr>
            <w:r>
              <w:t>10%</w:t>
            </w:r>
          </w:p>
        </w:tc>
        <w:tc>
          <w:tcPr>
            <w:tcW w:w="3561" w:type="dxa"/>
            <w:vAlign w:val="center"/>
          </w:tcPr>
          <w:p w:rsidR="00881DE0" w:rsidRDefault="00881DE0" w:rsidP="00E960F1">
            <w:pPr>
              <w:pStyle w:val="Tabletext"/>
              <w:jc w:val="right"/>
            </w:pPr>
            <w:r>
              <w:t>7%</w:t>
            </w:r>
          </w:p>
        </w:tc>
      </w:tr>
      <w:tr w:rsidR="00881DE0" w:rsidTr="00E960F1">
        <w:tc>
          <w:tcPr>
            <w:tcW w:w="3560" w:type="dxa"/>
          </w:tcPr>
          <w:p w:rsidR="00881DE0" w:rsidRDefault="00881DE0" w:rsidP="00881DE0">
            <w:pPr>
              <w:pStyle w:val="Tabletext"/>
            </w:pPr>
            <w:r>
              <w:t>Other type of injury</w:t>
            </w:r>
          </w:p>
        </w:tc>
        <w:tc>
          <w:tcPr>
            <w:tcW w:w="3561" w:type="dxa"/>
            <w:vAlign w:val="center"/>
          </w:tcPr>
          <w:p w:rsidR="00881DE0" w:rsidRDefault="00881DE0" w:rsidP="00E960F1">
            <w:pPr>
              <w:pStyle w:val="Tabletext"/>
              <w:jc w:val="right"/>
            </w:pPr>
            <w:r>
              <w:t>22%</w:t>
            </w:r>
          </w:p>
        </w:tc>
        <w:tc>
          <w:tcPr>
            <w:tcW w:w="3561" w:type="dxa"/>
            <w:vAlign w:val="center"/>
          </w:tcPr>
          <w:p w:rsidR="00881DE0" w:rsidRDefault="00881DE0" w:rsidP="00E960F1">
            <w:pPr>
              <w:pStyle w:val="Tabletext"/>
              <w:jc w:val="right"/>
            </w:pPr>
            <w:r>
              <w:t>29%</w:t>
            </w:r>
          </w:p>
        </w:tc>
      </w:tr>
      <w:tr w:rsidR="00881DE0" w:rsidTr="00E960F1">
        <w:tc>
          <w:tcPr>
            <w:tcW w:w="3560" w:type="dxa"/>
          </w:tcPr>
          <w:p w:rsidR="00881DE0" w:rsidRDefault="00881DE0" w:rsidP="00881DE0">
            <w:pPr>
              <w:pStyle w:val="Tabletext"/>
            </w:pPr>
            <w:r>
              <w:t>Total</w:t>
            </w:r>
          </w:p>
        </w:tc>
        <w:tc>
          <w:tcPr>
            <w:tcW w:w="3561" w:type="dxa"/>
            <w:vAlign w:val="center"/>
          </w:tcPr>
          <w:p w:rsidR="00881DE0" w:rsidRDefault="00881DE0" w:rsidP="00E960F1">
            <w:pPr>
              <w:pStyle w:val="Tabletext"/>
              <w:jc w:val="right"/>
            </w:pPr>
            <w:r>
              <w:t>100%</w:t>
            </w:r>
          </w:p>
        </w:tc>
        <w:tc>
          <w:tcPr>
            <w:tcW w:w="3561" w:type="dxa"/>
            <w:vAlign w:val="center"/>
          </w:tcPr>
          <w:p w:rsidR="00881DE0" w:rsidRDefault="00881DE0" w:rsidP="00E960F1">
            <w:pPr>
              <w:pStyle w:val="Tabletext"/>
              <w:jc w:val="right"/>
            </w:pPr>
            <w:r>
              <w:t>100%</w:t>
            </w:r>
          </w:p>
        </w:tc>
      </w:tr>
    </w:tbl>
    <w:p w:rsidR="0085303A" w:rsidRDefault="00982F9F" w:rsidP="00257F90">
      <w:pPr>
        <w:pStyle w:val="Heading2"/>
      </w:pPr>
      <w:bookmarkStart w:id="29" w:name="_Toc427590860"/>
      <w:r>
        <w:t>Injuries by employment status</w:t>
      </w:r>
      <w:bookmarkEnd w:id="29"/>
    </w:p>
    <w:p w:rsidR="0085303A" w:rsidRDefault="0085303A" w:rsidP="00513A50">
      <w:pPr>
        <w:pStyle w:val="BodyText1"/>
      </w:pPr>
      <w:r w:rsidRPr="0085303A">
        <w:t>Table 22 shows employees of construction companies had a 52% higher incidence rate of injury compared with self-employed workers (employers/own account workers) in the construction industry. This proportion was similar to the all industries proportion in which employees had an injury rate 71% higher than self-employed workers</w:t>
      </w:r>
      <w:r>
        <w:t>.</w:t>
      </w:r>
    </w:p>
    <w:p w:rsidR="0085303A" w:rsidRDefault="0085303A" w:rsidP="00DC2AAB">
      <w:pPr>
        <w:pStyle w:val="Tableheading"/>
      </w:pPr>
      <w:r>
        <w:t xml:space="preserve">Table 22: Work-related injuries: Proportion for the construction industry and all industries by employment status, 2009–10 </w:t>
      </w:r>
    </w:p>
    <w:tbl>
      <w:tblPr>
        <w:tblStyle w:val="TableGrid"/>
        <w:tblW w:w="0" w:type="auto"/>
        <w:tblLook w:val="04A0" w:firstRow="1" w:lastRow="0" w:firstColumn="1" w:lastColumn="0" w:noHBand="0" w:noVBand="1"/>
        <w:tblCaption w:val="Table 22: Work-related injuries: Proportion for the construction industry and all industries by employment status, 2009–10 "/>
        <w:tblDescription w:val="Table shows the proportion of work-related injuries in construction and all industries by employment status."/>
      </w:tblPr>
      <w:tblGrid>
        <w:gridCol w:w="3560"/>
        <w:gridCol w:w="3561"/>
        <w:gridCol w:w="3561"/>
      </w:tblGrid>
      <w:tr w:rsidR="00881DE0" w:rsidTr="00715413">
        <w:trPr>
          <w:trHeight w:val="283"/>
          <w:tblHeader/>
        </w:trPr>
        <w:tc>
          <w:tcPr>
            <w:tcW w:w="3560" w:type="dxa"/>
            <w:shd w:val="clear" w:color="auto" w:fill="D9D9D9" w:themeFill="background1" w:themeFillShade="D9"/>
            <w:vAlign w:val="center"/>
          </w:tcPr>
          <w:p w:rsidR="00881DE0" w:rsidRDefault="00881DE0" w:rsidP="00881DE0">
            <w:pPr>
              <w:pStyle w:val="Tableheaderrow"/>
              <w:jc w:val="left"/>
            </w:pPr>
            <w:r>
              <w:t>Status in employment of job</w:t>
            </w:r>
          </w:p>
        </w:tc>
        <w:tc>
          <w:tcPr>
            <w:tcW w:w="3561" w:type="dxa"/>
            <w:shd w:val="clear" w:color="auto" w:fill="D9D9D9" w:themeFill="background1" w:themeFillShade="D9"/>
            <w:vAlign w:val="center"/>
          </w:tcPr>
          <w:p w:rsidR="00881DE0" w:rsidRDefault="00881DE0" w:rsidP="00E960F1">
            <w:pPr>
              <w:pStyle w:val="Tableheaderrow"/>
              <w:jc w:val="right"/>
            </w:pPr>
            <w:r>
              <w:t>Construction</w:t>
            </w:r>
          </w:p>
        </w:tc>
        <w:tc>
          <w:tcPr>
            <w:tcW w:w="3561" w:type="dxa"/>
            <w:shd w:val="clear" w:color="auto" w:fill="D9D9D9" w:themeFill="background1" w:themeFillShade="D9"/>
            <w:vAlign w:val="center"/>
          </w:tcPr>
          <w:p w:rsidR="00881DE0" w:rsidRDefault="00881DE0" w:rsidP="00E960F1">
            <w:pPr>
              <w:pStyle w:val="Tableheaderrow"/>
              <w:jc w:val="right"/>
            </w:pPr>
            <w:r>
              <w:t>All industries</w:t>
            </w:r>
          </w:p>
        </w:tc>
      </w:tr>
      <w:tr w:rsidR="00881DE0" w:rsidTr="00E960F1">
        <w:trPr>
          <w:trHeight w:val="283"/>
        </w:trPr>
        <w:tc>
          <w:tcPr>
            <w:tcW w:w="3560" w:type="dxa"/>
          </w:tcPr>
          <w:p w:rsidR="00881DE0" w:rsidRDefault="00881DE0" w:rsidP="00881DE0">
            <w:pPr>
              <w:pStyle w:val="Tabletext"/>
            </w:pPr>
            <w:r>
              <w:t>Employees</w:t>
            </w:r>
          </w:p>
        </w:tc>
        <w:tc>
          <w:tcPr>
            <w:tcW w:w="3561" w:type="dxa"/>
            <w:vAlign w:val="center"/>
          </w:tcPr>
          <w:p w:rsidR="00881DE0" w:rsidRDefault="00881DE0" w:rsidP="00E960F1">
            <w:pPr>
              <w:pStyle w:val="Tabletext"/>
              <w:jc w:val="right"/>
            </w:pPr>
            <w:r>
              <w:t>65.4</w:t>
            </w:r>
          </w:p>
        </w:tc>
        <w:tc>
          <w:tcPr>
            <w:tcW w:w="3561" w:type="dxa"/>
            <w:vAlign w:val="center"/>
          </w:tcPr>
          <w:p w:rsidR="00881DE0" w:rsidRDefault="00881DE0" w:rsidP="00E960F1">
            <w:pPr>
              <w:pStyle w:val="Tabletext"/>
              <w:jc w:val="right"/>
            </w:pPr>
            <w:r>
              <w:t>60.8</w:t>
            </w:r>
          </w:p>
        </w:tc>
      </w:tr>
      <w:tr w:rsidR="00881DE0" w:rsidTr="00E960F1">
        <w:trPr>
          <w:trHeight w:val="283"/>
        </w:trPr>
        <w:tc>
          <w:tcPr>
            <w:tcW w:w="3560" w:type="dxa"/>
          </w:tcPr>
          <w:p w:rsidR="00881DE0" w:rsidRDefault="00881DE0" w:rsidP="00881DE0">
            <w:pPr>
              <w:pStyle w:val="Tabletext"/>
            </w:pPr>
            <w:r>
              <w:t>Employers/own account workers</w:t>
            </w:r>
          </w:p>
        </w:tc>
        <w:tc>
          <w:tcPr>
            <w:tcW w:w="3561" w:type="dxa"/>
            <w:vAlign w:val="center"/>
          </w:tcPr>
          <w:p w:rsidR="00881DE0" w:rsidRDefault="00881DE0" w:rsidP="00E960F1">
            <w:pPr>
              <w:pStyle w:val="Tabletext"/>
              <w:jc w:val="right"/>
            </w:pPr>
            <w:r>
              <w:t>42.9</w:t>
            </w:r>
          </w:p>
        </w:tc>
        <w:tc>
          <w:tcPr>
            <w:tcW w:w="3561" w:type="dxa"/>
            <w:vAlign w:val="center"/>
          </w:tcPr>
          <w:p w:rsidR="00881DE0" w:rsidRDefault="00881DE0" w:rsidP="00E960F1">
            <w:pPr>
              <w:pStyle w:val="Tabletext"/>
              <w:jc w:val="right"/>
            </w:pPr>
            <w:r>
              <w:t>35.5</w:t>
            </w:r>
          </w:p>
        </w:tc>
      </w:tr>
      <w:tr w:rsidR="00881DE0" w:rsidTr="00E960F1">
        <w:trPr>
          <w:trHeight w:val="283"/>
        </w:trPr>
        <w:tc>
          <w:tcPr>
            <w:tcW w:w="3560" w:type="dxa"/>
          </w:tcPr>
          <w:p w:rsidR="00881DE0" w:rsidRDefault="00881DE0" w:rsidP="00881DE0">
            <w:pPr>
              <w:pStyle w:val="Tabletext"/>
            </w:pPr>
            <w:r>
              <w:t>Total</w:t>
            </w:r>
          </w:p>
        </w:tc>
        <w:tc>
          <w:tcPr>
            <w:tcW w:w="3561" w:type="dxa"/>
            <w:vAlign w:val="center"/>
          </w:tcPr>
          <w:p w:rsidR="00881DE0" w:rsidRDefault="00881DE0" w:rsidP="00E960F1">
            <w:pPr>
              <w:pStyle w:val="Tabletext"/>
              <w:jc w:val="right"/>
            </w:pPr>
            <w:r>
              <w:t>59.2</w:t>
            </w:r>
          </w:p>
        </w:tc>
        <w:tc>
          <w:tcPr>
            <w:tcW w:w="3561" w:type="dxa"/>
            <w:vAlign w:val="center"/>
          </w:tcPr>
          <w:p w:rsidR="00881DE0" w:rsidRDefault="00881DE0" w:rsidP="00E960F1">
            <w:pPr>
              <w:pStyle w:val="Tabletext"/>
              <w:jc w:val="right"/>
            </w:pPr>
            <w:r>
              <w:t>57.9</w:t>
            </w:r>
          </w:p>
        </w:tc>
      </w:tr>
    </w:tbl>
    <w:p w:rsidR="0085303A" w:rsidRDefault="00982F9F" w:rsidP="00257F90">
      <w:pPr>
        <w:pStyle w:val="Heading2"/>
      </w:pPr>
      <w:bookmarkStart w:id="30" w:name="_Toc427590861"/>
      <w:r>
        <w:t>How the injury occurred</w:t>
      </w:r>
      <w:bookmarkEnd w:id="30"/>
    </w:p>
    <w:p w:rsidR="0085303A" w:rsidRDefault="0085303A" w:rsidP="00513A50">
      <w:pPr>
        <w:pStyle w:val="BodyText1"/>
      </w:pPr>
      <w:r w:rsidRPr="0085303A">
        <w:t>Table 23 shows around one-third (31%) of the injuries incurred in the construction industry were the result of hitting or being hit by an object and a further one-third (30%) from lifting, pushing or pulling an object. Falls accounted for 22% of injuries. These percentages are all higher than the all industries percentages.</w:t>
      </w:r>
    </w:p>
    <w:p w:rsidR="0085303A" w:rsidRPr="0085303A" w:rsidRDefault="0085303A" w:rsidP="00DC2AAB">
      <w:pPr>
        <w:pStyle w:val="Tableheading"/>
      </w:pPr>
      <w:r>
        <w:t xml:space="preserve">Table 23: </w:t>
      </w:r>
      <w:r w:rsidRPr="0085303A">
        <w:t>Work-related injuries: Proportion for the construction industry and all industries by type of injury, 2009–10</w:t>
      </w:r>
    </w:p>
    <w:tbl>
      <w:tblPr>
        <w:tblStyle w:val="TableGrid"/>
        <w:tblW w:w="0" w:type="auto"/>
        <w:tblLook w:val="04A0" w:firstRow="1" w:lastRow="0" w:firstColumn="1" w:lastColumn="0" w:noHBand="0" w:noVBand="1"/>
        <w:tblCaption w:val="Table 23: Work-related injuries: Proportion for the construction industry and all industries by type of injury, 2009–10"/>
        <w:tblDescription w:val="Table shows how injuries occurred in construction industry and all industries."/>
      </w:tblPr>
      <w:tblGrid>
        <w:gridCol w:w="3560"/>
        <w:gridCol w:w="3561"/>
        <w:gridCol w:w="3561"/>
      </w:tblGrid>
      <w:tr w:rsidR="00881DE0" w:rsidTr="00715413">
        <w:trPr>
          <w:trHeight w:val="283"/>
          <w:tblHeader/>
        </w:trPr>
        <w:tc>
          <w:tcPr>
            <w:tcW w:w="3560" w:type="dxa"/>
            <w:shd w:val="clear" w:color="auto" w:fill="D9D9D9" w:themeFill="background1" w:themeFillShade="D9"/>
            <w:vAlign w:val="center"/>
          </w:tcPr>
          <w:p w:rsidR="00881DE0" w:rsidRDefault="009B5D0D" w:rsidP="009B5D0D">
            <w:pPr>
              <w:pStyle w:val="Tableheaderrow"/>
              <w:jc w:val="left"/>
            </w:pPr>
            <w:r>
              <w:t>How injury occurred</w:t>
            </w:r>
          </w:p>
        </w:tc>
        <w:tc>
          <w:tcPr>
            <w:tcW w:w="3561" w:type="dxa"/>
            <w:shd w:val="clear" w:color="auto" w:fill="D9D9D9" w:themeFill="background1" w:themeFillShade="D9"/>
            <w:vAlign w:val="center"/>
          </w:tcPr>
          <w:p w:rsidR="00881DE0" w:rsidRDefault="009B5D0D" w:rsidP="00E960F1">
            <w:pPr>
              <w:pStyle w:val="Tableheaderrow"/>
              <w:jc w:val="right"/>
            </w:pPr>
            <w:r>
              <w:t>Construction</w:t>
            </w:r>
          </w:p>
        </w:tc>
        <w:tc>
          <w:tcPr>
            <w:tcW w:w="3561" w:type="dxa"/>
            <w:shd w:val="clear" w:color="auto" w:fill="D9D9D9" w:themeFill="background1" w:themeFillShade="D9"/>
            <w:vAlign w:val="center"/>
          </w:tcPr>
          <w:p w:rsidR="00881DE0" w:rsidRDefault="009B5D0D" w:rsidP="00E960F1">
            <w:pPr>
              <w:pStyle w:val="Tableheaderrow"/>
              <w:jc w:val="right"/>
            </w:pPr>
            <w:r>
              <w:t>All industries</w:t>
            </w:r>
          </w:p>
        </w:tc>
      </w:tr>
      <w:tr w:rsidR="00881DE0" w:rsidTr="00E960F1">
        <w:trPr>
          <w:trHeight w:val="283"/>
        </w:trPr>
        <w:tc>
          <w:tcPr>
            <w:tcW w:w="3560" w:type="dxa"/>
          </w:tcPr>
          <w:p w:rsidR="00881DE0" w:rsidRDefault="009B5D0D" w:rsidP="00881DE0">
            <w:pPr>
              <w:pStyle w:val="Tabletext"/>
            </w:pPr>
            <w:r>
              <w:t>Hitting or being hit by an object</w:t>
            </w:r>
          </w:p>
        </w:tc>
        <w:tc>
          <w:tcPr>
            <w:tcW w:w="3561" w:type="dxa"/>
            <w:vAlign w:val="center"/>
          </w:tcPr>
          <w:p w:rsidR="00881DE0" w:rsidRDefault="009B5D0D" w:rsidP="00E960F1">
            <w:pPr>
              <w:pStyle w:val="Tabletext"/>
              <w:jc w:val="right"/>
            </w:pPr>
            <w:r>
              <w:t>31%</w:t>
            </w:r>
          </w:p>
        </w:tc>
        <w:tc>
          <w:tcPr>
            <w:tcW w:w="3561" w:type="dxa"/>
            <w:vAlign w:val="center"/>
          </w:tcPr>
          <w:p w:rsidR="00881DE0" w:rsidRDefault="009B5D0D" w:rsidP="00E960F1">
            <w:pPr>
              <w:pStyle w:val="Tabletext"/>
              <w:jc w:val="right"/>
            </w:pPr>
            <w:r>
              <w:t>24%</w:t>
            </w:r>
          </w:p>
        </w:tc>
      </w:tr>
      <w:tr w:rsidR="00881DE0" w:rsidTr="00E960F1">
        <w:trPr>
          <w:trHeight w:val="283"/>
        </w:trPr>
        <w:tc>
          <w:tcPr>
            <w:tcW w:w="3560" w:type="dxa"/>
          </w:tcPr>
          <w:p w:rsidR="00881DE0" w:rsidRDefault="009B5D0D" w:rsidP="00881DE0">
            <w:pPr>
              <w:pStyle w:val="Tabletext"/>
            </w:pPr>
            <w:r>
              <w:t>Lifting, pushing or pulling object</w:t>
            </w:r>
          </w:p>
        </w:tc>
        <w:tc>
          <w:tcPr>
            <w:tcW w:w="3561" w:type="dxa"/>
            <w:vAlign w:val="center"/>
          </w:tcPr>
          <w:p w:rsidR="00881DE0" w:rsidRDefault="009B5D0D" w:rsidP="00E960F1">
            <w:pPr>
              <w:pStyle w:val="Tabletext"/>
              <w:jc w:val="right"/>
            </w:pPr>
            <w:r>
              <w:t>30%</w:t>
            </w:r>
          </w:p>
        </w:tc>
        <w:tc>
          <w:tcPr>
            <w:tcW w:w="3561" w:type="dxa"/>
            <w:vAlign w:val="center"/>
          </w:tcPr>
          <w:p w:rsidR="00881DE0" w:rsidRDefault="009B5D0D" w:rsidP="00E960F1">
            <w:pPr>
              <w:pStyle w:val="Tabletext"/>
              <w:jc w:val="right"/>
            </w:pPr>
            <w:r>
              <w:t>27%</w:t>
            </w:r>
          </w:p>
        </w:tc>
      </w:tr>
      <w:tr w:rsidR="00881DE0" w:rsidTr="00E960F1">
        <w:trPr>
          <w:trHeight w:val="283"/>
        </w:trPr>
        <w:tc>
          <w:tcPr>
            <w:tcW w:w="3560" w:type="dxa"/>
          </w:tcPr>
          <w:p w:rsidR="00881DE0" w:rsidRDefault="009B5D0D" w:rsidP="00881DE0">
            <w:pPr>
              <w:pStyle w:val="Tabletext"/>
            </w:pPr>
            <w:r>
              <w:t>Falls</w:t>
            </w:r>
          </w:p>
        </w:tc>
        <w:tc>
          <w:tcPr>
            <w:tcW w:w="3561" w:type="dxa"/>
            <w:vAlign w:val="center"/>
          </w:tcPr>
          <w:p w:rsidR="00881DE0" w:rsidRDefault="009B5D0D" w:rsidP="00E960F1">
            <w:pPr>
              <w:pStyle w:val="Tabletext"/>
              <w:jc w:val="right"/>
            </w:pPr>
            <w:r>
              <w:t>22%</w:t>
            </w:r>
          </w:p>
        </w:tc>
        <w:tc>
          <w:tcPr>
            <w:tcW w:w="3561" w:type="dxa"/>
            <w:vAlign w:val="center"/>
          </w:tcPr>
          <w:p w:rsidR="00881DE0" w:rsidRDefault="009B5D0D" w:rsidP="00E960F1">
            <w:pPr>
              <w:pStyle w:val="Tabletext"/>
              <w:jc w:val="right"/>
            </w:pPr>
            <w:r>
              <w:t>17%</w:t>
            </w:r>
          </w:p>
        </w:tc>
      </w:tr>
      <w:tr w:rsidR="00881DE0" w:rsidTr="00E960F1">
        <w:trPr>
          <w:trHeight w:val="283"/>
        </w:trPr>
        <w:tc>
          <w:tcPr>
            <w:tcW w:w="3560" w:type="dxa"/>
          </w:tcPr>
          <w:p w:rsidR="00881DE0" w:rsidRDefault="009B5D0D" w:rsidP="00881DE0">
            <w:pPr>
              <w:pStyle w:val="Tabletext"/>
            </w:pPr>
            <w:r>
              <w:t>Other</w:t>
            </w:r>
          </w:p>
        </w:tc>
        <w:tc>
          <w:tcPr>
            <w:tcW w:w="3561" w:type="dxa"/>
            <w:vAlign w:val="center"/>
          </w:tcPr>
          <w:p w:rsidR="00881DE0" w:rsidRDefault="009B5D0D" w:rsidP="00E960F1">
            <w:pPr>
              <w:pStyle w:val="Tabletext"/>
              <w:jc w:val="right"/>
            </w:pPr>
            <w:r>
              <w:t>48%</w:t>
            </w:r>
          </w:p>
        </w:tc>
        <w:tc>
          <w:tcPr>
            <w:tcW w:w="3561" w:type="dxa"/>
            <w:vAlign w:val="center"/>
          </w:tcPr>
          <w:p w:rsidR="00881DE0" w:rsidRDefault="009B5D0D" w:rsidP="00E960F1">
            <w:pPr>
              <w:pStyle w:val="Tabletext"/>
              <w:jc w:val="right"/>
            </w:pPr>
            <w:r>
              <w:t>55%</w:t>
            </w:r>
          </w:p>
        </w:tc>
      </w:tr>
      <w:tr w:rsidR="00881DE0" w:rsidTr="00E960F1">
        <w:trPr>
          <w:trHeight w:val="283"/>
        </w:trPr>
        <w:tc>
          <w:tcPr>
            <w:tcW w:w="3560" w:type="dxa"/>
          </w:tcPr>
          <w:p w:rsidR="00881DE0" w:rsidRDefault="009B5D0D" w:rsidP="00881DE0">
            <w:pPr>
              <w:pStyle w:val="Tabletext"/>
            </w:pPr>
            <w:r>
              <w:t>Total</w:t>
            </w:r>
          </w:p>
        </w:tc>
        <w:tc>
          <w:tcPr>
            <w:tcW w:w="3561" w:type="dxa"/>
            <w:vAlign w:val="center"/>
          </w:tcPr>
          <w:p w:rsidR="00881DE0" w:rsidRDefault="009B5D0D" w:rsidP="00E960F1">
            <w:pPr>
              <w:pStyle w:val="Tabletext"/>
              <w:jc w:val="right"/>
            </w:pPr>
            <w:r>
              <w:t>100%</w:t>
            </w:r>
          </w:p>
        </w:tc>
        <w:tc>
          <w:tcPr>
            <w:tcW w:w="3561" w:type="dxa"/>
            <w:vAlign w:val="center"/>
          </w:tcPr>
          <w:p w:rsidR="00881DE0" w:rsidRDefault="009B5D0D" w:rsidP="00E960F1">
            <w:pPr>
              <w:pStyle w:val="Tabletext"/>
              <w:jc w:val="right"/>
            </w:pPr>
            <w:r>
              <w:t>100%</w:t>
            </w:r>
          </w:p>
        </w:tc>
      </w:tr>
    </w:tbl>
    <w:p w:rsidR="008D72B2" w:rsidRDefault="008D72B2" w:rsidP="008D72B2">
      <w:pPr>
        <w:rPr>
          <w:rFonts w:ascii="Arial" w:eastAsiaTheme="majorEastAsia" w:hAnsi="Arial" w:cs="Arial"/>
          <w:color w:val="0070C0"/>
          <w:sz w:val="36"/>
          <w:szCs w:val="26"/>
          <w:lang w:val="en-US"/>
        </w:rPr>
      </w:pPr>
      <w:r>
        <w:br w:type="page"/>
      </w:r>
    </w:p>
    <w:p w:rsidR="0085303A" w:rsidRDefault="009B5D0D" w:rsidP="00257F90">
      <w:pPr>
        <w:pStyle w:val="Heading2"/>
      </w:pPr>
      <w:bookmarkStart w:id="31" w:name="_Toc427590862"/>
      <w:r>
        <w:t>Injuries by workers’ compensation status</w:t>
      </w:r>
      <w:bookmarkEnd w:id="31"/>
    </w:p>
    <w:p w:rsidR="0085303A" w:rsidRDefault="0085303A" w:rsidP="00513A50">
      <w:pPr>
        <w:pStyle w:val="BodyText1"/>
      </w:pPr>
      <w:r w:rsidRPr="0085303A">
        <w:t>Table 24 shows 65% of construction workers did not apply for workers’ compensation following an injury at work. Some of this is explained by the fact that within the construction industry 24% of workers are self-employed and hence not eligible for workers’ compensation. Workers generally do not apply for workers’ compensation when their time lost is low. Table 19 showed 47% of injuries involved no time off work or less than one day.</w:t>
      </w:r>
    </w:p>
    <w:p w:rsidR="0085303A" w:rsidRPr="0085303A" w:rsidRDefault="0085303A" w:rsidP="00DC2AAB">
      <w:pPr>
        <w:pStyle w:val="Tableheading"/>
      </w:pPr>
      <w:r>
        <w:t xml:space="preserve">Table 24: </w:t>
      </w:r>
      <w:r w:rsidRPr="0085303A">
        <w:t xml:space="preserve">Work-related injuries: Proportion for the construction industry and all industries by workers’ compensation status, 2009–10 </w:t>
      </w:r>
    </w:p>
    <w:tbl>
      <w:tblPr>
        <w:tblStyle w:val="TableGrid"/>
        <w:tblW w:w="0" w:type="auto"/>
        <w:tblLook w:val="04A0" w:firstRow="1" w:lastRow="0" w:firstColumn="1" w:lastColumn="0" w:noHBand="0" w:noVBand="1"/>
        <w:tblCaption w:val="Table 24: Work-related injuries: Proportion for the construction industry and all industries by workers’ compensation status, 2009–10"/>
        <w:tblDescription w:val="Table shows the proportion of workers in the construction industry and all industries who did or did not apply for workers' compensation."/>
      </w:tblPr>
      <w:tblGrid>
        <w:gridCol w:w="3560"/>
        <w:gridCol w:w="3561"/>
        <w:gridCol w:w="3561"/>
      </w:tblGrid>
      <w:tr w:rsidR="009B5D0D" w:rsidTr="00715413">
        <w:trPr>
          <w:trHeight w:val="283"/>
          <w:tblHeader/>
        </w:trPr>
        <w:tc>
          <w:tcPr>
            <w:tcW w:w="3560" w:type="dxa"/>
            <w:shd w:val="clear" w:color="auto" w:fill="D9D9D9" w:themeFill="background1" w:themeFillShade="D9"/>
            <w:vAlign w:val="center"/>
          </w:tcPr>
          <w:p w:rsidR="009B5D0D" w:rsidRDefault="009B5D0D" w:rsidP="009B5D0D">
            <w:pPr>
              <w:pStyle w:val="Tableheaderrow"/>
              <w:jc w:val="left"/>
            </w:pPr>
            <w:r>
              <w:t>Workers’ compensation status</w:t>
            </w:r>
          </w:p>
        </w:tc>
        <w:tc>
          <w:tcPr>
            <w:tcW w:w="3561" w:type="dxa"/>
            <w:shd w:val="clear" w:color="auto" w:fill="D9D9D9" w:themeFill="background1" w:themeFillShade="D9"/>
            <w:vAlign w:val="center"/>
          </w:tcPr>
          <w:p w:rsidR="009B5D0D" w:rsidRDefault="009B5D0D" w:rsidP="00E960F1">
            <w:pPr>
              <w:pStyle w:val="Tableheaderrow"/>
              <w:jc w:val="right"/>
            </w:pPr>
            <w:r>
              <w:t>Construction</w:t>
            </w:r>
          </w:p>
        </w:tc>
        <w:tc>
          <w:tcPr>
            <w:tcW w:w="3561" w:type="dxa"/>
            <w:shd w:val="clear" w:color="auto" w:fill="D9D9D9" w:themeFill="background1" w:themeFillShade="D9"/>
            <w:vAlign w:val="center"/>
          </w:tcPr>
          <w:p w:rsidR="009B5D0D" w:rsidRDefault="009B5D0D" w:rsidP="00E960F1">
            <w:pPr>
              <w:pStyle w:val="Tableheaderrow"/>
              <w:jc w:val="right"/>
            </w:pPr>
            <w:r>
              <w:t>All industries</w:t>
            </w:r>
          </w:p>
        </w:tc>
      </w:tr>
      <w:tr w:rsidR="009B5D0D" w:rsidTr="00E960F1">
        <w:trPr>
          <w:trHeight w:val="283"/>
        </w:trPr>
        <w:tc>
          <w:tcPr>
            <w:tcW w:w="3560" w:type="dxa"/>
          </w:tcPr>
          <w:p w:rsidR="009B5D0D" w:rsidRDefault="009B5D0D" w:rsidP="009B5D0D">
            <w:pPr>
              <w:pStyle w:val="Tabletext"/>
            </w:pPr>
            <w:r>
              <w:t>Did not apply for workers’ compensation</w:t>
            </w:r>
          </w:p>
        </w:tc>
        <w:tc>
          <w:tcPr>
            <w:tcW w:w="3561" w:type="dxa"/>
            <w:vAlign w:val="center"/>
          </w:tcPr>
          <w:p w:rsidR="009B5D0D" w:rsidRDefault="009B5D0D" w:rsidP="00E960F1">
            <w:pPr>
              <w:pStyle w:val="Tabletext"/>
              <w:jc w:val="right"/>
            </w:pPr>
            <w:r>
              <w:t>65%</w:t>
            </w:r>
          </w:p>
        </w:tc>
        <w:tc>
          <w:tcPr>
            <w:tcW w:w="3561" w:type="dxa"/>
            <w:vAlign w:val="center"/>
          </w:tcPr>
          <w:p w:rsidR="009B5D0D" w:rsidRDefault="009B5D0D" w:rsidP="00E960F1">
            <w:pPr>
              <w:pStyle w:val="Tabletext"/>
              <w:jc w:val="right"/>
            </w:pPr>
            <w:r>
              <w:t>59%</w:t>
            </w:r>
          </w:p>
        </w:tc>
      </w:tr>
      <w:tr w:rsidR="009B5D0D" w:rsidTr="00E960F1">
        <w:trPr>
          <w:trHeight w:val="283"/>
        </w:trPr>
        <w:tc>
          <w:tcPr>
            <w:tcW w:w="3560" w:type="dxa"/>
          </w:tcPr>
          <w:p w:rsidR="009B5D0D" w:rsidRDefault="009B5D0D" w:rsidP="009B5D0D">
            <w:pPr>
              <w:pStyle w:val="Tabletext"/>
            </w:pPr>
            <w:r>
              <w:t>Applied for workers’ compensation</w:t>
            </w:r>
          </w:p>
        </w:tc>
        <w:tc>
          <w:tcPr>
            <w:tcW w:w="3561" w:type="dxa"/>
            <w:vAlign w:val="center"/>
          </w:tcPr>
          <w:p w:rsidR="009B5D0D" w:rsidRDefault="009B5D0D" w:rsidP="00E960F1">
            <w:pPr>
              <w:pStyle w:val="Tabletext"/>
              <w:jc w:val="right"/>
            </w:pPr>
            <w:r>
              <w:t>35%</w:t>
            </w:r>
          </w:p>
        </w:tc>
        <w:tc>
          <w:tcPr>
            <w:tcW w:w="3561" w:type="dxa"/>
            <w:vAlign w:val="center"/>
          </w:tcPr>
          <w:p w:rsidR="009B5D0D" w:rsidRDefault="009B5D0D" w:rsidP="00E960F1">
            <w:pPr>
              <w:pStyle w:val="Tabletext"/>
              <w:jc w:val="right"/>
            </w:pPr>
            <w:r>
              <w:t>41%</w:t>
            </w:r>
          </w:p>
        </w:tc>
      </w:tr>
      <w:tr w:rsidR="009B5D0D" w:rsidTr="00E960F1">
        <w:trPr>
          <w:trHeight w:val="283"/>
        </w:trPr>
        <w:tc>
          <w:tcPr>
            <w:tcW w:w="3560" w:type="dxa"/>
          </w:tcPr>
          <w:p w:rsidR="009B5D0D" w:rsidRDefault="009B5D0D" w:rsidP="009B5D0D">
            <w:pPr>
              <w:pStyle w:val="Tabletext"/>
            </w:pPr>
            <w:r>
              <w:t>Total</w:t>
            </w:r>
          </w:p>
        </w:tc>
        <w:tc>
          <w:tcPr>
            <w:tcW w:w="3561" w:type="dxa"/>
            <w:vAlign w:val="center"/>
          </w:tcPr>
          <w:p w:rsidR="009B5D0D" w:rsidRDefault="009B5D0D" w:rsidP="00E960F1">
            <w:pPr>
              <w:pStyle w:val="Tabletext"/>
              <w:jc w:val="right"/>
            </w:pPr>
            <w:r>
              <w:t>100%</w:t>
            </w:r>
          </w:p>
        </w:tc>
        <w:tc>
          <w:tcPr>
            <w:tcW w:w="3561" w:type="dxa"/>
            <w:vAlign w:val="center"/>
          </w:tcPr>
          <w:p w:rsidR="009B5D0D" w:rsidRDefault="009B5D0D" w:rsidP="00E960F1">
            <w:pPr>
              <w:pStyle w:val="Tabletext"/>
              <w:jc w:val="right"/>
            </w:pPr>
            <w:r>
              <w:t>100%</w:t>
            </w:r>
          </w:p>
        </w:tc>
      </w:tr>
    </w:tbl>
    <w:p w:rsidR="0085303A" w:rsidRDefault="0085303A" w:rsidP="0085303A"/>
    <w:p w:rsidR="0085303A" w:rsidRDefault="0085303A">
      <w:r>
        <w:br w:type="page"/>
      </w:r>
    </w:p>
    <w:p w:rsidR="0085303A" w:rsidRPr="009B5D0D" w:rsidRDefault="009B5D0D" w:rsidP="001F42A8">
      <w:pPr>
        <w:pStyle w:val="Heading1"/>
      </w:pPr>
      <w:bookmarkStart w:id="32" w:name="_Toc427590863"/>
      <w:r w:rsidRPr="009B5D0D">
        <w:t>Worker’s compensation claims</w:t>
      </w:r>
      <w:bookmarkEnd w:id="32"/>
    </w:p>
    <w:p w:rsidR="0085303A" w:rsidRDefault="009B5D0D" w:rsidP="00257F90">
      <w:pPr>
        <w:pStyle w:val="Heading2"/>
      </w:pPr>
      <w:bookmarkStart w:id="33" w:name="_Toc427590864"/>
      <w:r>
        <w:t>Number and incidence rates</w:t>
      </w:r>
      <w:bookmarkEnd w:id="33"/>
    </w:p>
    <w:p w:rsidR="0085303A" w:rsidRPr="0085303A" w:rsidRDefault="0085303A" w:rsidP="00513A50">
      <w:pPr>
        <w:pStyle w:val="BodyText1"/>
      </w:pPr>
      <w:r w:rsidRPr="0085303A">
        <w:t>Workers’ compensation is available to employees of businesses who are injured or contract an illness while at work. Workers’ compensation is generally not available to self-employed workers. In 2013, 76% of construction workers were classed as employees. The data in this section relate to employees with a serious workers’ compensation claim. The data should not be used to represent the whole of the construction industry as self-employed workers work in different areas to employees and are exposed to different risks.</w:t>
      </w:r>
    </w:p>
    <w:p w:rsidR="0085303A" w:rsidRDefault="0085303A" w:rsidP="00513A50">
      <w:pPr>
        <w:pStyle w:val="BodyText1"/>
      </w:pPr>
      <w:r w:rsidRPr="0085303A">
        <w:t xml:space="preserve">A serious claim is one where a compensation payment for one or more weeks off work was made. In 2011–12, 12 600 employees made a serious workers’ compensation claim. </w:t>
      </w:r>
    </w:p>
    <w:p w:rsidR="0085303A" w:rsidRDefault="0085303A" w:rsidP="00513A50">
      <w:pPr>
        <w:pStyle w:val="BodyText1"/>
      </w:pPr>
      <w:r w:rsidRPr="0085303A">
        <w:t>Over the period from 2001–02 to 2011–12 the number of employees covered for workers’ compensation in the construction industry grew 62% while the number of serious claims grew 13%. This resulted in a 31% fall in the incidence rate of serious claims from 25.2 serious claims per 1000 employees in 2001–02 to 17.5 in 2011–12 (Figure 7). The preliminary data for 2012–13 (denoted by the letter ‘p’ and is shown as a broken line in figures throughout this report) indicates a continuing decline (17.0).</w:t>
      </w:r>
    </w:p>
    <w:p w:rsidR="009B5D0D" w:rsidRDefault="009B5D0D" w:rsidP="009B5D0D">
      <w:pPr>
        <w:pStyle w:val="Figureheadings"/>
      </w:pPr>
      <w:r>
        <w:t>Figure 7: Serious cla</w:t>
      </w:r>
      <w:r w:rsidR="008A70F8">
        <w:t>ims in the construction industry: number and incidence rate</w:t>
      </w:r>
      <w:r>
        <w:t>, 2001–02 to 2011–12</w:t>
      </w:r>
    </w:p>
    <w:p w:rsidR="009B5D0D" w:rsidRPr="0085303A" w:rsidRDefault="008A70F8" w:rsidP="00513A50">
      <w:pPr>
        <w:pStyle w:val="BodyText1"/>
        <w:rPr>
          <w:spacing w:val="-2"/>
        </w:rPr>
      </w:pPr>
      <w:r>
        <w:rPr>
          <w:noProof/>
          <w:lang w:val="en-AU"/>
        </w:rPr>
        <w:drawing>
          <wp:inline distT="0" distB="0" distL="0" distR="0" wp14:anchorId="5E1EB744" wp14:editId="5B69931A">
            <wp:extent cx="5760000" cy="2152650"/>
            <wp:effectExtent l="0" t="0" r="0" b="0"/>
            <wp:docPr id="7" name="Chart 7" descr="Graph of Worker fatalities by number and incidence rate" title="Figure 7: Serious claims in the construction industry: number and incidence rate, 2001–02 to 201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C620A" w:rsidRDefault="009B5D0D" w:rsidP="00257F90">
      <w:pPr>
        <w:pStyle w:val="Heading2"/>
      </w:pPr>
      <w:bookmarkStart w:id="34" w:name="_Toc427590865"/>
      <w:r>
        <w:t>Typical costs and time off work</w:t>
      </w:r>
      <w:bookmarkEnd w:id="34"/>
    </w:p>
    <w:p w:rsidR="00CC620A" w:rsidRPr="00CC620A" w:rsidRDefault="00CC620A" w:rsidP="00513A50">
      <w:pPr>
        <w:pStyle w:val="BodyText1"/>
      </w:pPr>
      <w:r w:rsidRPr="00CC620A">
        <w:t xml:space="preserve">In 2011–12 a typical serious claim in the construction industry involved 6.4 working weeks off work and a median compensation payment of $11 000. Medians for the preliminary year are not reported because some claims remain open and the time lost and associated payments can increase. </w:t>
      </w:r>
    </w:p>
    <w:p w:rsidR="00CC620A" w:rsidRPr="00CC620A" w:rsidRDefault="00CC620A" w:rsidP="00513A50">
      <w:pPr>
        <w:pStyle w:val="BodyText1"/>
        <w:rPr>
          <w:spacing w:val="-2"/>
        </w:rPr>
      </w:pPr>
      <w:r w:rsidRPr="00CC620A">
        <w:t>Median compensation payments are affected by the amount of time off work, the wages or salary of the injured employee and the cost of medical treatment and rehabilitation. Figure 8 shows the amount of time off work has been increasing steadily since 2003–04 when a typical claim involved 4.6 weeks off work. Since 2003–04 the amount of time off work following a work-related injury or illness has increased 39%.</w:t>
      </w:r>
    </w:p>
    <w:p w:rsidR="008D72B2" w:rsidRDefault="008D72B2">
      <w:pPr>
        <w:rPr>
          <w:rFonts w:ascii="Arial" w:hAnsi="Arial" w:cs="Arial"/>
          <w:color w:val="00B050"/>
          <w:lang w:val="en-US"/>
        </w:rPr>
      </w:pPr>
      <w:r>
        <w:br w:type="page"/>
      </w:r>
    </w:p>
    <w:p w:rsidR="00CC620A" w:rsidRDefault="00CC620A" w:rsidP="009B5D0D">
      <w:pPr>
        <w:pStyle w:val="Figureheadings"/>
      </w:pPr>
      <w:r>
        <w:t>Figure 8: Serious claims in the construction industry: median time off from work and median compensation paid per claim, 2001–02 to 2011–12</w:t>
      </w:r>
    </w:p>
    <w:p w:rsidR="009B5D0D" w:rsidRDefault="008A70F8" w:rsidP="00513A50">
      <w:pPr>
        <w:pStyle w:val="BodyText1"/>
        <w:rPr>
          <w:spacing w:val="-2"/>
        </w:rPr>
      </w:pPr>
      <w:r>
        <w:rPr>
          <w:noProof/>
          <w:lang w:val="en-AU"/>
        </w:rPr>
        <w:drawing>
          <wp:inline distT="0" distB="0" distL="0" distR="0" wp14:anchorId="7C3D3FC2" wp14:editId="54C3E438">
            <wp:extent cx="5760000" cy="2152650"/>
            <wp:effectExtent l="0" t="0" r="0" b="0"/>
            <wp:docPr id="8" name="Chart 8" descr="Graph of Worker fatalities by number and incidence rate" title="Figure 8: Serious claims in the construction industry: median time off from work and median compensation paid per claim, 2001–02 to 201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C620A" w:rsidRPr="00CC620A" w:rsidRDefault="00CC620A" w:rsidP="00513A50">
      <w:pPr>
        <w:pStyle w:val="BodyText1"/>
      </w:pPr>
      <w:r w:rsidRPr="00CC620A">
        <w:rPr>
          <w:spacing w:val="-2"/>
        </w:rPr>
        <w:t>Table 25 shows half (49%) the serious claims over the 2010–12</w:t>
      </w:r>
      <w:r w:rsidRPr="00CC620A">
        <w:t xml:space="preserve"> </w:t>
      </w:r>
      <w:proofErr w:type="gramStart"/>
      <w:r w:rsidRPr="00CC620A">
        <w:t>period</w:t>
      </w:r>
      <w:proofErr w:type="gramEnd"/>
      <w:r w:rsidRPr="00CC620A">
        <w:t xml:space="preserve"> involved between one and five weeks off work and these claims typically involved $3400 each in compensation paid. The median compensation payments rise significantly with longer periods of time off work.</w:t>
      </w:r>
    </w:p>
    <w:p w:rsidR="00CC620A" w:rsidRDefault="00CC620A" w:rsidP="009B5D0D">
      <w:pPr>
        <w:pStyle w:val="Tableheading"/>
      </w:pPr>
      <w:r>
        <w:t>Table 25: Serious claims in the construction industry: number and percentage of claims and median compensation paid by duration of absence, 2009–10 to 2011–12 combined</w:t>
      </w:r>
    </w:p>
    <w:tbl>
      <w:tblPr>
        <w:tblStyle w:val="TableGrid"/>
        <w:tblW w:w="0" w:type="auto"/>
        <w:tblLook w:val="04A0" w:firstRow="1" w:lastRow="0" w:firstColumn="1" w:lastColumn="0" w:noHBand="0" w:noVBand="1"/>
        <w:tblCaption w:val="Table 25: Serious claims in the construction industry: number and percentage of claims and median compensation paid by duration of absence, 2009–10 to 2011–12 combined"/>
        <w:tblDescription w:val="Table shows the number and percentage of claims and median compendation paid by the amount of time away from work."/>
      </w:tblPr>
      <w:tblGrid>
        <w:gridCol w:w="2670"/>
        <w:gridCol w:w="2670"/>
        <w:gridCol w:w="2671"/>
        <w:gridCol w:w="2671"/>
      </w:tblGrid>
      <w:tr w:rsidR="008A70F8" w:rsidTr="00715413">
        <w:trPr>
          <w:trHeight w:val="283"/>
          <w:tblHeader/>
        </w:trPr>
        <w:tc>
          <w:tcPr>
            <w:tcW w:w="2670" w:type="dxa"/>
            <w:shd w:val="clear" w:color="auto" w:fill="D9D9D9" w:themeFill="background1" w:themeFillShade="D9"/>
            <w:vAlign w:val="center"/>
          </w:tcPr>
          <w:p w:rsidR="008A70F8" w:rsidRPr="00741380" w:rsidRDefault="008A70F8" w:rsidP="008A70F8">
            <w:pPr>
              <w:pStyle w:val="Tableheaderrow"/>
              <w:jc w:val="left"/>
            </w:pPr>
            <w:r w:rsidRPr="00741380">
              <w:t>Duration of absence</w:t>
            </w:r>
          </w:p>
        </w:tc>
        <w:tc>
          <w:tcPr>
            <w:tcW w:w="2670" w:type="dxa"/>
            <w:shd w:val="clear" w:color="auto" w:fill="D9D9D9" w:themeFill="background1" w:themeFillShade="D9"/>
            <w:vAlign w:val="center"/>
          </w:tcPr>
          <w:p w:rsidR="008A70F8" w:rsidRPr="00741380" w:rsidRDefault="008A70F8" w:rsidP="00E960F1">
            <w:pPr>
              <w:pStyle w:val="Tableheaderrow"/>
              <w:jc w:val="right"/>
            </w:pPr>
            <w:r w:rsidRPr="00741380">
              <w:t>No. of claims</w:t>
            </w:r>
          </w:p>
        </w:tc>
        <w:tc>
          <w:tcPr>
            <w:tcW w:w="2671" w:type="dxa"/>
            <w:shd w:val="clear" w:color="auto" w:fill="D9D9D9" w:themeFill="background1" w:themeFillShade="D9"/>
            <w:vAlign w:val="center"/>
          </w:tcPr>
          <w:p w:rsidR="008A70F8" w:rsidRPr="00741380" w:rsidRDefault="008A70F8" w:rsidP="00E960F1">
            <w:pPr>
              <w:pStyle w:val="Tableheaderrow"/>
              <w:jc w:val="right"/>
            </w:pPr>
            <w:r w:rsidRPr="00741380">
              <w:t>%</w:t>
            </w:r>
          </w:p>
        </w:tc>
        <w:tc>
          <w:tcPr>
            <w:tcW w:w="2671" w:type="dxa"/>
            <w:shd w:val="clear" w:color="auto" w:fill="D9D9D9" w:themeFill="background1" w:themeFillShade="D9"/>
            <w:vAlign w:val="center"/>
          </w:tcPr>
          <w:p w:rsidR="008A70F8" w:rsidRPr="00741380" w:rsidRDefault="008A70F8" w:rsidP="00E960F1">
            <w:pPr>
              <w:pStyle w:val="Tableheaderrow"/>
              <w:jc w:val="right"/>
            </w:pPr>
            <w:r w:rsidRPr="00741380">
              <w:t xml:space="preserve">Median </w:t>
            </w:r>
            <w:r>
              <w:t>compensation paid</w:t>
            </w:r>
          </w:p>
        </w:tc>
      </w:tr>
      <w:tr w:rsidR="008A70F8" w:rsidTr="00E960F1">
        <w:trPr>
          <w:trHeight w:val="283"/>
        </w:trPr>
        <w:tc>
          <w:tcPr>
            <w:tcW w:w="2670" w:type="dxa"/>
          </w:tcPr>
          <w:p w:rsidR="008A70F8" w:rsidRPr="00741380" w:rsidRDefault="008A70F8" w:rsidP="008A70F8">
            <w:pPr>
              <w:pStyle w:val="Tabletext"/>
            </w:pPr>
            <w:r w:rsidRPr="00741380">
              <w:t>1 to 5 weeks</w:t>
            </w:r>
          </w:p>
        </w:tc>
        <w:tc>
          <w:tcPr>
            <w:tcW w:w="2670" w:type="dxa"/>
            <w:vAlign w:val="center"/>
          </w:tcPr>
          <w:p w:rsidR="008A70F8" w:rsidRPr="00741380" w:rsidRDefault="008A70F8" w:rsidP="00E960F1">
            <w:pPr>
              <w:pStyle w:val="Tabletext"/>
              <w:jc w:val="right"/>
            </w:pPr>
            <w:r w:rsidRPr="00741380">
              <w:t>18</w:t>
            </w:r>
            <w:r>
              <w:t xml:space="preserve"> </w:t>
            </w:r>
            <w:r w:rsidRPr="00741380">
              <w:t>320</w:t>
            </w:r>
          </w:p>
        </w:tc>
        <w:tc>
          <w:tcPr>
            <w:tcW w:w="2671" w:type="dxa"/>
            <w:vAlign w:val="center"/>
          </w:tcPr>
          <w:p w:rsidR="008A70F8" w:rsidRPr="00741380" w:rsidRDefault="008A70F8" w:rsidP="00E960F1">
            <w:pPr>
              <w:pStyle w:val="Tabletext"/>
              <w:jc w:val="right"/>
            </w:pPr>
            <w:r w:rsidRPr="00741380">
              <w:t>49%</w:t>
            </w:r>
          </w:p>
        </w:tc>
        <w:tc>
          <w:tcPr>
            <w:tcW w:w="2671" w:type="dxa"/>
            <w:vAlign w:val="center"/>
          </w:tcPr>
          <w:p w:rsidR="008A70F8" w:rsidRPr="00741380" w:rsidRDefault="008A70F8" w:rsidP="00E960F1">
            <w:pPr>
              <w:pStyle w:val="Tabletext"/>
              <w:jc w:val="right"/>
            </w:pPr>
            <w:r>
              <w:t xml:space="preserve">$3 </w:t>
            </w:r>
            <w:r w:rsidRPr="00741380">
              <w:t>400</w:t>
            </w:r>
          </w:p>
        </w:tc>
      </w:tr>
      <w:tr w:rsidR="008A70F8" w:rsidTr="00E960F1">
        <w:trPr>
          <w:trHeight w:val="283"/>
        </w:trPr>
        <w:tc>
          <w:tcPr>
            <w:tcW w:w="2670" w:type="dxa"/>
          </w:tcPr>
          <w:p w:rsidR="008A70F8" w:rsidRPr="00741380" w:rsidRDefault="008A70F8" w:rsidP="008A70F8">
            <w:pPr>
              <w:pStyle w:val="Tabletext"/>
            </w:pPr>
            <w:r w:rsidRPr="00741380">
              <w:t>6 to 11 weeks</w:t>
            </w:r>
          </w:p>
        </w:tc>
        <w:tc>
          <w:tcPr>
            <w:tcW w:w="2670" w:type="dxa"/>
            <w:vAlign w:val="center"/>
          </w:tcPr>
          <w:p w:rsidR="008A70F8" w:rsidRPr="00741380" w:rsidRDefault="008A70F8" w:rsidP="00E960F1">
            <w:pPr>
              <w:pStyle w:val="Tabletext"/>
              <w:jc w:val="right"/>
            </w:pPr>
            <w:r w:rsidRPr="00741380">
              <w:t>6</w:t>
            </w:r>
            <w:r>
              <w:t xml:space="preserve"> </w:t>
            </w:r>
            <w:r w:rsidRPr="00741380">
              <w:t>610</w:t>
            </w:r>
          </w:p>
        </w:tc>
        <w:tc>
          <w:tcPr>
            <w:tcW w:w="2671" w:type="dxa"/>
            <w:vAlign w:val="center"/>
          </w:tcPr>
          <w:p w:rsidR="008A70F8" w:rsidRPr="00741380" w:rsidRDefault="008A70F8" w:rsidP="00E960F1">
            <w:pPr>
              <w:pStyle w:val="Tabletext"/>
              <w:jc w:val="right"/>
            </w:pPr>
            <w:r w:rsidRPr="00741380">
              <w:t>18%</w:t>
            </w:r>
          </w:p>
        </w:tc>
        <w:tc>
          <w:tcPr>
            <w:tcW w:w="2671" w:type="dxa"/>
            <w:vAlign w:val="center"/>
          </w:tcPr>
          <w:p w:rsidR="008A70F8" w:rsidRPr="00741380" w:rsidRDefault="008A70F8" w:rsidP="00E960F1">
            <w:pPr>
              <w:pStyle w:val="Tabletext"/>
              <w:jc w:val="right"/>
            </w:pPr>
            <w:r>
              <w:t xml:space="preserve">$12 </w:t>
            </w:r>
            <w:r w:rsidRPr="00741380">
              <w:t>700</w:t>
            </w:r>
          </w:p>
        </w:tc>
      </w:tr>
      <w:tr w:rsidR="008A70F8" w:rsidTr="00E960F1">
        <w:trPr>
          <w:trHeight w:val="283"/>
        </w:trPr>
        <w:tc>
          <w:tcPr>
            <w:tcW w:w="2670" w:type="dxa"/>
          </w:tcPr>
          <w:p w:rsidR="008A70F8" w:rsidRPr="00741380" w:rsidRDefault="008A70F8" w:rsidP="008A70F8">
            <w:pPr>
              <w:pStyle w:val="Tabletext"/>
            </w:pPr>
            <w:r w:rsidRPr="00741380">
              <w:t>12 to 25 weeks</w:t>
            </w:r>
          </w:p>
        </w:tc>
        <w:tc>
          <w:tcPr>
            <w:tcW w:w="2670" w:type="dxa"/>
            <w:vAlign w:val="center"/>
          </w:tcPr>
          <w:p w:rsidR="008A70F8" w:rsidRPr="00741380" w:rsidRDefault="008A70F8" w:rsidP="00E960F1">
            <w:pPr>
              <w:pStyle w:val="Tabletext"/>
              <w:jc w:val="right"/>
            </w:pPr>
            <w:r w:rsidRPr="00741380">
              <w:t>5</w:t>
            </w:r>
            <w:r>
              <w:t xml:space="preserve"> </w:t>
            </w:r>
            <w:r w:rsidRPr="00741380">
              <w:t>195</w:t>
            </w:r>
          </w:p>
        </w:tc>
        <w:tc>
          <w:tcPr>
            <w:tcW w:w="2671" w:type="dxa"/>
            <w:vAlign w:val="center"/>
          </w:tcPr>
          <w:p w:rsidR="008A70F8" w:rsidRPr="00741380" w:rsidRDefault="008A70F8" w:rsidP="00E960F1">
            <w:pPr>
              <w:pStyle w:val="Tabletext"/>
              <w:jc w:val="right"/>
            </w:pPr>
            <w:r w:rsidRPr="00741380">
              <w:t>14%</w:t>
            </w:r>
          </w:p>
        </w:tc>
        <w:tc>
          <w:tcPr>
            <w:tcW w:w="2671" w:type="dxa"/>
            <w:vAlign w:val="center"/>
          </w:tcPr>
          <w:p w:rsidR="008A70F8" w:rsidRPr="00741380" w:rsidRDefault="008A70F8" w:rsidP="00E960F1">
            <w:pPr>
              <w:pStyle w:val="Tabletext"/>
              <w:jc w:val="right"/>
            </w:pPr>
            <w:r>
              <w:t xml:space="preserve">$27 </w:t>
            </w:r>
            <w:r w:rsidRPr="00741380">
              <w:t>600</w:t>
            </w:r>
          </w:p>
        </w:tc>
      </w:tr>
      <w:tr w:rsidR="008A70F8" w:rsidTr="00E960F1">
        <w:trPr>
          <w:trHeight w:val="283"/>
        </w:trPr>
        <w:tc>
          <w:tcPr>
            <w:tcW w:w="2670" w:type="dxa"/>
          </w:tcPr>
          <w:p w:rsidR="008A70F8" w:rsidRPr="00741380" w:rsidRDefault="008A70F8" w:rsidP="008A70F8">
            <w:pPr>
              <w:pStyle w:val="Tabletext"/>
            </w:pPr>
            <w:r w:rsidRPr="00741380">
              <w:t>26 to 51 weeks</w:t>
            </w:r>
          </w:p>
        </w:tc>
        <w:tc>
          <w:tcPr>
            <w:tcW w:w="2670" w:type="dxa"/>
            <w:vAlign w:val="center"/>
          </w:tcPr>
          <w:p w:rsidR="008A70F8" w:rsidRPr="00741380" w:rsidRDefault="008A70F8" w:rsidP="00E960F1">
            <w:pPr>
              <w:pStyle w:val="Tabletext"/>
              <w:jc w:val="right"/>
            </w:pPr>
            <w:r w:rsidRPr="00741380">
              <w:t>2</w:t>
            </w:r>
            <w:r>
              <w:t xml:space="preserve"> </w:t>
            </w:r>
            <w:r w:rsidRPr="00741380">
              <w:t>920</w:t>
            </w:r>
          </w:p>
        </w:tc>
        <w:tc>
          <w:tcPr>
            <w:tcW w:w="2671" w:type="dxa"/>
            <w:vAlign w:val="center"/>
          </w:tcPr>
          <w:p w:rsidR="008A70F8" w:rsidRPr="00741380" w:rsidRDefault="008A70F8" w:rsidP="00E960F1">
            <w:pPr>
              <w:pStyle w:val="Tabletext"/>
              <w:jc w:val="right"/>
            </w:pPr>
            <w:r w:rsidRPr="00741380">
              <w:t>8%</w:t>
            </w:r>
          </w:p>
        </w:tc>
        <w:tc>
          <w:tcPr>
            <w:tcW w:w="2671" w:type="dxa"/>
            <w:vAlign w:val="center"/>
          </w:tcPr>
          <w:p w:rsidR="008A70F8" w:rsidRPr="00741380" w:rsidRDefault="008A70F8" w:rsidP="00E960F1">
            <w:pPr>
              <w:pStyle w:val="Tabletext"/>
              <w:jc w:val="right"/>
            </w:pPr>
            <w:r>
              <w:t xml:space="preserve">$57 </w:t>
            </w:r>
            <w:r w:rsidRPr="00741380">
              <w:t>300</w:t>
            </w:r>
          </w:p>
        </w:tc>
      </w:tr>
      <w:tr w:rsidR="008A70F8" w:rsidTr="00E960F1">
        <w:trPr>
          <w:trHeight w:val="283"/>
        </w:trPr>
        <w:tc>
          <w:tcPr>
            <w:tcW w:w="2670" w:type="dxa"/>
          </w:tcPr>
          <w:p w:rsidR="008A70F8" w:rsidRPr="00741380" w:rsidRDefault="008A70F8" w:rsidP="008A70F8">
            <w:pPr>
              <w:pStyle w:val="Tabletext"/>
            </w:pPr>
            <w:r w:rsidRPr="00741380">
              <w:t>52 weeks and over</w:t>
            </w:r>
          </w:p>
        </w:tc>
        <w:tc>
          <w:tcPr>
            <w:tcW w:w="2670" w:type="dxa"/>
            <w:vAlign w:val="center"/>
          </w:tcPr>
          <w:p w:rsidR="008A70F8" w:rsidRPr="00741380" w:rsidRDefault="008A70F8" w:rsidP="00E960F1">
            <w:pPr>
              <w:pStyle w:val="Tabletext"/>
              <w:jc w:val="right"/>
            </w:pPr>
            <w:r w:rsidRPr="00741380">
              <w:t>4</w:t>
            </w:r>
            <w:r>
              <w:t xml:space="preserve"> </w:t>
            </w:r>
            <w:r w:rsidRPr="00741380">
              <w:t>395</w:t>
            </w:r>
          </w:p>
        </w:tc>
        <w:tc>
          <w:tcPr>
            <w:tcW w:w="2671" w:type="dxa"/>
            <w:vAlign w:val="center"/>
          </w:tcPr>
          <w:p w:rsidR="008A70F8" w:rsidRPr="00741380" w:rsidRDefault="008A70F8" w:rsidP="00E960F1">
            <w:pPr>
              <w:pStyle w:val="Tabletext"/>
              <w:jc w:val="right"/>
            </w:pPr>
            <w:r w:rsidRPr="00741380">
              <w:t>12%</w:t>
            </w:r>
          </w:p>
        </w:tc>
        <w:tc>
          <w:tcPr>
            <w:tcW w:w="2671" w:type="dxa"/>
            <w:vAlign w:val="center"/>
          </w:tcPr>
          <w:p w:rsidR="008A70F8" w:rsidRPr="00741380" w:rsidRDefault="008A70F8" w:rsidP="00E960F1">
            <w:pPr>
              <w:pStyle w:val="Tabletext"/>
              <w:jc w:val="right"/>
            </w:pPr>
            <w:r>
              <w:t xml:space="preserve">$126 </w:t>
            </w:r>
            <w:r w:rsidRPr="00741380">
              <w:t>400</w:t>
            </w:r>
          </w:p>
        </w:tc>
      </w:tr>
      <w:tr w:rsidR="008A70F8" w:rsidTr="00E960F1">
        <w:trPr>
          <w:trHeight w:val="283"/>
        </w:trPr>
        <w:tc>
          <w:tcPr>
            <w:tcW w:w="2670" w:type="dxa"/>
          </w:tcPr>
          <w:p w:rsidR="008A70F8" w:rsidRPr="00741380" w:rsidRDefault="008A70F8" w:rsidP="008A70F8">
            <w:pPr>
              <w:pStyle w:val="Tabletext"/>
            </w:pPr>
            <w:r w:rsidRPr="00741380">
              <w:t>Total</w:t>
            </w:r>
          </w:p>
        </w:tc>
        <w:tc>
          <w:tcPr>
            <w:tcW w:w="2670" w:type="dxa"/>
            <w:vAlign w:val="center"/>
          </w:tcPr>
          <w:p w:rsidR="008A70F8" w:rsidRPr="00741380" w:rsidRDefault="008A70F8" w:rsidP="00E960F1">
            <w:pPr>
              <w:pStyle w:val="Tabletext"/>
              <w:jc w:val="right"/>
            </w:pPr>
            <w:r w:rsidRPr="00741380">
              <w:t>37</w:t>
            </w:r>
            <w:r>
              <w:t xml:space="preserve"> </w:t>
            </w:r>
            <w:r w:rsidRPr="00741380">
              <w:t>440</w:t>
            </w:r>
          </w:p>
        </w:tc>
        <w:tc>
          <w:tcPr>
            <w:tcW w:w="2671" w:type="dxa"/>
            <w:vAlign w:val="center"/>
          </w:tcPr>
          <w:p w:rsidR="008A70F8" w:rsidRPr="00741380" w:rsidRDefault="008A70F8" w:rsidP="00E960F1">
            <w:pPr>
              <w:pStyle w:val="Tabletext"/>
              <w:jc w:val="right"/>
            </w:pPr>
            <w:r w:rsidRPr="00741380">
              <w:t>100%</w:t>
            </w:r>
          </w:p>
        </w:tc>
        <w:tc>
          <w:tcPr>
            <w:tcW w:w="2671" w:type="dxa"/>
            <w:vAlign w:val="center"/>
          </w:tcPr>
          <w:p w:rsidR="008A70F8" w:rsidRDefault="008A70F8" w:rsidP="00E960F1">
            <w:pPr>
              <w:pStyle w:val="Tabletext"/>
              <w:jc w:val="right"/>
            </w:pPr>
            <w:r>
              <w:t xml:space="preserve">$10 </w:t>
            </w:r>
            <w:r w:rsidRPr="00741380">
              <w:t>200</w:t>
            </w:r>
          </w:p>
        </w:tc>
      </w:tr>
    </w:tbl>
    <w:p w:rsidR="00CC620A" w:rsidRDefault="009B5D0D" w:rsidP="00257F90">
      <w:pPr>
        <w:pStyle w:val="Heading2"/>
      </w:pPr>
      <w:bookmarkStart w:id="35" w:name="_Toc427590866"/>
      <w:r>
        <w:t>Claims by sex</w:t>
      </w:r>
      <w:bookmarkEnd w:id="35"/>
    </w:p>
    <w:p w:rsidR="00CC620A" w:rsidRDefault="00CC620A" w:rsidP="00513A50">
      <w:pPr>
        <w:pStyle w:val="BodyText1"/>
      </w:pPr>
      <w:r w:rsidRPr="00CC620A">
        <w:t>Over the 2001–02 to 2012–</w:t>
      </w:r>
      <w:proofErr w:type="spellStart"/>
      <w:r w:rsidRPr="00CC620A">
        <w:t>13p</w:t>
      </w:r>
      <w:proofErr w:type="spellEnd"/>
      <w:r w:rsidRPr="00CC620A">
        <w:t xml:space="preserve"> period, males accounted for 97% of serious workers’ compensation claims but accounted for 88% of employees covered by workers’ compensation. This results in male employees having a higher incidence rate than female employees. Figure 9 shows incidence rates for males are similar to the rates for the whole industry because they account for nearly all the serious claims.</w:t>
      </w:r>
    </w:p>
    <w:p w:rsidR="00CC620A" w:rsidRDefault="00CC620A" w:rsidP="00513A50">
      <w:pPr>
        <w:pStyle w:val="BodyText1"/>
      </w:pPr>
      <w:r w:rsidRPr="00CC620A">
        <w:t>This difference in male and female incidence rates may be due to the different types of work undertaken by females compared with males in the construction industry.</w:t>
      </w:r>
    </w:p>
    <w:p w:rsidR="00CC620A" w:rsidRDefault="00CC620A" w:rsidP="009B5D0D">
      <w:pPr>
        <w:pStyle w:val="Figureheadings"/>
      </w:pPr>
      <w:r>
        <w:t>Figure 9: Serious claims in the construction industry: incidence rates by sex, 2001–02 to 2012–</w:t>
      </w:r>
      <w:proofErr w:type="spellStart"/>
      <w:r>
        <w:t>13p</w:t>
      </w:r>
      <w:proofErr w:type="spellEnd"/>
    </w:p>
    <w:p w:rsidR="00CC620A" w:rsidRDefault="008A70F8" w:rsidP="00CC620A">
      <w:r>
        <w:rPr>
          <w:noProof/>
        </w:rPr>
        <w:drawing>
          <wp:inline distT="0" distB="0" distL="0" distR="0" wp14:anchorId="7A172403" wp14:editId="64CD87F7">
            <wp:extent cx="6400800" cy="1771650"/>
            <wp:effectExtent l="0" t="0" r="0" b="0"/>
            <wp:docPr id="10" name="Chart 10" descr="Graph showing the trends in the incidence rates of serious claims in the construction industry by sex." title="Figure 9: Serious claims in the construction industry: incidence rates by sex, 2001–02 to 2012–13p"/>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D72B2" w:rsidRDefault="008D72B2">
      <w:pPr>
        <w:rPr>
          <w:rFonts w:ascii="Arial" w:eastAsiaTheme="majorEastAsia" w:hAnsi="Arial" w:cs="Arial"/>
          <w:b/>
          <w:bCs/>
          <w:color w:val="0070C0"/>
          <w:sz w:val="36"/>
          <w:szCs w:val="26"/>
          <w:lang w:val="en-US"/>
        </w:rPr>
      </w:pPr>
      <w:r>
        <w:br w:type="page"/>
      </w:r>
    </w:p>
    <w:p w:rsidR="00CC620A" w:rsidRDefault="008A70F8" w:rsidP="00257F90">
      <w:pPr>
        <w:pStyle w:val="Heading2"/>
      </w:pPr>
      <w:bookmarkStart w:id="36" w:name="_Toc427590867"/>
      <w:r>
        <w:t>Claims by industry sector</w:t>
      </w:r>
      <w:bookmarkEnd w:id="36"/>
    </w:p>
    <w:p w:rsidR="00CC620A" w:rsidRPr="00CC620A" w:rsidRDefault="00CC620A" w:rsidP="00513A50">
      <w:pPr>
        <w:pStyle w:val="BodyText1"/>
      </w:pPr>
      <w:r w:rsidRPr="00CC620A">
        <w:t xml:space="preserve">Of the three sub-divisions in the construction industry, the construction services sub-division accounted for 64% of serious claims over the 2002–13 </w:t>
      </w:r>
      <w:proofErr w:type="gramStart"/>
      <w:r w:rsidRPr="00CC620A">
        <w:t>period</w:t>
      </w:r>
      <w:proofErr w:type="gramEnd"/>
      <w:r w:rsidRPr="00CC620A">
        <w:t xml:space="preserve">. </w:t>
      </w:r>
    </w:p>
    <w:p w:rsidR="00CC620A" w:rsidRDefault="00CC620A" w:rsidP="00513A50">
      <w:pPr>
        <w:pStyle w:val="BodyText1"/>
        <w:rPr>
          <w:b/>
          <w:bCs/>
          <w:color w:val="00A6D3"/>
          <w:szCs w:val="20"/>
        </w:rPr>
      </w:pPr>
      <w:r w:rsidRPr="00CC620A">
        <w:t xml:space="preserve">Figure 10 shows the </w:t>
      </w:r>
      <w:proofErr w:type="gramStart"/>
      <w:r w:rsidRPr="00CC620A">
        <w:t>number of serious claims have</w:t>
      </w:r>
      <w:proofErr w:type="gramEnd"/>
      <w:r w:rsidRPr="00CC620A">
        <w:t xml:space="preserve"> remained relatively stable over the 2001–02 to 2012–</w:t>
      </w:r>
      <w:proofErr w:type="spellStart"/>
      <w:r w:rsidRPr="00CC620A">
        <w:t>13p</w:t>
      </w:r>
      <w:proofErr w:type="spellEnd"/>
      <w:r w:rsidRPr="00CC620A">
        <w:t xml:space="preserve"> period</w:t>
      </w:r>
      <w:r w:rsidRPr="00CC620A">
        <w:rPr>
          <w:b/>
          <w:bCs/>
          <w:color w:val="00A6D3"/>
          <w:szCs w:val="20"/>
        </w:rPr>
        <w:t xml:space="preserve">. </w:t>
      </w:r>
    </w:p>
    <w:p w:rsidR="00CC620A" w:rsidRPr="00CC620A" w:rsidRDefault="008A70F8" w:rsidP="008A70F8">
      <w:pPr>
        <w:pStyle w:val="Figureheadings"/>
      </w:pPr>
      <w:r>
        <w:t>Figure 10</w:t>
      </w:r>
      <w:r w:rsidR="00CC620A">
        <w:t xml:space="preserve">: </w:t>
      </w:r>
      <w:r w:rsidR="00CC620A" w:rsidRPr="00CC620A">
        <w:t>Serious claims in the construction industry: number by industry subdivisions, 2001–02 to 2012–</w:t>
      </w:r>
      <w:proofErr w:type="spellStart"/>
      <w:r w:rsidR="00CC620A" w:rsidRPr="00CC620A">
        <w:t>13p</w:t>
      </w:r>
      <w:proofErr w:type="spellEnd"/>
    </w:p>
    <w:p w:rsidR="00CC620A" w:rsidRDefault="004A0FAE" w:rsidP="00CC620A">
      <w:r>
        <w:rPr>
          <w:noProof/>
        </w:rPr>
        <w:drawing>
          <wp:inline distT="0" distB="0" distL="0" distR="0" wp14:anchorId="3BE5F8C1" wp14:editId="0084DEC8">
            <wp:extent cx="6858000" cy="2095500"/>
            <wp:effectExtent l="0" t="0" r="0" b="0"/>
            <wp:docPr id="11" name="Chart 11" descr="Graph of Worker fatalities by number and incidence rate" title="Figure 10: Serious claims in the construction industry: number by industry subdivisions, 2001–02 to 2012–13p"/>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C620A" w:rsidRDefault="00CC620A" w:rsidP="00513A50">
      <w:pPr>
        <w:pStyle w:val="BodyText1"/>
      </w:pPr>
      <w:r w:rsidRPr="00CC620A">
        <w:t xml:space="preserve">The highest incidence rates of serious claims were recorded by the heavy &amp; civil engineering construction sector. Figure 11 shows the rates for this sector decreased substantially over the 2000–01 to 2006–07 </w:t>
      </w:r>
      <w:proofErr w:type="gramStart"/>
      <w:r w:rsidRPr="00CC620A">
        <w:t>period</w:t>
      </w:r>
      <w:proofErr w:type="gramEnd"/>
      <w:r w:rsidRPr="00CC620A">
        <w:t xml:space="preserve"> due mainly to an increase in employment. </w:t>
      </w:r>
    </w:p>
    <w:p w:rsidR="00CC620A" w:rsidRPr="00CC620A" w:rsidRDefault="00CC620A" w:rsidP="004A0FAE">
      <w:pPr>
        <w:pStyle w:val="Figureheadings"/>
      </w:pPr>
      <w:r>
        <w:t xml:space="preserve">Figure 11: </w:t>
      </w:r>
      <w:r w:rsidRPr="00CC620A">
        <w:t>Serious claims in the construction industry: incidence rates by industry subdivisions, 2001–02 to 2012–</w:t>
      </w:r>
      <w:proofErr w:type="spellStart"/>
      <w:r w:rsidRPr="00CC620A">
        <w:t>13p</w:t>
      </w:r>
      <w:proofErr w:type="spellEnd"/>
    </w:p>
    <w:p w:rsidR="00CC620A" w:rsidRDefault="004A0FAE" w:rsidP="00CC620A">
      <w:r>
        <w:rPr>
          <w:noProof/>
        </w:rPr>
        <w:drawing>
          <wp:inline distT="0" distB="0" distL="0" distR="0" wp14:anchorId="046349E5" wp14:editId="7016823F">
            <wp:extent cx="5943600" cy="2092325"/>
            <wp:effectExtent l="0" t="0" r="0" b="3175"/>
            <wp:docPr id="13" name="Chart 13" descr="Graph of Worker fatalities by number and incidence rate" title="Figure 11: Serious claims in the construction industry: incidence rates by industry subdivisions, 2001–02 to 2012–13p"/>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C620A" w:rsidRPr="00CC620A" w:rsidRDefault="00CC620A" w:rsidP="00513A50">
      <w:pPr>
        <w:pStyle w:val="BodyText1"/>
      </w:pPr>
      <w:r w:rsidRPr="00CC620A">
        <w:t>While the heavy &amp; civil engineering construction sector recorded the greatest percentage fall out of the three sub-divisions, the overall fall for the construction industry was due to the fall in incidence rates for the construction services sector which had the highest number of claims and the highest number of employees.</w:t>
      </w:r>
    </w:p>
    <w:p w:rsidR="00CC620A" w:rsidRDefault="004A0FAE" w:rsidP="00257F90">
      <w:pPr>
        <w:pStyle w:val="Heading2"/>
      </w:pPr>
      <w:bookmarkStart w:id="37" w:name="_Toc427590868"/>
      <w:r>
        <w:t>Claims by age</w:t>
      </w:r>
      <w:bookmarkEnd w:id="37"/>
    </w:p>
    <w:p w:rsidR="00CC620A" w:rsidRPr="00CC620A" w:rsidRDefault="00CC620A" w:rsidP="00513A50">
      <w:pPr>
        <w:pStyle w:val="BodyText1"/>
      </w:pPr>
      <w:r w:rsidRPr="00CC620A">
        <w:t>Table 26 shows the profile of serious claims by age is similar to the profile of employees by age. For the youngest workers the proportion they represent of serious claims is slightly lower than the proportion they represent of employees. While for the older age groups the proportion they represent of the serious claims is slightly higher than the proportion they represent of employees.</w:t>
      </w:r>
    </w:p>
    <w:p w:rsidR="00CC620A" w:rsidRPr="00CC620A" w:rsidRDefault="00CC620A" w:rsidP="00513A50">
      <w:pPr>
        <w:pStyle w:val="BodyText1"/>
      </w:pPr>
      <w:r w:rsidRPr="00CC620A">
        <w:t xml:space="preserve">These differences result in the incidence rates of serious claims increasing with age from 15.4 serious claims per 1000 employees for employees aged less than 25 years to 21.7 serious claims per 1000 employees for employees aged 55 years and over. These data show that younger workers have less time off work following an injury and subsequently the median compensation paid per claim is lower. Median time lost and median compensation paid </w:t>
      </w:r>
      <w:proofErr w:type="gramStart"/>
      <w:r w:rsidRPr="00CC620A">
        <w:t>are</w:t>
      </w:r>
      <w:proofErr w:type="gramEnd"/>
      <w:r w:rsidRPr="00CC620A">
        <w:t xml:space="preserve"> not reported for 2012-13 preliminary data so Table 26 is limited to data up to 2011-12.</w:t>
      </w:r>
    </w:p>
    <w:p w:rsidR="003444F5" w:rsidRDefault="003444F5">
      <w:pPr>
        <w:rPr>
          <w:rFonts w:ascii="Arial" w:hAnsi="Arial" w:cs="Arial"/>
          <w:b/>
          <w:sz w:val="20"/>
          <w:lang w:val="en-US"/>
        </w:rPr>
      </w:pPr>
      <w:r>
        <w:br w:type="page"/>
      </w:r>
    </w:p>
    <w:p w:rsidR="00CC620A" w:rsidRDefault="00CC620A" w:rsidP="004A0FAE">
      <w:pPr>
        <w:pStyle w:val="Tableheading"/>
      </w:pPr>
      <w:r>
        <w:t>Table 26: Serious claims in the construction industry: percentage of claims and employees, incidence rates, median time lost and median compensation paid by age group, 2009–10 to 2011–12 combined</w:t>
      </w:r>
    </w:p>
    <w:tbl>
      <w:tblPr>
        <w:tblStyle w:val="TableGrid"/>
        <w:tblW w:w="0" w:type="auto"/>
        <w:tblLook w:val="04A0" w:firstRow="1" w:lastRow="0" w:firstColumn="1" w:lastColumn="0" w:noHBand="0" w:noVBand="1"/>
        <w:tblCaption w:val="Table 26: Serious claims in the construction industry: percentage of claims and employees, incidence rates, median time lost and median compensation paid by age group, 2009–10 to 2011–12 combined"/>
        <w:tblDescription w:val="Table shows percentage of claims and employees, incidence rates, median time lost and median compensation payments paid by age group."/>
      </w:tblPr>
      <w:tblGrid>
        <w:gridCol w:w="1780"/>
        <w:gridCol w:w="1780"/>
        <w:gridCol w:w="1780"/>
        <w:gridCol w:w="1780"/>
        <w:gridCol w:w="1781"/>
        <w:gridCol w:w="1781"/>
      </w:tblGrid>
      <w:tr w:rsidR="00210B4C" w:rsidTr="00715413">
        <w:trPr>
          <w:trHeight w:val="283"/>
          <w:tblHeader/>
        </w:trPr>
        <w:tc>
          <w:tcPr>
            <w:tcW w:w="1780" w:type="dxa"/>
            <w:shd w:val="clear" w:color="auto" w:fill="D9D9D9" w:themeFill="background1" w:themeFillShade="D9"/>
            <w:vAlign w:val="center"/>
          </w:tcPr>
          <w:p w:rsidR="00210B4C" w:rsidRPr="007B68B3" w:rsidRDefault="00210B4C" w:rsidP="00210B4C">
            <w:pPr>
              <w:pStyle w:val="Tableheaderrow"/>
              <w:jc w:val="left"/>
            </w:pPr>
            <w:r w:rsidRPr="007B68B3">
              <w:t>Age group</w:t>
            </w:r>
          </w:p>
        </w:tc>
        <w:tc>
          <w:tcPr>
            <w:tcW w:w="1780" w:type="dxa"/>
            <w:shd w:val="clear" w:color="auto" w:fill="D9D9D9" w:themeFill="background1" w:themeFillShade="D9"/>
            <w:vAlign w:val="center"/>
          </w:tcPr>
          <w:p w:rsidR="00210B4C" w:rsidRPr="007B68B3" w:rsidRDefault="00210B4C" w:rsidP="00E960F1">
            <w:pPr>
              <w:pStyle w:val="Tableheaderrow"/>
              <w:jc w:val="right"/>
            </w:pPr>
            <w:r w:rsidRPr="007B68B3">
              <w:t>% of claims</w:t>
            </w:r>
          </w:p>
        </w:tc>
        <w:tc>
          <w:tcPr>
            <w:tcW w:w="1780" w:type="dxa"/>
            <w:shd w:val="clear" w:color="auto" w:fill="D9D9D9" w:themeFill="background1" w:themeFillShade="D9"/>
            <w:vAlign w:val="center"/>
          </w:tcPr>
          <w:p w:rsidR="00210B4C" w:rsidRPr="007B68B3" w:rsidRDefault="00210B4C" w:rsidP="00E960F1">
            <w:pPr>
              <w:pStyle w:val="Tableheaderrow"/>
              <w:jc w:val="right"/>
            </w:pPr>
            <w:r w:rsidRPr="007B68B3">
              <w:t>% of employees</w:t>
            </w:r>
          </w:p>
        </w:tc>
        <w:tc>
          <w:tcPr>
            <w:tcW w:w="1780" w:type="dxa"/>
            <w:shd w:val="clear" w:color="auto" w:fill="D9D9D9" w:themeFill="background1" w:themeFillShade="D9"/>
            <w:vAlign w:val="center"/>
          </w:tcPr>
          <w:p w:rsidR="00210B4C" w:rsidRPr="007B68B3" w:rsidRDefault="00210B4C" w:rsidP="00E960F1">
            <w:pPr>
              <w:pStyle w:val="Tableheaderrow"/>
              <w:jc w:val="right"/>
            </w:pPr>
            <w:r w:rsidRPr="007B68B3">
              <w:t>Incidence rate</w:t>
            </w:r>
            <w:r>
              <w:t xml:space="preserve"> (claims per 1000 employees)</w:t>
            </w:r>
          </w:p>
        </w:tc>
        <w:tc>
          <w:tcPr>
            <w:tcW w:w="1781" w:type="dxa"/>
            <w:shd w:val="clear" w:color="auto" w:fill="D9D9D9" w:themeFill="background1" w:themeFillShade="D9"/>
            <w:vAlign w:val="center"/>
          </w:tcPr>
          <w:p w:rsidR="00210B4C" w:rsidRPr="007B68B3" w:rsidRDefault="00210B4C" w:rsidP="00E960F1">
            <w:pPr>
              <w:pStyle w:val="Tableheaderrow"/>
              <w:jc w:val="right"/>
            </w:pPr>
            <w:r w:rsidRPr="007B68B3">
              <w:t>Median time lost</w:t>
            </w:r>
            <w:r>
              <w:t xml:space="preserve"> (weeks)</w:t>
            </w:r>
          </w:p>
        </w:tc>
        <w:tc>
          <w:tcPr>
            <w:tcW w:w="1781" w:type="dxa"/>
            <w:shd w:val="clear" w:color="auto" w:fill="D9D9D9" w:themeFill="background1" w:themeFillShade="D9"/>
            <w:vAlign w:val="center"/>
          </w:tcPr>
          <w:p w:rsidR="00210B4C" w:rsidRPr="007B68B3" w:rsidRDefault="00210B4C" w:rsidP="00E960F1">
            <w:pPr>
              <w:pStyle w:val="Tableheaderrow"/>
              <w:jc w:val="right"/>
            </w:pPr>
            <w:r w:rsidRPr="007B68B3">
              <w:t>Median cost</w:t>
            </w:r>
          </w:p>
        </w:tc>
      </w:tr>
      <w:tr w:rsidR="00210B4C" w:rsidTr="00E960F1">
        <w:trPr>
          <w:trHeight w:val="283"/>
        </w:trPr>
        <w:tc>
          <w:tcPr>
            <w:tcW w:w="1780" w:type="dxa"/>
          </w:tcPr>
          <w:p w:rsidR="00210B4C" w:rsidRPr="007B68B3" w:rsidRDefault="00210B4C" w:rsidP="00317233">
            <w:r w:rsidRPr="007B68B3">
              <w:t>Less than 25</w:t>
            </w:r>
          </w:p>
        </w:tc>
        <w:tc>
          <w:tcPr>
            <w:tcW w:w="1780" w:type="dxa"/>
            <w:vAlign w:val="center"/>
          </w:tcPr>
          <w:p w:rsidR="00210B4C" w:rsidRPr="007B68B3" w:rsidRDefault="00210B4C" w:rsidP="00E960F1">
            <w:pPr>
              <w:jc w:val="right"/>
            </w:pPr>
            <w:r w:rsidRPr="007B68B3">
              <w:t>21%</w:t>
            </w:r>
          </w:p>
        </w:tc>
        <w:tc>
          <w:tcPr>
            <w:tcW w:w="1780" w:type="dxa"/>
            <w:vAlign w:val="center"/>
          </w:tcPr>
          <w:p w:rsidR="00210B4C" w:rsidRPr="007B68B3" w:rsidRDefault="00210B4C" w:rsidP="00E960F1">
            <w:pPr>
              <w:jc w:val="right"/>
            </w:pPr>
            <w:r w:rsidRPr="007B68B3">
              <w:t>23%</w:t>
            </w:r>
          </w:p>
        </w:tc>
        <w:tc>
          <w:tcPr>
            <w:tcW w:w="1780" w:type="dxa"/>
            <w:vAlign w:val="center"/>
          </w:tcPr>
          <w:p w:rsidR="00210B4C" w:rsidRPr="007B68B3" w:rsidRDefault="00210B4C" w:rsidP="00E960F1">
            <w:pPr>
              <w:jc w:val="right"/>
            </w:pPr>
            <w:r w:rsidRPr="007B68B3">
              <w:t>15.4</w:t>
            </w:r>
          </w:p>
        </w:tc>
        <w:tc>
          <w:tcPr>
            <w:tcW w:w="1781" w:type="dxa"/>
            <w:vAlign w:val="center"/>
          </w:tcPr>
          <w:p w:rsidR="00210B4C" w:rsidRPr="007B68B3" w:rsidRDefault="00210B4C" w:rsidP="00E960F1">
            <w:pPr>
              <w:jc w:val="right"/>
            </w:pPr>
            <w:r w:rsidRPr="007B68B3">
              <w:t>4.0</w:t>
            </w:r>
          </w:p>
        </w:tc>
        <w:tc>
          <w:tcPr>
            <w:tcW w:w="1781" w:type="dxa"/>
            <w:vAlign w:val="center"/>
          </w:tcPr>
          <w:p w:rsidR="00210B4C" w:rsidRPr="007B68B3" w:rsidRDefault="00210B4C" w:rsidP="00E960F1">
            <w:pPr>
              <w:jc w:val="right"/>
            </w:pPr>
            <w:r>
              <w:t>$</w:t>
            </w:r>
            <w:r w:rsidRPr="007B68B3">
              <w:t>5</w:t>
            </w:r>
            <w:r>
              <w:t xml:space="preserve"> </w:t>
            </w:r>
            <w:r w:rsidRPr="007B68B3">
              <w:t>000</w:t>
            </w:r>
          </w:p>
        </w:tc>
      </w:tr>
      <w:tr w:rsidR="00210B4C" w:rsidTr="00E960F1">
        <w:trPr>
          <w:trHeight w:val="283"/>
        </w:trPr>
        <w:tc>
          <w:tcPr>
            <w:tcW w:w="1780" w:type="dxa"/>
          </w:tcPr>
          <w:p w:rsidR="00210B4C" w:rsidRPr="007B68B3" w:rsidRDefault="00210B4C" w:rsidP="00317233">
            <w:r w:rsidRPr="007B68B3">
              <w:t>25–34 years</w:t>
            </w:r>
          </w:p>
        </w:tc>
        <w:tc>
          <w:tcPr>
            <w:tcW w:w="1780" w:type="dxa"/>
            <w:vAlign w:val="center"/>
          </w:tcPr>
          <w:p w:rsidR="00210B4C" w:rsidRPr="007B68B3" w:rsidRDefault="00210B4C" w:rsidP="00E960F1">
            <w:pPr>
              <w:jc w:val="right"/>
            </w:pPr>
            <w:r w:rsidRPr="007B68B3">
              <w:t>24%</w:t>
            </w:r>
          </w:p>
        </w:tc>
        <w:tc>
          <w:tcPr>
            <w:tcW w:w="1780" w:type="dxa"/>
            <w:vAlign w:val="center"/>
          </w:tcPr>
          <w:p w:rsidR="00210B4C" w:rsidRPr="007B68B3" w:rsidRDefault="00210B4C" w:rsidP="00E960F1">
            <w:pPr>
              <w:jc w:val="right"/>
            </w:pPr>
            <w:r w:rsidRPr="007B68B3">
              <w:t>27%</w:t>
            </w:r>
          </w:p>
        </w:tc>
        <w:tc>
          <w:tcPr>
            <w:tcW w:w="1780" w:type="dxa"/>
            <w:vAlign w:val="center"/>
          </w:tcPr>
          <w:p w:rsidR="00210B4C" w:rsidRPr="007B68B3" w:rsidRDefault="00210B4C" w:rsidP="00E960F1">
            <w:pPr>
              <w:jc w:val="right"/>
            </w:pPr>
            <w:r w:rsidRPr="007B68B3">
              <w:t>16.3</w:t>
            </w:r>
          </w:p>
        </w:tc>
        <w:tc>
          <w:tcPr>
            <w:tcW w:w="1781" w:type="dxa"/>
            <w:vAlign w:val="center"/>
          </w:tcPr>
          <w:p w:rsidR="00210B4C" w:rsidRPr="007B68B3" w:rsidRDefault="00210B4C" w:rsidP="00E960F1">
            <w:pPr>
              <w:jc w:val="right"/>
            </w:pPr>
            <w:r w:rsidRPr="007B68B3">
              <w:t>5.4</w:t>
            </w:r>
          </w:p>
        </w:tc>
        <w:tc>
          <w:tcPr>
            <w:tcW w:w="1781" w:type="dxa"/>
            <w:vAlign w:val="center"/>
          </w:tcPr>
          <w:p w:rsidR="00210B4C" w:rsidRPr="007B68B3" w:rsidRDefault="00210B4C" w:rsidP="00E960F1">
            <w:pPr>
              <w:jc w:val="right"/>
            </w:pPr>
            <w:r>
              <w:t>$</w:t>
            </w:r>
            <w:r w:rsidRPr="007B68B3">
              <w:t>9</w:t>
            </w:r>
            <w:r>
              <w:t xml:space="preserve"> </w:t>
            </w:r>
            <w:r w:rsidRPr="007B68B3">
              <w:t>000</w:t>
            </w:r>
          </w:p>
        </w:tc>
      </w:tr>
      <w:tr w:rsidR="00210B4C" w:rsidTr="00E960F1">
        <w:trPr>
          <w:trHeight w:val="283"/>
        </w:trPr>
        <w:tc>
          <w:tcPr>
            <w:tcW w:w="1780" w:type="dxa"/>
          </w:tcPr>
          <w:p w:rsidR="00210B4C" w:rsidRPr="007B68B3" w:rsidRDefault="00210B4C" w:rsidP="00317233">
            <w:r w:rsidRPr="007B68B3">
              <w:t>35–44 years</w:t>
            </w:r>
          </w:p>
        </w:tc>
        <w:tc>
          <w:tcPr>
            <w:tcW w:w="1780" w:type="dxa"/>
            <w:vAlign w:val="center"/>
          </w:tcPr>
          <w:p w:rsidR="00210B4C" w:rsidRPr="007B68B3" w:rsidRDefault="00210B4C" w:rsidP="00E960F1">
            <w:pPr>
              <w:jc w:val="right"/>
            </w:pPr>
            <w:r w:rsidRPr="007B68B3">
              <w:t>23%</w:t>
            </w:r>
          </w:p>
        </w:tc>
        <w:tc>
          <w:tcPr>
            <w:tcW w:w="1780" w:type="dxa"/>
            <w:vAlign w:val="center"/>
          </w:tcPr>
          <w:p w:rsidR="00210B4C" w:rsidRPr="007B68B3" w:rsidRDefault="00210B4C" w:rsidP="00E960F1">
            <w:pPr>
              <w:jc w:val="right"/>
            </w:pPr>
            <w:r w:rsidRPr="007B68B3">
              <w:t>22%</w:t>
            </w:r>
          </w:p>
        </w:tc>
        <w:tc>
          <w:tcPr>
            <w:tcW w:w="1780" w:type="dxa"/>
            <w:vAlign w:val="center"/>
          </w:tcPr>
          <w:p w:rsidR="00210B4C" w:rsidRPr="007B68B3" w:rsidRDefault="00210B4C" w:rsidP="00E960F1">
            <w:pPr>
              <w:jc w:val="right"/>
            </w:pPr>
            <w:r w:rsidRPr="007B68B3">
              <w:t>18.8</w:t>
            </w:r>
          </w:p>
        </w:tc>
        <w:tc>
          <w:tcPr>
            <w:tcW w:w="1781" w:type="dxa"/>
            <w:vAlign w:val="center"/>
          </w:tcPr>
          <w:p w:rsidR="00210B4C" w:rsidRPr="007B68B3" w:rsidRDefault="00210B4C" w:rsidP="00E960F1">
            <w:pPr>
              <w:jc w:val="right"/>
            </w:pPr>
            <w:r w:rsidRPr="007B68B3">
              <w:t>7.0</w:t>
            </w:r>
          </w:p>
        </w:tc>
        <w:tc>
          <w:tcPr>
            <w:tcW w:w="1781" w:type="dxa"/>
            <w:vAlign w:val="center"/>
          </w:tcPr>
          <w:p w:rsidR="00210B4C" w:rsidRPr="007B68B3" w:rsidRDefault="00210B4C" w:rsidP="00E960F1">
            <w:pPr>
              <w:jc w:val="right"/>
            </w:pPr>
            <w:r>
              <w:t>$</w:t>
            </w:r>
            <w:r w:rsidRPr="007B68B3">
              <w:t>12</w:t>
            </w:r>
            <w:r>
              <w:t xml:space="preserve"> </w:t>
            </w:r>
            <w:r w:rsidRPr="007B68B3">
              <w:t>500</w:t>
            </w:r>
          </w:p>
        </w:tc>
      </w:tr>
      <w:tr w:rsidR="00210B4C" w:rsidTr="00E960F1">
        <w:trPr>
          <w:trHeight w:val="283"/>
        </w:trPr>
        <w:tc>
          <w:tcPr>
            <w:tcW w:w="1780" w:type="dxa"/>
          </w:tcPr>
          <w:p w:rsidR="00210B4C" w:rsidRPr="007B68B3" w:rsidRDefault="00210B4C" w:rsidP="00317233">
            <w:r w:rsidRPr="007B68B3">
              <w:t>45–54 years</w:t>
            </w:r>
          </w:p>
        </w:tc>
        <w:tc>
          <w:tcPr>
            <w:tcW w:w="1780" w:type="dxa"/>
            <w:vAlign w:val="center"/>
          </w:tcPr>
          <w:p w:rsidR="00210B4C" w:rsidRPr="007B68B3" w:rsidRDefault="00210B4C" w:rsidP="00E960F1">
            <w:pPr>
              <w:jc w:val="right"/>
            </w:pPr>
            <w:r w:rsidRPr="007B68B3">
              <w:t>19%</w:t>
            </w:r>
          </w:p>
        </w:tc>
        <w:tc>
          <w:tcPr>
            <w:tcW w:w="1780" w:type="dxa"/>
            <w:vAlign w:val="center"/>
          </w:tcPr>
          <w:p w:rsidR="00210B4C" w:rsidRPr="007B68B3" w:rsidRDefault="00210B4C" w:rsidP="00E960F1">
            <w:pPr>
              <w:jc w:val="right"/>
            </w:pPr>
            <w:r w:rsidRPr="007B68B3">
              <w:t>18%</w:t>
            </w:r>
          </w:p>
        </w:tc>
        <w:tc>
          <w:tcPr>
            <w:tcW w:w="1780" w:type="dxa"/>
            <w:vAlign w:val="center"/>
          </w:tcPr>
          <w:p w:rsidR="00210B4C" w:rsidRPr="007B68B3" w:rsidRDefault="00210B4C" w:rsidP="00E960F1">
            <w:pPr>
              <w:jc w:val="right"/>
            </w:pPr>
            <w:r w:rsidRPr="007B68B3">
              <w:t>19.2</w:t>
            </w:r>
          </w:p>
        </w:tc>
        <w:tc>
          <w:tcPr>
            <w:tcW w:w="1781" w:type="dxa"/>
            <w:vAlign w:val="center"/>
          </w:tcPr>
          <w:p w:rsidR="00210B4C" w:rsidRPr="007B68B3" w:rsidRDefault="00210B4C" w:rsidP="00E960F1">
            <w:pPr>
              <w:jc w:val="right"/>
            </w:pPr>
            <w:r w:rsidRPr="007B68B3">
              <w:t>7.8</w:t>
            </w:r>
          </w:p>
        </w:tc>
        <w:tc>
          <w:tcPr>
            <w:tcW w:w="1781" w:type="dxa"/>
            <w:vAlign w:val="center"/>
          </w:tcPr>
          <w:p w:rsidR="00210B4C" w:rsidRPr="007B68B3" w:rsidRDefault="00210B4C" w:rsidP="00E960F1">
            <w:pPr>
              <w:jc w:val="right"/>
            </w:pPr>
            <w:r>
              <w:t>$</w:t>
            </w:r>
            <w:r w:rsidRPr="007B68B3">
              <w:t>14</w:t>
            </w:r>
            <w:r>
              <w:t xml:space="preserve"> </w:t>
            </w:r>
            <w:r w:rsidRPr="007B68B3">
              <w:t>600</w:t>
            </w:r>
          </w:p>
        </w:tc>
      </w:tr>
      <w:tr w:rsidR="00210B4C" w:rsidTr="00E960F1">
        <w:trPr>
          <w:trHeight w:val="283"/>
        </w:trPr>
        <w:tc>
          <w:tcPr>
            <w:tcW w:w="1780" w:type="dxa"/>
          </w:tcPr>
          <w:p w:rsidR="00210B4C" w:rsidRPr="007B68B3" w:rsidRDefault="00210B4C" w:rsidP="00317233">
            <w:r w:rsidRPr="007B68B3">
              <w:t>55 &amp; over</w:t>
            </w:r>
          </w:p>
        </w:tc>
        <w:tc>
          <w:tcPr>
            <w:tcW w:w="1780" w:type="dxa"/>
            <w:vAlign w:val="center"/>
          </w:tcPr>
          <w:p w:rsidR="00210B4C" w:rsidRPr="007B68B3" w:rsidRDefault="00210B4C" w:rsidP="00E960F1">
            <w:pPr>
              <w:jc w:val="right"/>
            </w:pPr>
            <w:r w:rsidRPr="007B68B3">
              <w:t>13%</w:t>
            </w:r>
          </w:p>
        </w:tc>
        <w:tc>
          <w:tcPr>
            <w:tcW w:w="1780" w:type="dxa"/>
            <w:vAlign w:val="center"/>
          </w:tcPr>
          <w:p w:rsidR="00210B4C" w:rsidRPr="007B68B3" w:rsidRDefault="00210B4C" w:rsidP="00E960F1">
            <w:pPr>
              <w:jc w:val="right"/>
            </w:pPr>
            <w:r w:rsidRPr="007B68B3">
              <w:t>10%</w:t>
            </w:r>
          </w:p>
        </w:tc>
        <w:tc>
          <w:tcPr>
            <w:tcW w:w="1780" w:type="dxa"/>
            <w:vAlign w:val="center"/>
          </w:tcPr>
          <w:p w:rsidR="00210B4C" w:rsidRPr="007B68B3" w:rsidRDefault="00210B4C" w:rsidP="00E960F1">
            <w:pPr>
              <w:jc w:val="right"/>
            </w:pPr>
            <w:r w:rsidRPr="007B68B3">
              <w:t>21.7</w:t>
            </w:r>
          </w:p>
        </w:tc>
        <w:tc>
          <w:tcPr>
            <w:tcW w:w="1781" w:type="dxa"/>
            <w:vAlign w:val="center"/>
          </w:tcPr>
          <w:p w:rsidR="00210B4C" w:rsidRPr="007B68B3" w:rsidRDefault="00210B4C" w:rsidP="00E960F1">
            <w:pPr>
              <w:jc w:val="right"/>
            </w:pPr>
            <w:r w:rsidRPr="007B68B3">
              <w:t>9.6</w:t>
            </w:r>
          </w:p>
        </w:tc>
        <w:tc>
          <w:tcPr>
            <w:tcW w:w="1781" w:type="dxa"/>
            <w:vAlign w:val="center"/>
          </w:tcPr>
          <w:p w:rsidR="00210B4C" w:rsidRPr="007B68B3" w:rsidRDefault="00210B4C" w:rsidP="00E960F1">
            <w:pPr>
              <w:jc w:val="right"/>
            </w:pPr>
            <w:r>
              <w:t>$</w:t>
            </w:r>
            <w:r w:rsidRPr="007B68B3">
              <w:t>18</w:t>
            </w:r>
            <w:r>
              <w:t xml:space="preserve"> </w:t>
            </w:r>
            <w:r w:rsidRPr="007B68B3">
              <w:t>300</w:t>
            </w:r>
          </w:p>
        </w:tc>
      </w:tr>
      <w:tr w:rsidR="00210B4C" w:rsidTr="00E960F1">
        <w:trPr>
          <w:trHeight w:val="283"/>
        </w:trPr>
        <w:tc>
          <w:tcPr>
            <w:tcW w:w="1780" w:type="dxa"/>
          </w:tcPr>
          <w:p w:rsidR="00210B4C" w:rsidRPr="007B68B3" w:rsidRDefault="00210B4C" w:rsidP="00317233">
            <w:r w:rsidRPr="007B68B3">
              <w:t>Total</w:t>
            </w:r>
          </w:p>
        </w:tc>
        <w:tc>
          <w:tcPr>
            <w:tcW w:w="1780" w:type="dxa"/>
            <w:vAlign w:val="center"/>
          </w:tcPr>
          <w:p w:rsidR="00210B4C" w:rsidRPr="007B68B3" w:rsidRDefault="00210B4C" w:rsidP="00E960F1">
            <w:pPr>
              <w:jc w:val="right"/>
            </w:pPr>
            <w:r w:rsidRPr="007B68B3">
              <w:t>100%</w:t>
            </w:r>
          </w:p>
        </w:tc>
        <w:tc>
          <w:tcPr>
            <w:tcW w:w="1780" w:type="dxa"/>
            <w:vAlign w:val="center"/>
          </w:tcPr>
          <w:p w:rsidR="00210B4C" w:rsidRPr="007B68B3" w:rsidRDefault="00210B4C" w:rsidP="00E960F1">
            <w:pPr>
              <w:jc w:val="right"/>
            </w:pPr>
            <w:r w:rsidRPr="007B68B3">
              <w:t>100%</w:t>
            </w:r>
          </w:p>
        </w:tc>
        <w:tc>
          <w:tcPr>
            <w:tcW w:w="1780" w:type="dxa"/>
            <w:vAlign w:val="center"/>
          </w:tcPr>
          <w:p w:rsidR="00210B4C" w:rsidRPr="007B68B3" w:rsidRDefault="00210B4C" w:rsidP="00E960F1">
            <w:pPr>
              <w:jc w:val="right"/>
            </w:pPr>
            <w:r w:rsidRPr="007B68B3">
              <w:t>17.7</w:t>
            </w:r>
          </w:p>
        </w:tc>
        <w:tc>
          <w:tcPr>
            <w:tcW w:w="1781" w:type="dxa"/>
            <w:vAlign w:val="center"/>
          </w:tcPr>
          <w:p w:rsidR="00210B4C" w:rsidRPr="007B68B3" w:rsidRDefault="00210B4C" w:rsidP="00E960F1">
            <w:pPr>
              <w:jc w:val="right"/>
            </w:pPr>
            <w:r w:rsidRPr="007B68B3">
              <w:t>6.0</w:t>
            </w:r>
          </w:p>
        </w:tc>
        <w:tc>
          <w:tcPr>
            <w:tcW w:w="1781" w:type="dxa"/>
            <w:vAlign w:val="center"/>
          </w:tcPr>
          <w:p w:rsidR="00210B4C" w:rsidRDefault="00210B4C" w:rsidP="00E960F1">
            <w:pPr>
              <w:jc w:val="right"/>
            </w:pPr>
            <w:r>
              <w:t>$</w:t>
            </w:r>
            <w:r w:rsidRPr="007B68B3">
              <w:t>10</w:t>
            </w:r>
            <w:r>
              <w:t xml:space="preserve"> </w:t>
            </w:r>
            <w:r w:rsidRPr="007B68B3">
              <w:t>200</w:t>
            </w:r>
          </w:p>
        </w:tc>
      </w:tr>
    </w:tbl>
    <w:p w:rsidR="00CC620A" w:rsidRDefault="004A0FAE" w:rsidP="00257F90">
      <w:pPr>
        <w:pStyle w:val="Heading2"/>
      </w:pPr>
      <w:bookmarkStart w:id="38" w:name="_Toc427590869"/>
      <w:r>
        <w:t>Claims by jurisdiction</w:t>
      </w:r>
      <w:bookmarkEnd w:id="38"/>
    </w:p>
    <w:p w:rsidR="00CC620A" w:rsidRDefault="00CC620A" w:rsidP="00513A50">
      <w:pPr>
        <w:pStyle w:val="BodyText1"/>
      </w:pPr>
      <w:r w:rsidRPr="00CC620A">
        <w:t>There are nine Australian jurisdictions providing workers’ compensation claims information to Safe Work Australia for the construction industry. The Commonwealth includes Australian Government employees as well as Australian Capital Territory Government employees. Data for the other jurisdictions include relevant state and local government employees.</w:t>
      </w:r>
    </w:p>
    <w:p w:rsidR="00CC620A" w:rsidRDefault="00CC620A" w:rsidP="00513A50">
      <w:pPr>
        <w:pStyle w:val="BodyText1"/>
      </w:pPr>
      <w:r w:rsidRPr="00CC620A">
        <w:t>Table 27 shows the highest incidence rate for the construction industry was recorded by the Australian Capital Territory private sector scheme with 26.9 serious claims per 1000 employees. The lowest rate was recorded by the Commonwealth (12.5) which covers very few construction workers for workers’ compensation.</w:t>
      </w:r>
    </w:p>
    <w:p w:rsidR="00CC620A" w:rsidRDefault="00CC620A" w:rsidP="004A0FAE">
      <w:pPr>
        <w:pStyle w:val="Tableheading"/>
      </w:pPr>
      <w:r>
        <w:t>Table 27: Serious claims in the construction industry: incidence rates by jurisdiction, 2009–10 to 2012–12 combined</w:t>
      </w:r>
    </w:p>
    <w:tbl>
      <w:tblPr>
        <w:tblStyle w:val="TableGrid"/>
        <w:tblW w:w="0" w:type="auto"/>
        <w:tblLook w:val="04A0" w:firstRow="1" w:lastRow="0" w:firstColumn="1" w:lastColumn="0" w:noHBand="0" w:noVBand="1"/>
        <w:tblCaption w:val="Table 27: Serious claims in the construction industry: incidence rates by jurisdiction, 2009–10 to 2012–12 combined"/>
        <w:tblDescription w:val="Table shows the proportion of serious claims, proportion of employees and the incidence rates in the construction industry by jurisdiction."/>
      </w:tblPr>
      <w:tblGrid>
        <w:gridCol w:w="2670"/>
        <w:gridCol w:w="2670"/>
        <w:gridCol w:w="2671"/>
        <w:gridCol w:w="2671"/>
      </w:tblGrid>
      <w:tr w:rsidR="00210B4C" w:rsidTr="00715413">
        <w:trPr>
          <w:trHeight w:val="283"/>
          <w:tblHeader/>
        </w:trPr>
        <w:tc>
          <w:tcPr>
            <w:tcW w:w="2670" w:type="dxa"/>
            <w:shd w:val="clear" w:color="auto" w:fill="D9D9D9" w:themeFill="background1" w:themeFillShade="D9"/>
            <w:vAlign w:val="center"/>
          </w:tcPr>
          <w:p w:rsidR="00210B4C" w:rsidRDefault="00210B4C" w:rsidP="00210B4C">
            <w:pPr>
              <w:pStyle w:val="Tableheaderrow"/>
              <w:jc w:val="left"/>
            </w:pPr>
            <w:r>
              <w:t>Jurisdiction</w:t>
            </w:r>
          </w:p>
        </w:tc>
        <w:tc>
          <w:tcPr>
            <w:tcW w:w="2670" w:type="dxa"/>
            <w:shd w:val="clear" w:color="auto" w:fill="D9D9D9" w:themeFill="background1" w:themeFillShade="D9"/>
            <w:vAlign w:val="center"/>
          </w:tcPr>
          <w:p w:rsidR="00210B4C" w:rsidRDefault="00210B4C" w:rsidP="00E960F1">
            <w:pPr>
              <w:pStyle w:val="Tableheaderrow"/>
              <w:jc w:val="right"/>
            </w:pPr>
            <w:r>
              <w:t>% of serious claims</w:t>
            </w:r>
          </w:p>
        </w:tc>
        <w:tc>
          <w:tcPr>
            <w:tcW w:w="2671" w:type="dxa"/>
            <w:shd w:val="clear" w:color="auto" w:fill="D9D9D9" w:themeFill="background1" w:themeFillShade="D9"/>
            <w:vAlign w:val="center"/>
          </w:tcPr>
          <w:p w:rsidR="00210B4C" w:rsidRDefault="00210B4C" w:rsidP="00E960F1">
            <w:pPr>
              <w:pStyle w:val="Tableheaderrow"/>
              <w:jc w:val="right"/>
            </w:pPr>
            <w:r>
              <w:t>% of employees</w:t>
            </w:r>
          </w:p>
        </w:tc>
        <w:tc>
          <w:tcPr>
            <w:tcW w:w="2671" w:type="dxa"/>
            <w:shd w:val="clear" w:color="auto" w:fill="D9D9D9" w:themeFill="background1" w:themeFillShade="D9"/>
            <w:vAlign w:val="center"/>
          </w:tcPr>
          <w:p w:rsidR="00210B4C" w:rsidRDefault="00210B4C" w:rsidP="00E960F1">
            <w:pPr>
              <w:pStyle w:val="Tableheaderrow"/>
              <w:jc w:val="right"/>
            </w:pPr>
            <w:r>
              <w:t>Incidence rate (claims per 1000 employees)</w:t>
            </w:r>
          </w:p>
        </w:tc>
      </w:tr>
      <w:tr w:rsidR="00210B4C" w:rsidTr="00E960F1">
        <w:trPr>
          <w:trHeight w:val="283"/>
        </w:trPr>
        <w:tc>
          <w:tcPr>
            <w:tcW w:w="2670" w:type="dxa"/>
            <w:vAlign w:val="center"/>
          </w:tcPr>
          <w:p w:rsidR="00210B4C" w:rsidRPr="004F7C54" w:rsidRDefault="00210B4C" w:rsidP="00210B4C">
            <w:pPr>
              <w:pStyle w:val="Tabletext"/>
            </w:pPr>
            <w:r w:rsidRPr="004F7C54">
              <w:t>New South Wales</w:t>
            </w:r>
          </w:p>
        </w:tc>
        <w:tc>
          <w:tcPr>
            <w:tcW w:w="2670" w:type="dxa"/>
            <w:vAlign w:val="center"/>
          </w:tcPr>
          <w:p w:rsidR="00210B4C" w:rsidRPr="004F7C54" w:rsidRDefault="00210B4C" w:rsidP="00E960F1">
            <w:pPr>
              <w:pStyle w:val="Tabletext"/>
              <w:jc w:val="right"/>
            </w:pPr>
            <w:r w:rsidRPr="004F7C54">
              <w:t>28%</w:t>
            </w:r>
          </w:p>
        </w:tc>
        <w:tc>
          <w:tcPr>
            <w:tcW w:w="2671" w:type="dxa"/>
            <w:vAlign w:val="center"/>
          </w:tcPr>
          <w:p w:rsidR="00210B4C" w:rsidRPr="004F7C54" w:rsidRDefault="00210B4C" w:rsidP="00E960F1">
            <w:pPr>
              <w:pStyle w:val="Tabletext"/>
              <w:jc w:val="right"/>
            </w:pPr>
            <w:r w:rsidRPr="004F7C54">
              <w:t>28%</w:t>
            </w:r>
          </w:p>
        </w:tc>
        <w:tc>
          <w:tcPr>
            <w:tcW w:w="2671" w:type="dxa"/>
            <w:vAlign w:val="center"/>
          </w:tcPr>
          <w:p w:rsidR="00210B4C" w:rsidRPr="004F7C54" w:rsidRDefault="00210B4C" w:rsidP="00E960F1">
            <w:pPr>
              <w:pStyle w:val="Tabletext"/>
              <w:jc w:val="right"/>
            </w:pPr>
            <w:r w:rsidRPr="004F7C54">
              <w:t>17.5</w:t>
            </w:r>
          </w:p>
        </w:tc>
      </w:tr>
      <w:tr w:rsidR="00210B4C" w:rsidTr="00E960F1">
        <w:trPr>
          <w:trHeight w:val="283"/>
        </w:trPr>
        <w:tc>
          <w:tcPr>
            <w:tcW w:w="2670" w:type="dxa"/>
            <w:vAlign w:val="center"/>
          </w:tcPr>
          <w:p w:rsidR="00210B4C" w:rsidRPr="004F7C54" w:rsidRDefault="00210B4C" w:rsidP="00210B4C">
            <w:pPr>
              <w:pStyle w:val="Tabletext"/>
            </w:pPr>
            <w:r w:rsidRPr="004F7C54">
              <w:t>Queensland</w:t>
            </w:r>
          </w:p>
        </w:tc>
        <w:tc>
          <w:tcPr>
            <w:tcW w:w="2670" w:type="dxa"/>
            <w:vAlign w:val="center"/>
          </w:tcPr>
          <w:p w:rsidR="00210B4C" w:rsidRPr="004F7C54" w:rsidRDefault="00210B4C" w:rsidP="00E960F1">
            <w:pPr>
              <w:pStyle w:val="Tabletext"/>
              <w:jc w:val="right"/>
            </w:pPr>
            <w:r w:rsidRPr="004F7C54">
              <w:t>23%</w:t>
            </w:r>
          </w:p>
        </w:tc>
        <w:tc>
          <w:tcPr>
            <w:tcW w:w="2671" w:type="dxa"/>
            <w:vAlign w:val="center"/>
          </w:tcPr>
          <w:p w:rsidR="00210B4C" w:rsidRPr="004F7C54" w:rsidRDefault="00210B4C" w:rsidP="00E960F1">
            <w:pPr>
              <w:pStyle w:val="Tabletext"/>
              <w:jc w:val="right"/>
            </w:pPr>
            <w:r w:rsidRPr="004F7C54">
              <w:t>20%</w:t>
            </w:r>
          </w:p>
        </w:tc>
        <w:tc>
          <w:tcPr>
            <w:tcW w:w="2671" w:type="dxa"/>
            <w:vAlign w:val="center"/>
          </w:tcPr>
          <w:p w:rsidR="00210B4C" w:rsidRPr="004F7C54" w:rsidRDefault="00210B4C" w:rsidP="00E960F1">
            <w:pPr>
              <w:pStyle w:val="Tabletext"/>
              <w:jc w:val="right"/>
            </w:pPr>
            <w:r w:rsidRPr="004F7C54">
              <w:t>20.3</w:t>
            </w:r>
          </w:p>
        </w:tc>
      </w:tr>
      <w:tr w:rsidR="00210B4C" w:rsidTr="00E960F1">
        <w:trPr>
          <w:trHeight w:val="283"/>
        </w:trPr>
        <w:tc>
          <w:tcPr>
            <w:tcW w:w="2670" w:type="dxa"/>
            <w:vAlign w:val="center"/>
          </w:tcPr>
          <w:p w:rsidR="00210B4C" w:rsidRPr="004F7C54" w:rsidRDefault="00210B4C" w:rsidP="00210B4C">
            <w:pPr>
              <w:pStyle w:val="Tabletext"/>
            </w:pPr>
            <w:r w:rsidRPr="004F7C54">
              <w:t>Victoria</w:t>
            </w:r>
          </w:p>
        </w:tc>
        <w:tc>
          <w:tcPr>
            <w:tcW w:w="2670" w:type="dxa"/>
            <w:vAlign w:val="center"/>
          </w:tcPr>
          <w:p w:rsidR="00210B4C" w:rsidRPr="004F7C54" w:rsidRDefault="00210B4C" w:rsidP="00E960F1">
            <w:pPr>
              <w:pStyle w:val="Tabletext"/>
              <w:jc w:val="right"/>
            </w:pPr>
            <w:r w:rsidRPr="004F7C54">
              <w:t>20%</w:t>
            </w:r>
          </w:p>
        </w:tc>
        <w:tc>
          <w:tcPr>
            <w:tcW w:w="2671" w:type="dxa"/>
            <w:vAlign w:val="center"/>
          </w:tcPr>
          <w:p w:rsidR="00210B4C" w:rsidRPr="004F7C54" w:rsidRDefault="00210B4C" w:rsidP="00E960F1">
            <w:pPr>
              <w:pStyle w:val="Tabletext"/>
              <w:jc w:val="right"/>
            </w:pPr>
            <w:r w:rsidRPr="004F7C54">
              <w:t>26%</w:t>
            </w:r>
          </w:p>
        </w:tc>
        <w:tc>
          <w:tcPr>
            <w:tcW w:w="2671" w:type="dxa"/>
            <w:vAlign w:val="center"/>
          </w:tcPr>
          <w:p w:rsidR="00210B4C" w:rsidRPr="004F7C54" w:rsidRDefault="00210B4C" w:rsidP="00E960F1">
            <w:pPr>
              <w:pStyle w:val="Tabletext"/>
              <w:jc w:val="right"/>
            </w:pPr>
            <w:r w:rsidRPr="004F7C54">
              <w:t>13.2</w:t>
            </w:r>
          </w:p>
        </w:tc>
      </w:tr>
      <w:tr w:rsidR="00210B4C" w:rsidTr="00E960F1">
        <w:trPr>
          <w:trHeight w:val="283"/>
        </w:trPr>
        <w:tc>
          <w:tcPr>
            <w:tcW w:w="2670" w:type="dxa"/>
            <w:vAlign w:val="center"/>
          </w:tcPr>
          <w:p w:rsidR="00210B4C" w:rsidRPr="004F7C54" w:rsidRDefault="00210B4C" w:rsidP="00210B4C">
            <w:pPr>
              <w:pStyle w:val="Tabletext"/>
            </w:pPr>
            <w:r w:rsidRPr="004F7C54">
              <w:t>Western Australia</w:t>
            </w:r>
          </w:p>
        </w:tc>
        <w:tc>
          <w:tcPr>
            <w:tcW w:w="2670" w:type="dxa"/>
            <w:vAlign w:val="center"/>
          </w:tcPr>
          <w:p w:rsidR="00210B4C" w:rsidRPr="004F7C54" w:rsidRDefault="00210B4C" w:rsidP="00E960F1">
            <w:pPr>
              <w:pStyle w:val="Tabletext"/>
              <w:jc w:val="right"/>
            </w:pPr>
            <w:r w:rsidRPr="004F7C54">
              <w:t>15%</w:t>
            </w:r>
          </w:p>
        </w:tc>
        <w:tc>
          <w:tcPr>
            <w:tcW w:w="2671" w:type="dxa"/>
            <w:vAlign w:val="center"/>
          </w:tcPr>
          <w:p w:rsidR="00210B4C" w:rsidRPr="004F7C54" w:rsidRDefault="00210B4C" w:rsidP="00E960F1">
            <w:pPr>
              <w:pStyle w:val="Tabletext"/>
              <w:jc w:val="right"/>
            </w:pPr>
            <w:r w:rsidRPr="004F7C54">
              <w:t>13%</w:t>
            </w:r>
          </w:p>
        </w:tc>
        <w:tc>
          <w:tcPr>
            <w:tcW w:w="2671" w:type="dxa"/>
            <w:vAlign w:val="center"/>
          </w:tcPr>
          <w:p w:rsidR="00210B4C" w:rsidRPr="004F7C54" w:rsidRDefault="00210B4C" w:rsidP="00E960F1">
            <w:pPr>
              <w:pStyle w:val="Tabletext"/>
              <w:jc w:val="right"/>
            </w:pPr>
            <w:r w:rsidRPr="004F7C54">
              <w:t>20.1</w:t>
            </w:r>
          </w:p>
        </w:tc>
      </w:tr>
      <w:tr w:rsidR="00210B4C" w:rsidTr="00E960F1">
        <w:trPr>
          <w:trHeight w:val="283"/>
        </w:trPr>
        <w:tc>
          <w:tcPr>
            <w:tcW w:w="2670" w:type="dxa"/>
            <w:vAlign w:val="center"/>
          </w:tcPr>
          <w:p w:rsidR="00210B4C" w:rsidRPr="004F7C54" w:rsidRDefault="00210B4C" w:rsidP="00210B4C">
            <w:pPr>
              <w:pStyle w:val="Tabletext"/>
            </w:pPr>
            <w:r w:rsidRPr="004F7C54">
              <w:t>South Australia</w:t>
            </w:r>
          </w:p>
        </w:tc>
        <w:tc>
          <w:tcPr>
            <w:tcW w:w="2670" w:type="dxa"/>
            <w:vAlign w:val="center"/>
          </w:tcPr>
          <w:p w:rsidR="00210B4C" w:rsidRPr="004F7C54" w:rsidRDefault="00210B4C" w:rsidP="00E960F1">
            <w:pPr>
              <w:pStyle w:val="Tabletext"/>
              <w:jc w:val="right"/>
            </w:pPr>
            <w:r w:rsidRPr="004F7C54">
              <w:t>6%</w:t>
            </w:r>
          </w:p>
        </w:tc>
        <w:tc>
          <w:tcPr>
            <w:tcW w:w="2671" w:type="dxa"/>
            <w:vAlign w:val="center"/>
          </w:tcPr>
          <w:p w:rsidR="00210B4C" w:rsidRPr="004F7C54" w:rsidRDefault="00210B4C" w:rsidP="00E960F1">
            <w:pPr>
              <w:pStyle w:val="Tabletext"/>
              <w:jc w:val="right"/>
            </w:pPr>
            <w:r w:rsidRPr="004F7C54">
              <w:t>7%</w:t>
            </w:r>
          </w:p>
        </w:tc>
        <w:tc>
          <w:tcPr>
            <w:tcW w:w="2671" w:type="dxa"/>
            <w:vAlign w:val="center"/>
          </w:tcPr>
          <w:p w:rsidR="00210B4C" w:rsidRPr="004F7C54" w:rsidRDefault="00210B4C" w:rsidP="00E960F1">
            <w:pPr>
              <w:pStyle w:val="Tabletext"/>
              <w:jc w:val="right"/>
            </w:pPr>
            <w:r w:rsidRPr="004F7C54">
              <w:t>16.8</w:t>
            </w:r>
          </w:p>
        </w:tc>
      </w:tr>
      <w:tr w:rsidR="00210B4C" w:rsidTr="00E960F1">
        <w:trPr>
          <w:trHeight w:val="283"/>
        </w:trPr>
        <w:tc>
          <w:tcPr>
            <w:tcW w:w="2670" w:type="dxa"/>
            <w:vAlign w:val="center"/>
          </w:tcPr>
          <w:p w:rsidR="00210B4C" w:rsidRPr="004F7C54" w:rsidRDefault="00210B4C" w:rsidP="00210B4C">
            <w:pPr>
              <w:pStyle w:val="Tabletext"/>
            </w:pPr>
            <w:r w:rsidRPr="004F7C54">
              <w:t>ACT Private Sector</w:t>
            </w:r>
          </w:p>
        </w:tc>
        <w:tc>
          <w:tcPr>
            <w:tcW w:w="2670" w:type="dxa"/>
            <w:vAlign w:val="center"/>
          </w:tcPr>
          <w:p w:rsidR="00210B4C" w:rsidRPr="004F7C54" w:rsidRDefault="00210B4C" w:rsidP="00E960F1">
            <w:pPr>
              <w:pStyle w:val="Tabletext"/>
              <w:jc w:val="right"/>
            </w:pPr>
            <w:r w:rsidRPr="004F7C54">
              <w:t>3%</w:t>
            </w:r>
          </w:p>
        </w:tc>
        <w:tc>
          <w:tcPr>
            <w:tcW w:w="2671" w:type="dxa"/>
            <w:vAlign w:val="center"/>
          </w:tcPr>
          <w:p w:rsidR="00210B4C" w:rsidRPr="004F7C54" w:rsidRDefault="00210B4C" w:rsidP="00E960F1">
            <w:pPr>
              <w:pStyle w:val="Tabletext"/>
              <w:jc w:val="right"/>
            </w:pPr>
            <w:r w:rsidRPr="004F7C54">
              <w:t>2%</w:t>
            </w:r>
          </w:p>
        </w:tc>
        <w:tc>
          <w:tcPr>
            <w:tcW w:w="2671" w:type="dxa"/>
            <w:vAlign w:val="center"/>
          </w:tcPr>
          <w:p w:rsidR="00210B4C" w:rsidRPr="004F7C54" w:rsidRDefault="00210B4C" w:rsidP="00E960F1">
            <w:pPr>
              <w:pStyle w:val="Tabletext"/>
              <w:jc w:val="right"/>
            </w:pPr>
            <w:r w:rsidRPr="004F7C54">
              <w:t>26.9</w:t>
            </w:r>
          </w:p>
        </w:tc>
      </w:tr>
      <w:tr w:rsidR="00210B4C" w:rsidTr="00E960F1">
        <w:trPr>
          <w:trHeight w:val="283"/>
        </w:trPr>
        <w:tc>
          <w:tcPr>
            <w:tcW w:w="2670" w:type="dxa"/>
            <w:vAlign w:val="center"/>
          </w:tcPr>
          <w:p w:rsidR="00210B4C" w:rsidRPr="004F7C54" w:rsidRDefault="00210B4C" w:rsidP="00210B4C">
            <w:pPr>
              <w:pStyle w:val="Tabletext"/>
            </w:pPr>
            <w:r w:rsidRPr="004F7C54">
              <w:t>Tasmania</w:t>
            </w:r>
          </w:p>
        </w:tc>
        <w:tc>
          <w:tcPr>
            <w:tcW w:w="2670" w:type="dxa"/>
            <w:vAlign w:val="center"/>
          </w:tcPr>
          <w:p w:rsidR="00210B4C" w:rsidRPr="004F7C54" w:rsidRDefault="00210B4C" w:rsidP="00E960F1">
            <w:pPr>
              <w:pStyle w:val="Tabletext"/>
              <w:jc w:val="right"/>
            </w:pPr>
            <w:r w:rsidRPr="004F7C54">
              <w:t>2%</w:t>
            </w:r>
          </w:p>
        </w:tc>
        <w:tc>
          <w:tcPr>
            <w:tcW w:w="2671" w:type="dxa"/>
            <w:vAlign w:val="center"/>
          </w:tcPr>
          <w:p w:rsidR="00210B4C" w:rsidRPr="004F7C54" w:rsidRDefault="00210B4C" w:rsidP="00E960F1">
            <w:pPr>
              <w:pStyle w:val="Tabletext"/>
              <w:jc w:val="right"/>
            </w:pPr>
            <w:r w:rsidRPr="004F7C54">
              <w:t>2%</w:t>
            </w:r>
          </w:p>
        </w:tc>
        <w:tc>
          <w:tcPr>
            <w:tcW w:w="2671" w:type="dxa"/>
            <w:vAlign w:val="center"/>
          </w:tcPr>
          <w:p w:rsidR="00210B4C" w:rsidRPr="004F7C54" w:rsidRDefault="00210B4C" w:rsidP="00E960F1">
            <w:pPr>
              <w:pStyle w:val="Tabletext"/>
              <w:jc w:val="right"/>
            </w:pPr>
            <w:r w:rsidRPr="004F7C54">
              <w:t>21.2</w:t>
            </w:r>
          </w:p>
        </w:tc>
      </w:tr>
      <w:tr w:rsidR="00210B4C" w:rsidTr="00E960F1">
        <w:trPr>
          <w:trHeight w:val="283"/>
        </w:trPr>
        <w:tc>
          <w:tcPr>
            <w:tcW w:w="2670" w:type="dxa"/>
            <w:vAlign w:val="center"/>
          </w:tcPr>
          <w:p w:rsidR="00210B4C" w:rsidRPr="004F7C54" w:rsidRDefault="00210B4C" w:rsidP="00210B4C">
            <w:pPr>
              <w:pStyle w:val="Tabletext"/>
            </w:pPr>
            <w:r w:rsidRPr="004F7C54">
              <w:t>Northern Territory</w:t>
            </w:r>
          </w:p>
        </w:tc>
        <w:tc>
          <w:tcPr>
            <w:tcW w:w="2670" w:type="dxa"/>
            <w:vAlign w:val="center"/>
          </w:tcPr>
          <w:p w:rsidR="00210B4C" w:rsidRPr="004F7C54" w:rsidRDefault="00210B4C" w:rsidP="00E960F1">
            <w:pPr>
              <w:pStyle w:val="Tabletext"/>
              <w:jc w:val="right"/>
            </w:pPr>
            <w:r w:rsidRPr="004F7C54">
              <w:t>1%</w:t>
            </w:r>
          </w:p>
        </w:tc>
        <w:tc>
          <w:tcPr>
            <w:tcW w:w="2671" w:type="dxa"/>
            <w:vAlign w:val="center"/>
          </w:tcPr>
          <w:p w:rsidR="00210B4C" w:rsidRPr="004F7C54" w:rsidRDefault="00210B4C" w:rsidP="00E960F1">
            <w:pPr>
              <w:pStyle w:val="Tabletext"/>
              <w:jc w:val="right"/>
            </w:pPr>
            <w:r w:rsidRPr="004F7C54">
              <w:t>1%</w:t>
            </w:r>
          </w:p>
        </w:tc>
        <w:tc>
          <w:tcPr>
            <w:tcW w:w="2671" w:type="dxa"/>
            <w:vAlign w:val="center"/>
          </w:tcPr>
          <w:p w:rsidR="00210B4C" w:rsidRPr="004F7C54" w:rsidRDefault="00210B4C" w:rsidP="00E960F1">
            <w:pPr>
              <w:pStyle w:val="Tabletext"/>
              <w:jc w:val="right"/>
            </w:pPr>
            <w:r w:rsidRPr="004F7C54">
              <w:t>15.4</w:t>
            </w:r>
          </w:p>
        </w:tc>
      </w:tr>
      <w:tr w:rsidR="00210B4C" w:rsidTr="00E960F1">
        <w:trPr>
          <w:trHeight w:val="283"/>
        </w:trPr>
        <w:tc>
          <w:tcPr>
            <w:tcW w:w="2670" w:type="dxa"/>
            <w:vAlign w:val="center"/>
          </w:tcPr>
          <w:p w:rsidR="00210B4C" w:rsidRPr="004F7C54" w:rsidRDefault="00210B4C" w:rsidP="00210B4C">
            <w:pPr>
              <w:pStyle w:val="Tabletext"/>
            </w:pPr>
            <w:r w:rsidRPr="004F7C54">
              <w:t>Commonwealth</w:t>
            </w:r>
          </w:p>
        </w:tc>
        <w:tc>
          <w:tcPr>
            <w:tcW w:w="2670" w:type="dxa"/>
            <w:vAlign w:val="center"/>
          </w:tcPr>
          <w:p w:rsidR="00210B4C" w:rsidRPr="004F7C54" w:rsidRDefault="00210B4C" w:rsidP="00E960F1">
            <w:pPr>
              <w:pStyle w:val="Tabletext"/>
              <w:jc w:val="right"/>
            </w:pPr>
            <w:r w:rsidRPr="004F7C54">
              <w:t>1%</w:t>
            </w:r>
          </w:p>
        </w:tc>
        <w:tc>
          <w:tcPr>
            <w:tcW w:w="2671" w:type="dxa"/>
            <w:vAlign w:val="center"/>
          </w:tcPr>
          <w:p w:rsidR="00210B4C" w:rsidRPr="004F7C54" w:rsidRDefault="00210B4C" w:rsidP="00E960F1">
            <w:pPr>
              <w:pStyle w:val="Tabletext"/>
              <w:jc w:val="right"/>
            </w:pPr>
            <w:r w:rsidRPr="004F7C54">
              <w:t>1%</w:t>
            </w:r>
          </w:p>
        </w:tc>
        <w:tc>
          <w:tcPr>
            <w:tcW w:w="2671" w:type="dxa"/>
            <w:vAlign w:val="center"/>
          </w:tcPr>
          <w:p w:rsidR="00210B4C" w:rsidRPr="004F7C54" w:rsidRDefault="00210B4C" w:rsidP="00E960F1">
            <w:pPr>
              <w:pStyle w:val="Tabletext"/>
              <w:jc w:val="right"/>
            </w:pPr>
            <w:r w:rsidRPr="004F7C54">
              <w:t>12.5</w:t>
            </w:r>
          </w:p>
        </w:tc>
      </w:tr>
      <w:tr w:rsidR="00210B4C" w:rsidTr="00E960F1">
        <w:trPr>
          <w:trHeight w:val="283"/>
        </w:trPr>
        <w:tc>
          <w:tcPr>
            <w:tcW w:w="2670" w:type="dxa"/>
            <w:vAlign w:val="center"/>
          </w:tcPr>
          <w:p w:rsidR="00210B4C" w:rsidRPr="004F7C54" w:rsidRDefault="00210B4C" w:rsidP="00210B4C">
            <w:pPr>
              <w:pStyle w:val="Tabletext"/>
            </w:pPr>
            <w:r w:rsidRPr="004F7C54">
              <w:t>Total</w:t>
            </w:r>
          </w:p>
        </w:tc>
        <w:tc>
          <w:tcPr>
            <w:tcW w:w="2670" w:type="dxa"/>
            <w:vAlign w:val="center"/>
          </w:tcPr>
          <w:p w:rsidR="00210B4C" w:rsidRPr="004F7C54" w:rsidRDefault="00210B4C" w:rsidP="00E960F1">
            <w:pPr>
              <w:pStyle w:val="Tabletext"/>
              <w:jc w:val="right"/>
            </w:pPr>
            <w:r w:rsidRPr="004F7C54">
              <w:t>100%</w:t>
            </w:r>
          </w:p>
        </w:tc>
        <w:tc>
          <w:tcPr>
            <w:tcW w:w="2671" w:type="dxa"/>
            <w:vAlign w:val="center"/>
          </w:tcPr>
          <w:p w:rsidR="00210B4C" w:rsidRPr="004F7C54" w:rsidRDefault="00210B4C" w:rsidP="00E960F1">
            <w:pPr>
              <w:pStyle w:val="Tabletext"/>
              <w:jc w:val="right"/>
            </w:pPr>
            <w:r w:rsidRPr="004F7C54">
              <w:t>100%</w:t>
            </w:r>
          </w:p>
        </w:tc>
        <w:tc>
          <w:tcPr>
            <w:tcW w:w="2671" w:type="dxa"/>
            <w:vAlign w:val="center"/>
          </w:tcPr>
          <w:p w:rsidR="00210B4C" w:rsidRDefault="00210B4C" w:rsidP="00E960F1">
            <w:pPr>
              <w:pStyle w:val="Tabletext"/>
              <w:jc w:val="right"/>
            </w:pPr>
            <w:r w:rsidRPr="004F7C54">
              <w:t>17.4</w:t>
            </w:r>
          </w:p>
        </w:tc>
      </w:tr>
    </w:tbl>
    <w:p w:rsidR="00CC620A" w:rsidRDefault="004A0FAE" w:rsidP="00257F90">
      <w:pPr>
        <w:pStyle w:val="Heading2"/>
      </w:pPr>
      <w:bookmarkStart w:id="39" w:name="_Toc427590870"/>
      <w:r>
        <w:t>Claims by occupation</w:t>
      </w:r>
      <w:bookmarkEnd w:id="39"/>
    </w:p>
    <w:p w:rsidR="00CC620A" w:rsidRDefault="00CC620A" w:rsidP="00513A50">
      <w:pPr>
        <w:pStyle w:val="BodyText1"/>
      </w:pPr>
      <w:r w:rsidRPr="00CC620A">
        <w:t>Half the injured workers in the construction industry were employed as technicians &amp; trades workers at the time of their injury. Within this occupation group, the workers with most injuries were bricklayers, carpenters &amp; joiners who accounted for 15% of the injuries incurred by all construction workers.</w:t>
      </w:r>
    </w:p>
    <w:p w:rsidR="00CC620A" w:rsidRDefault="00CC620A" w:rsidP="00513A50">
      <w:pPr>
        <w:pStyle w:val="BodyText1"/>
      </w:pPr>
      <w:r w:rsidRPr="00CC620A">
        <w:t>The proportion of serious claims which each of the occupation groups represent are similar to those shown for fa</w:t>
      </w:r>
      <w:r w:rsidR="00801408">
        <w:t xml:space="preserve">talities (Table 16) except for </w:t>
      </w:r>
      <w:r w:rsidRPr="00CC620A">
        <w:t>machinery operations &amp; drivers who accounted for 21% of fatalities and 11% of serious claims. This may be an indication of the greater likelihood of a fatality when using machinery.</w:t>
      </w:r>
    </w:p>
    <w:p w:rsidR="008D72B2" w:rsidRDefault="008D72B2">
      <w:pPr>
        <w:rPr>
          <w:rFonts w:ascii="Arial" w:hAnsi="Arial" w:cs="Arial"/>
          <w:color w:val="FF0000"/>
          <w:lang w:val="en-US"/>
        </w:rPr>
      </w:pPr>
      <w:r>
        <w:br w:type="page"/>
      </w:r>
    </w:p>
    <w:p w:rsidR="00CC620A" w:rsidRDefault="00CC620A" w:rsidP="00210B4C">
      <w:pPr>
        <w:pStyle w:val="Tableheading"/>
      </w:pPr>
      <w:r>
        <w:t>Table 28: Serious claims in the construction industry: number and percentage by occupation of injured worker, 2010–11 to 2012–</w:t>
      </w:r>
      <w:proofErr w:type="spellStart"/>
      <w:r>
        <w:t>13p</w:t>
      </w:r>
      <w:proofErr w:type="spellEnd"/>
      <w:r>
        <w:t xml:space="preserve"> combined</w:t>
      </w:r>
    </w:p>
    <w:tbl>
      <w:tblPr>
        <w:tblStyle w:val="TableGrid"/>
        <w:tblW w:w="10715" w:type="dxa"/>
        <w:tblLook w:val="04A0" w:firstRow="1" w:lastRow="0" w:firstColumn="1" w:lastColumn="0" w:noHBand="0" w:noVBand="1"/>
        <w:tblCaption w:val="Table 28: Serious claims in the construction industry: number and percentage by occupation of injured worker, 2010–11 to 2012–13p combined"/>
        <w:tblDescription w:val="Table shows the number and percentage of serious claims in the construction industry by occupation."/>
      </w:tblPr>
      <w:tblGrid>
        <w:gridCol w:w="7540"/>
        <w:gridCol w:w="2041"/>
        <w:gridCol w:w="1134"/>
      </w:tblGrid>
      <w:tr w:rsidR="00931A31" w:rsidTr="00715413">
        <w:trPr>
          <w:trHeight w:val="283"/>
          <w:tblHeader/>
        </w:trPr>
        <w:tc>
          <w:tcPr>
            <w:tcW w:w="7540" w:type="dxa"/>
            <w:shd w:val="clear" w:color="auto" w:fill="D9D9D9" w:themeFill="background1" w:themeFillShade="D9"/>
            <w:vAlign w:val="center"/>
          </w:tcPr>
          <w:p w:rsidR="00931A31" w:rsidRPr="00AA6B5B" w:rsidRDefault="00931A31" w:rsidP="00E960F1">
            <w:pPr>
              <w:pStyle w:val="Tableheaderrow"/>
              <w:jc w:val="left"/>
            </w:pPr>
            <w:r w:rsidRPr="00AA6B5B">
              <w:t>Occupation</w:t>
            </w:r>
          </w:p>
        </w:tc>
        <w:tc>
          <w:tcPr>
            <w:tcW w:w="2041" w:type="dxa"/>
            <w:shd w:val="clear" w:color="auto" w:fill="D9D9D9" w:themeFill="background1" w:themeFillShade="D9"/>
            <w:vAlign w:val="center"/>
          </w:tcPr>
          <w:p w:rsidR="00931A31" w:rsidRPr="00AA6B5B" w:rsidRDefault="00931A31" w:rsidP="00E960F1">
            <w:pPr>
              <w:pStyle w:val="Tableheaderrow"/>
              <w:jc w:val="right"/>
            </w:pPr>
            <w:r w:rsidRPr="00AA6B5B">
              <w:t>No. of serious claims</w:t>
            </w:r>
          </w:p>
        </w:tc>
        <w:tc>
          <w:tcPr>
            <w:tcW w:w="1134" w:type="dxa"/>
            <w:shd w:val="clear" w:color="auto" w:fill="D9D9D9" w:themeFill="background1" w:themeFillShade="D9"/>
            <w:vAlign w:val="center"/>
          </w:tcPr>
          <w:p w:rsidR="00931A31" w:rsidRPr="00AA6B5B" w:rsidRDefault="00931A31" w:rsidP="00E960F1">
            <w:pPr>
              <w:pStyle w:val="Tableheaderrow"/>
              <w:jc w:val="right"/>
            </w:pPr>
            <w:r w:rsidRPr="00AA6B5B">
              <w:t>%</w:t>
            </w:r>
          </w:p>
        </w:tc>
      </w:tr>
      <w:tr w:rsidR="00931A31" w:rsidTr="00E960F1">
        <w:tc>
          <w:tcPr>
            <w:tcW w:w="7540" w:type="dxa"/>
            <w:vAlign w:val="center"/>
          </w:tcPr>
          <w:p w:rsidR="00931A31" w:rsidRPr="00AA6B5B" w:rsidRDefault="00931A31" w:rsidP="00E960F1">
            <w:pPr>
              <w:pStyle w:val="Tabletext"/>
            </w:pPr>
            <w:r w:rsidRPr="00AA6B5B">
              <w:t xml:space="preserve">Technicians </w:t>
            </w:r>
            <w:r>
              <w:t>&amp;</w:t>
            </w:r>
            <w:r w:rsidRPr="00AA6B5B">
              <w:t xml:space="preserve"> Trades Workers</w:t>
            </w:r>
          </w:p>
        </w:tc>
        <w:tc>
          <w:tcPr>
            <w:tcW w:w="2041" w:type="dxa"/>
            <w:vAlign w:val="center"/>
          </w:tcPr>
          <w:p w:rsidR="00931A31" w:rsidRPr="00C33C7F" w:rsidRDefault="00931A31" w:rsidP="00E960F1">
            <w:pPr>
              <w:pStyle w:val="Tabletext"/>
              <w:jc w:val="right"/>
            </w:pPr>
            <w:r w:rsidRPr="00C33C7F">
              <w:t>18480</w:t>
            </w:r>
          </w:p>
        </w:tc>
        <w:tc>
          <w:tcPr>
            <w:tcW w:w="1134" w:type="dxa"/>
            <w:vAlign w:val="center"/>
          </w:tcPr>
          <w:p w:rsidR="00931A31" w:rsidRPr="00AA6B5B" w:rsidRDefault="00931A31" w:rsidP="00E960F1">
            <w:pPr>
              <w:pStyle w:val="Tabletext"/>
              <w:jc w:val="right"/>
            </w:pPr>
            <w:r w:rsidRPr="00AA6B5B">
              <w:t>49%</w:t>
            </w:r>
          </w:p>
        </w:tc>
      </w:tr>
      <w:tr w:rsidR="00931A31" w:rsidTr="00E960F1">
        <w:tc>
          <w:tcPr>
            <w:tcW w:w="7540" w:type="dxa"/>
            <w:vAlign w:val="center"/>
          </w:tcPr>
          <w:p w:rsidR="00931A31" w:rsidRPr="00AA6B5B" w:rsidRDefault="00931A31" w:rsidP="00E960F1">
            <w:pPr>
              <w:pStyle w:val="Tabletext"/>
            </w:pPr>
            <w:r w:rsidRPr="00AA6B5B">
              <w:t>Construction Trades Workers</w:t>
            </w:r>
          </w:p>
        </w:tc>
        <w:tc>
          <w:tcPr>
            <w:tcW w:w="2041" w:type="dxa"/>
            <w:vAlign w:val="center"/>
          </w:tcPr>
          <w:p w:rsidR="00931A31" w:rsidRPr="00C33C7F" w:rsidRDefault="00931A31" w:rsidP="00E960F1">
            <w:pPr>
              <w:pStyle w:val="Tabletext"/>
              <w:jc w:val="right"/>
            </w:pPr>
            <w:r w:rsidRPr="00C33C7F">
              <w:t>11405</w:t>
            </w:r>
          </w:p>
        </w:tc>
        <w:tc>
          <w:tcPr>
            <w:tcW w:w="1134" w:type="dxa"/>
            <w:vAlign w:val="center"/>
          </w:tcPr>
          <w:p w:rsidR="00931A31" w:rsidRPr="00AA6B5B" w:rsidRDefault="00931A31" w:rsidP="00E960F1">
            <w:pPr>
              <w:pStyle w:val="Tabletext"/>
              <w:jc w:val="right"/>
            </w:pPr>
            <w:r w:rsidRPr="00AA6B5B">
              <w:t>30%</w:t>
            </w:r>
          </w:p>
        </w:tc>
      </w:tr>
      <w:tr w:rsidR="00931A31" w:rsidTr="00E960F1">
        <w:tc>
          <w:tcPr>
            <w:tcW w:w="7540" w:type="dxa"/>
            <w:vAlign w:val="center"/>
          </w:tcPr>
          <w:p w:rsidR="00931A31" w:rsidRPr="00AA6B5B" w:rsidRDefault="00931A31" w:rsidP="00E960F1">
            <w:pPr>
              <w:pStyle w:val="Tabletext"/>
            </w:pPr>
            <w:r w:rsidRPr="00AA6B5B">
              <w:t xml:space="preserve">Bricklayers, </w:t>
            </w:r>
            <w:r>
              <w:t>&amp;</w:t>
            </w:r>
            <w:r w:rsidRPr="00AA6B5B">
              <w:t xml:space="preserve"> Carpenters and Joiners</w:t>
            </w:r>
          </w:p>
        </w:tc>
        <w:tc>
          <w:tcPr>
            <w:tcW w:w="2041" w:type="dxa"/>
            <w:vAlign w:val="center"/>
          </w:tcPr>
          <w:p w:rsidR="00931A31" w:rsidRPr="00C33C7F" w:rsidRDefault="00931A31" w:rsidP="00E960F1">
            <w:pPr>
              <w:pStyle w:val="Tabletext"/>
              <w:jc w:val="right"/>
            </w:pPr>
            <w:r w:rsidRPr="00C33C7F">
              <w:t>5535</w:t>
            </w:r>
          </w:p>
        </w:tc>
        <w:tc>
          <w:tcPr>
            <w:tcW w:w="1134" w:type="dxa"/>
            <w:vAlign w:val="center"/>
          </w:tcPr>
          <w:p w:rsidR="00931A31" w:rsidRPr="00AA6B5B" w:rsidRDefault="00931A31" w:rsidP="00E960F1">
            <w:pPr>
              <w:pStyle w:val="Tabletext"/>
              <w:jc w:val="right"/>
            </w:pPr>
            <w:r w:rsidRPr="00AA6B5B">
              <w:t>15%</w:t>
            </w:r>
          </w:p>
        </w:tc>
      </w:tr>
      <w:tr w:rsidR="00931A31" w:rsidTr="00E960F1">
        <w:tc>
          <w:tcPr>
            <w:tcW w:w="7540" w:type="dxa"/>
            <w:vAlign w:val="center"/>
          </w:tcPr>
          <w:p w:rsidR="00931A31" w:rsidRPr="00AA6B5B" w:rsidRDefault="00931A31" w:rsidP="00E960F1">
            <w:pPr>
              <w:pStyle w:val="Tabletext"/>
            </w:pPr>
            <w:r w:rsidRPr="00AA6B5B">
              <w:t>Plumbers</w:t>
            </w:r>
          </w:p>
        </w:tc>
        <w:tc>
          <w:tcPr>
            <w:tcW w:w="2041" w:type="dxa"/>
            <w:vAlign w:val="center"/>
          </w:tcPr>
          <w:p w:rsidR="00931A31" w:rsidRPr="00C33C7F" w:rsidRDefault="00931A31" w:rsidP="00E960F1">
            <w:pPr>
              <w:pStyle w:val="Tabletext"/>
              <w:jc w:val="right"/>
            </w:pPr>
            <w:r w:rsidRPr="00C33C7F">
              <w:t>2945</w:t>
            </w:r>
          </w:p>
        </w:tc>
        <w:tc>
          <w:tcPr>
            <w:tcW w:w="1134" w:type="dxa"/>
            <w:vAlign w:val="center"/>
          </w:tcPr>
          <w:p w:rsidR="00931A31" w:rsidRPr="00AA6B5B" w:rsidRDefault="00931A31" w:rsidP="00E960F1">
            <w:pPr>
              <w:pStyle w:val="Tabletext"/>
              <w:jc w:val="right"/>
            </w:pPr>
            <w:r w:rsidRPr="00AA6B5B">
              <w:t>8%</w:t>
            </w:r>
          </w:p>
        </w:tc>
      </w:tr>
      <w:tr w:rsidR="00931A31" w:rsidTr="00E960F1">
        <w:tc>
          <w:tcPr>
            <w:tcW w:w="7540" w:type="dxa"/>
            <w:vAlign w:val="center"/>
          </w:tcPr>
          <w:p w:rsidR="00931A31" w:rsidRPr="00AA6B5B" w:rsidRDefault="00931A31" w:rsidP="00E960F1">
            <w:pPr>
              <w:pStyle w:val="Tabletext"/>
            </w:pPr>
            <w:r w:rsidRPr="00AA6B5B">
              <w:t>Glaziers, Plasterers and Tilers</w:t>
            </w:r>
          </w:p>
        </w:tc>
        <w:tc>
          <w:tcPr>
            <w:tcW w:w="2041" w:type="dxa"/>
            <w:vAlign w:val="center"/>
          </w:tcPr>
          <w:p w:rsidR="00931A31" w:rsidRPr="00C33C7F" w:rsidRDefault="00931A31" w:rsidP="00E960F1">
            <w:pPr>
              <w:pStyle w:val="Tabletext"/>
              <w:jc w:val="right"/>
            </w:pPr>
            <w:r w:rsidRPr="00C33C7F">
              <w:t>1965</w:t>
            </w:r>
          </w:p>
        </w:tc>
        <w:tc>
          <w:tcPr>
            <w:tcW w:w="1134" w:type="dxa"/>
            <w:vAlign w:val="center"/>
          </w:tcPr>
          <w:p w:rsidR="00931A31" w:rsidRPr="00AA6B5B" w:rsidRDefault="00931A31" w:rsidP="00E960F1">
            <w:pPr>
              <w:pStyle w:val="Tabletext"/>
              <w:jc w:val="right"/>
            </w:pPr>
            <w:r w:rsidRPr="00AA6B5B">
              <w:t>5%</w:t>
            </w:r>
          </w:p>
        </w:tc>
      </w:tr>
      <w:tr w:rsidR="00931A31" w:rsidTr="00E960F1">
        <w:tc>
          <w:tcPr>
            <w:tcW w:w="7540" w:type="dxa"/>
            <w:vAlign w:val="center"/>
          </w:tcPr>
          <w:p w:rsidR="00931A31" w:rsidRPr="00AA6B5B" w:rsidRDefault="00931A31" w:rsidP="00E960F1">
            <w:pPr>
              <w:pStyle w:val="Tabletext"/>
            </w:pPr>
            <w:r w:rsidRPr="00AA6B5B">
              <w:t xml:space="preserve">Floor Finishers </w:t>
            </w:r>
            <w:r>
              <w:t>&amp;</w:t>
            </w:r>
            <w:r w:rsidRPr="00AA6B5B">
              <w:t xml:space="preserve"> Painting Trades Workers</w:t>
            </w:r>
          </w:p>
        </w:tc>
        <w:tc>
          <w:tcPr>
            <w:tcW w:w="2041" w:type="dxa"/>
            <w:vAlign w:val="center"/>
          </w:tcPr>
          <w:p w:rsidR="00931A31" w:rsidRPr="00C33C7F" w:rsidRDefault="00931A31" w:rsidP="00E960F1">
            <w:pPr>
              <w:pStyle w:val="Tabletext"/>
              <w:jc w:val="right"/>
            </w:pPr>
            <w:r w:rsidRPr="00C33C7F">
              <w:t>955</w:t>
            </w:r>
          </w:p>
        </w:tc>
        <w:tc>
          <w:tcPr>
            <w:tcW w:w="1134" w:type="dxa"/>
            <w:vAlign w:val="center"/>
          </w:tcPr>
          <w:p w:rsidR="00931A31" w:rsidRPr="00AA6B5B" w:rsidRDefault="00931A31" w:rsidP="00E960F1">
            <w:pPr>
              <w:pStyle w:val="Tabletext"/>
              <w:jc w:val="right"/>
            </w:pPr>
            <w:r w:rsidRPr="00AA6B5B">
              <w:t>3%</w:t>
            </w:r>
          </w:p>
        </w:tc>
      </w:tr>
      <w:tr w:rsidR="00931A31" w:rsidTr="00E960F1">
        <w:tc>
          <w:tcPr>
            <w:tcW w:w="7540" w:type="dxa"/>
            <w:vAlign w:val="center"/>
          </w:tcPr>
          <w:p w:rsidR="00931A31" w:rsidRPr="00AA6B5B" w:rsidRDefault="00931A31" w:rsidP="00E960F1">
            <w:pPr>
              <w:pStyle w:val="Tabletext"/>
            </w:pPr>
            <w:proofErr w:type="spellStart"/>
            <w:r w:rsidRPr="00AA6B5B">
              <w:t>Electrotechnology</w:t>
            </w:r>
            <w:proofErr w:type="spellEnd"/>
            <w:r w:rsidRPr="00AA6B5B">
              <w:t xml:space="preserve"> </w:t>
            </w:r>
            <w:r>
              <w:t>&amp;</w:t>
            </w:r>
            <w:r w:rsidRPr="00AA6B5B">
              <w:t xml:space="preserve"> Telecommunications Trades Workers</w:t>
            </w:r>
          </w:p>
        </w:tc>
        <w:tc>
          <w:tcPr>
            <w:tcW w:w="2041" w:type="dxa"/>
            <w:vAlign w:val="center"/>
          </w:tcPr>
          <w:p w:rsidR="00931A31" w:rsidRPr="00C33C7F" w:rsidRDefault="00931A31" w:rsidP="00E960F1">
            <w:pPr>
              <w:pStyle w:val="Tabletext"/>
              <w:jc w:val="right"/>
            </w:pPr>
            <w:r w:rsidRPr="00C33C7F">
              <w:t>3450</w:t>
            </w:r>
          </w:p>
        </w:tc>
        <w:tc>
          <w:tcPr>
            <w:tcW w:w="1134" w:type="dxa"/>
            <w:vAlign w:val="center"/>
          </w:tcPr>
          <w:p w:rsidR="00931A31" w:rsidRPr="00AA6B5B" w:rsidRDefault="00931A31" w:rsidP="00E960F1">
            <w:pPr>
              <w:pStyle w:val="Tabletext"/>
              <w:jc w:val="right"/>
            </w:pPr>
            <w:r w:rsidRPr="00AA6B5B">
              <w:t>9%</w:t>
            </w:r>
          </w:p>
        </w:tc>
      </w:tr>
      <w:tr w:rsidR="00931A31" w:rsidTr="00E960F1">
        <w:tc>
          <w:tcPr>
            <w:tcW w:w="7540" w:type="dxa"/>
            <w:vAlign w:val="center"/>
          </w:tcPr>
          <w:p w:rsidR="00931A31" w:rsidRPr="00AA6B5B" w:rsidRDefault="00931A31" w:rsidP="00E960F1">
            <w:pPr>
              <w:pStyle w:val="Tabletext"/>
            </w:pPr>
            <w:r w:rsidRPr="00AA6B5B">
              <w:t>Electricians</w:t>
            </w:r>
          </w:p>
        </w:tc>
        <w:tc>
          <w:tcPr>
            <w:tcW w:w="2041" w:type="dxa"/>
            <w:vAlign w:val="center"/>
          </w:tcPr>
          <w:p w:rsidR="00931A31" w:rsidRPr="00C33C7F" w:rsidRDefault="00931A31" w:rsidP="00E960F1">
            <w:pPr>
              <w:pStyle w:val="Tabletext"/>
              <w:jc w:val="right"/>
            </w:pPr>
            <w:r w:rsidRPr="00C33C7F">
              <w:t>2525</w:t>
            </w:r>
          </w:p>
        </w:tc>
        <w:tc>
          <w:tcPr>
            <w:tcW w:w="1134" w:type="dxa"/>
            <w:vAlign w:val="center"/>
          </w:tcPr>
          <w:p w:rsidR="00931A31" w:rsidRPr="00AA6B5B" w:rsidRDefault="00931A31" w:rsidP="00E960F1">
            <w:pPr>
              <w:pStyle w:val="Tabletext"/>
              <w:jc w:val="right"/>
            </w:pPr>
            <w:r w:rsidRPr="00AA6B5B">
              <w:t>7%</w:t>
            </w:r>
          </w:p>
        </w:tc>
      </w:tr>
      <w:tr w:rsidR="00931A31" w:rsidTr="00E960F1">
        <w:tc>
          <w:tcPr>
            <w:tcW w:w="7540" w:type="dxa"/>
            <w:vAlign w:val="center"/>
          </w:tcPr>
          <w:p w:rsidR="00931A31" w:rsidRPr="00AA6B5B" w:rsidRDefault="00931A31" w:rsidP="00E960F1">
            <w:pPr>
              <w:pStyle w:val="Tabletext"/>
            </w:pPr>
            <w:r w:rsidRPr="00AA6B5B">
              <w:t>Labourers</w:t>
            </w:r>
          </w:p>
        </w:tc>
        <w:tc>
          <w:tcPr>
            <w:tcW w:w="2041" w:type="dxa"/>
            <w:vAlign w:val="center"/>
          </w:tcPr>
          <w:p w:rsidR="00931A31" w:rsidRPr="00C33C7F" w:rsidRDefault="00931A31" w:rsidP="00E960F1">
            <w:pPr>
              <w:pStyle w:val="Tabletext"/>
              <w:jc w:val="right"/>
            </w:pPr>
            <w:r w:rsidRPr="00C33C7F">
              <w:t>11985</w:t>
            </w:r>
          </w:p>
        </w:tc>
        <w:tc>
          <w:tcPr>
            <w:tcW w:w="1134" w:type="dxa"/>
            <w:vAlign w:val="center"/>
          </w:tcPr>
          <w:p w:rsidR="00931A31" w:rsidRPr="00AA6B5B" w:rsidRDefault="00931A31" w:rsidP="00E960F1">
            <w:pPr>
              <w:pStyle w:val="Tabletext"/>
              <w:jc w:val="right"/>
            </w:pPr>
            <w:r w:rsidRPr="00AA6B5B">
              <w:t>32%</w:t>
            </w:r>
          </w:p>
        </w:tc>
      </w:tr>
      <w:tr w:rsidR="00931A31" w:rsidTr="00E960F1">
        <w:tc>
          <w:tcPr>
            <w:tcW w:w="7540" w:type="dxa"/>
            <w:vAlign w:val="center"/>
          </w:tcPr>
          <w:p w:rsidR="00931A31" w:rsidRPr="00AA6B5B" w:rsidRDefault="00931A31" w:rsidP="00E960F1">
            <w:pPr>
              <w:pStyle w:val="Tabletext"/>
            </w:pPr>
            <w:r w:rsidRPr="00AA6B5B">
              <w:t xml:space="preserve">Construction </w:t>
            </w:r>
            <w:r>
              <w:t>&amp;</w:t>
            </w:r>
            <w:r w:rsidRPr="00AA6B5B">
              <w:t xml:space="preserve"> Mining Labourers</w:t>
            </w:r>
          </w:p>
        </w:tc>
        <w:tc>
          <w:tcPr>
            <w:tcW w:w="2041" w:type="dxa"/>
            <w:vAlign w:val="center"/>
          </w:tcPr>
          <w:p w:rsidR="00931A31" w:rsidRPr="00C33C7F" w:rsidRDefault="00931A31" w:rsidP="00E960F1">
            <w:pPr>
              <w:pStyle w:val="Tabletext"/>
              <w:jc w:val="right"/>
            </w:pPr>
            <w:r w:rsidRPr="00C33C7F">
              <w:t>6460</w:t>
            </w:r>
          </w:p>
        </w:tc>
        <w:tc>
          <w:tcPr>
            <w:tcW w:w="1134" w:type="dxa"/>
            <w:vAlign w:val="center"/>
          </w:tcPr>
          <w:p w:rsidR="00931A31" w:rsidRPr="00AA6B5B" w:rsidRDefault="00931A31" w:rsidP="00E960F1">
            <w:pPr>
              <w:pStyle w:val="Tabletext"/>
              <w:jc w:val="right"/>
            </w:pPr>
            <w:r w:rsidRPr="00AA6B5B">
              <w:t>17%</w:t>
            </w:r>
          </w:p>
        </w:tc>
      </w:tr>
      <w:tr w:rsidR="00931A31" w:rsidTr="00E960F1">
        <w:tc>
          <w:tcPr>
            <w:tcW w:w="7540" w:type="dxa"/>
            <w:vAlign w:val="center"/>
          </w:tcPr>
          <w:p w:rsidR="00931A31" w:rsidRPr="00AA6B5B" w:rsidRDefault="00931A31" w:rsidP="00E960F1">
            <w:pPr>
              <w:pStyle w:val="Tabletext"/>
            </w:pPr>
            <w:r w:rsidRPr="00AA6B5B">
              <w:t xml:space="preserve">Machinery Operators </w:t>
            </w:r>
            <w:r>
              <w:t>&amp;</w:t>
            </w:r>
            <w:r w:rsidRPr="00AA6B5B">
              <w:t xml:space="preserve"> Drivers</w:t>
            </w:r>
          </w:p>
        </w:tc>
        <w:tc>
          <w:tcPr>
            <w:tcW w:w="2041" w:type="dxa"/>
            <w:vAlign w:val="center"/>
          </w:tcPr>
          <w:p w:rsidR="00931A31" w:rsidRPr="00C33C7F" w:rsidRDefault="00931A31" w:rsidP="00E960F1">
            <w:pPr>
              <w:pStyle w:val="Tabletext"/>
              <w:jc w:val="right"/>
            </w:pPr>
            <w:r w:rsidRPr="00C33C7F">
              <w:t>4210</w:t>
            </w:r>
          </w:p>
        </w:tc>
        <w:tc>
          <w:tcPr>
            <w:tcW w:w="1134" w:type="dxa"/>
            <w:vAlign w:val="center"/>
          </w:tcPr>
          <w:p w:rsidR="00931A31" w:rsidRPr="00AA6B5B" w:rsidRDefault="00931A31" w:rsidP="00E960F1">
            <w:pPr>
              <w:pStyle w:val="Tabletext"/>
              <w:jc w:val="right"/>
            </w:pPr>
            <w:r w:rsidRPr="00AA6B5B">
              <w:t>11%</w:t>
            </w:r>
          </w:p>
        </w:tc>
      </w:tr>
      <w:tr w:rsidR="00931A31" w:rsidTr="00E960F1">
        <w:tc>
          <w:tcPr>
            <w:tcW w:w="7540" w:type="dxa"/>
            <w:vAlign w:val="center"/>
          </w:tcPr>
          <w:p w:rsidR="00931A31" w:rsidRPr="00AA6B5B" w:rsidRDefault="00931A31" w:rsidP="00E960F1">
            <w:pPr>
              <w:pStyle w:val="Tabletext"/>
            </w:pPr>
            <w:r w:rsidRPr="00AA6B5B">
              <w:t>Mobile Plant Operators</w:t>
            </w:r>
          </w:p>
        </w:tc>
        <w:tc>
          <w:tcPr>
            <w:tcW w:w="2041" w:type="dxa"/>
            <w:vAlign w:val="center"/>
          </w:tcPr>
          <w:p w:rsidR="00931A31" w:rsidRPr="00C33C7F" w:rsidRDefault="00931A31" w:rsidP="00E960F1">
            <w:pPr>
              <w:pStyle w:val="Tabletext"/>
              <w:jc w:val="right"/>
            </w:pPr>
            <w:r w:rsidRPr="00C33C7F">
              <w:t>1465</w:t>
            </w:r>
          </w:p>
        </w:tc>
        <w:tc>
          <w:tcPr>
            <w:tcW w:w="1134" w:type="dxa"/>
            <w:vAlign w:val="center"/>
          </w:tcPr>
          <w:p w:rsidR="00931A31" w:rsidRPr="00AA6B5B" w:rsidRDefault="00931A31" w:rsidP="00E960F1">
            <w:pPr>
              <w:pStyle w:val="Tabletext"/>
              <w:jc w:val="right"/>
            </w:pPr>
            <w:r w:rsidRPr="00AA6B5B">
              <w:t>4%</w:t>
            </w:r>
          </w:p>
        </w:tc>
      </w:tr>
      <w:tr w:rsidR="00931A31" w:rsidTr="00E960F1">
        <w:tc>
          <w:tcPr>
            <w:tcW w:w="7540" w:type="dxa"/>
            <w:vAlign w:val="center"/>
          </w:tcPr>
          <w:p w:rsidR="00931A31" w:rsidRPr="00AA6B5B" w:rsidRDefault="00931A31" w:rsidP="00E960F1">
            <w:pPr>
              <w:pStyle w:val="Tabletext"/>
            </w:pPr>
            <w:r w:rsidRPr="00AA6B5B">
              <w:t>Road and Rail Drivers</w:t>
            </w:r>
          </w:p>
        </w:tc>
        <w:tc>
          <w:tcPr>
            <w:tcW w:w="2041" w:type="dxa"/>
            <w:vAlign w:val="center"/>
          </w:tcPr>
          <w:p w:rsidR="00931A31" w:rsidRPr="00C33C7F" w:rsidRDefault="00931A31" w:rsidP="00E960F1">
            <w:pPr>
              <w:pStyle w:val="Tabletext"/>
              <w:jc w:val="right"/>
            </w:pPr>
            <w:r w:rsidRPr="00C33C7F">
              <w:t>1295</w:t>
            </w:r>
          </w:p>
        </w:tc>
        <w:tc>
          <w:tcPr>
            <w:tcW w:w="1134" w:type="dxa"/>
            <w:vAlign w:val="center"/>
          </w:tcPr>
          <w:p w:rsidR="00931A31" w:rsidRPr="00AA6B5B" w:rsidRDefault="00931A31" w:rsidP="00E960F1">
            <w:pPr>
              <w:pStyle w:val="Tabletext"/>
              <w:jc w:val="right"/>
            </w:pPr>
            <w:r w:rsidRPr="00AA6B5B">
              <w:t>3%</w:t>
            </w:r>
          </w:p>
        </w:tc>
      </w:tr>
      <w:tr w:rsidR="00931A31" w:rsidTr="00E960F1">
        <w:tc>
          <w:tcPr>
            <w:tcW w:w="7540" w:type="dxa"/>
            <w:vAlign w:val="center"/>
          </w:tcPr>
          <w:p w:rsidR="00931A31" w:rsidRPr="00AA6B5B" w:rsidRDefault="00931A31" w:rsidP="00E960F1">
            <w:pPr>
              <w:pStyle w:val="Tabletext"/>
            </w:pPr>
            <w:r w:rsidRPr="00AA6B5B">
              <w:t>Truck Drivers</w:t>
            </w:r>
          </w:p>
        </w:tc>
        <w:tc>
          <w:tcPr>
            <w:tcW w:w="2041" w:type="dxa"/>
            <w:vAlign w:val="center"/>
          </w:tcPr>
          <w:p w:rsidR="00931A31" w:rsidRPr="00C33C7F" w:rsidRDefault="00931A31" w:rsidP="00E960F1">
            <w:pPr>
              <w:pStyle w:val="Tabletext"/>
              <w:jc w:val="right"/>
            </w:pPr>
            <w:r w:rsidRPr="00C33C7F">
              <w:t>1185</w:t>
            </w:r>
          </w:p>
        </w:tc>
        <w:tc>
          <w:tcPr>
            <w:tcW w:w="1134" w:type="dxa"/>
            <w:vAlign w:val="center"/>
          </w:tcPr>
          <w:p w:rsidR="00931A31" w:rsidRPr="00AA6B5B" w:rsidRDefault="00931A31" w:rsidP="00E960F1">
            <w:pPr>
              <w:pStyle w:val="Tabletext"/>
              <w:jc w:val="right"/>
            </w:pPr>
            <w:r w:rsidRPr="00AA6B5B">
              <w:t>3%</w:t>
            </w:r>
          </w:p>
        </w:tc>
      </w:tr>
      <w:tr w:rsidR="00931A31" w:rsidTr="00E960F1">
        <w:tc>
          <w:tcPr>
            <w:tcW w:w="7540" w:type="dxa"/>
            <w:vAlign w:val="center"/>
          </w:tcPr>
          <w:p w:rsidR="00931A31" w:rsidRPr="00AA6B5B" w:rsidRDefault="00931A31" w:rsidP="00E960F1">
            <w:pPr>
              <w:pStyle w:val="Tabletext"/>
            </w:pPr>
            <w:r w:rsidRPr="00AA6B5B">
              <w:t xml:space="preserve">Machine </w:t>
            </w:r>
            <w:r>
              <w:t>&amp;</w:t>
            </w:r>
            <w:r w:rsidRPr="00AA6B5B">
              <w:t xml:space="preserve"> Stationary Plant Operators</w:t>
            </w:r>
          </w:p>
        </w:tc>
        <w:tc>
          <w:tcPr>
            <w:tcW w:w="2041" w:type="dxa"/>
            <w:vAlign w:val="center"/>
          </w:tcPr>
          <w:p w:rsidR="00931A31" w:rsidRPr="00C33C7F" w:rsidRDefault="00931A31" w:rsidP="00E960F1">
            <w:pPr>
              <w:pStyle w:val="Tabletext"/>
              <w:jc w:val="right"/>
            </w:pPr>
            <w:r w:rsidRPr="00C33C7F">
              <w:t>1270</w:t>
            </w:r>
          </w:p>
        </w:tc>
        <w:tc>
          <w:tcPr>
            <w:tcW w:w="1134" w:type="dxa"/>
            <w:vAlign w:val="center"/>
          </w:tcPr>
          <w:p w:rsidR="00931A31" w:rsidRPr="00AA6B5B" w:rsidRDefault="00931A31" w:rsidP="00E960F1">
            <w:pPr>
              <w:pStyle w:val="Tabletext"/>
              <w:jc w:val="right"/>
            </w:pPr>
            <w:r w:rsidRPr="00AA6B5B">
              <w:t>3%</w:t>
            </w:r>
          </w:p>
        </w:tc>
      </w:tr>
      <w:tr w:rsidR="00931A31" w:rsidTr="00E960F1">
        <w:tc>
          <w:tcPr>
            <w:tcW w:w="7540" w:type="dxa"/>
            <w:vAlign w:val="center"/>
          </w:tcPr>
          <w:p w:rsidR="00931A31" w:rsidRPr="00AA6B5B" w:rsidRDefault="00931A31" w:rsidP="00E960F1">
            <w:pPr>
              <w:pStyle w:val="Tabletext"/>
            </w:pPr>
            <w:r w:rsidRPr="00AA6B5B">
              <w:t>Managers</w:t>
            </w:r>
          </w:p>
        </w:tc>
        <w:tc>
          <w:tcPr>
            <w:tcW w:w="2041" w:type="dxa"/>
            <w:vAlign w:val="center"/>
          </w:tcPr>
          <w:p w:rsidR="00931A31" w:rsidRPr="00C33C7F" w:rsidRDefault="00931A31" w:rsidP="00E960F1">
            <w:pPr>
              <w:pStyle w:val="Tabletext"/>
              <w:jc w:val="right"/>
            </w:pPr>
            <w:r w:rsidRPr="00C33C7F">
              <w:t>985</w:t>
            </w:r>
          </w:p>
        </w:tc>
        <w:tc>
          <w:tcPr>
            <w:tcW w:w="1134" w:type="dxa"/>
            <w:vAlign w:val="center"/>
          </w:tcPr>
          <w:p w:rsidR="00931A31" w:rsidRPr="00AA6B5B" w:rsidRDefault="00931A31" w:rsidP="00E960F1">
            <w:pPr>
              <w:pStyle w:val="Tabletext"/>
              <w:jc w:val="right"/>
            </w:pPr>
            <w:r w:rsidRPr="00AA6B5B">
              <w:t>3%</w:t>
            </w:r>
          </w:p>
        </w:tc>
      </w:tr>
      <w:tr w:rsidR="00931A31" w:rsidTr="00E960F1">
        <w:tc>
          <w:tcPr>
            <w:tcW w:w="7540" w:type="dxa"/>
            <w:vAlign w:val="center"/>
          </w:tcPr>
          <w:p w:rsidR="00931A31" w:rsidRPr="00AA6B5B" w:rsidRDefault="00931A31" w:rsidP="00E960F1">
            <w:pPr>
              <w:pStyle w:val="Tabletext"/>
            </w:pPr>
            <w:r w:rsidRPr="00AA6B5B">
              <w:t>Professionals</w:t>
            </w:r>
          </w:p>
        </w:tc>
        <w:tc>
          <w:tcPr>
            <w:tcW w:w="2041" w:type="dxa"/>
            <w:vAlign w:val="center"/>
          </w:tcPr>
          <w:p w:rsidR="00931A31" w:rsidRPr="00C33C7F" w:rsidRDefault="00931A31" w:rsidP="00E960F1">
            <w:pPr>
              <w:pStyle w:val="Tabletext"/>
              <w:jc w:val="right"/>
            </w:pPr>
            <w:r w:rsidRPr="00C33C7F">
              <w:t>710</w:t>
            </w:r>
          </w:p>
        </w:tc>
        <w:tc>
          <w:tcPr>
            <w:tcW w:w="1134" w:type="dxa"/>
            <w:vAlign w:val="center"/>
          </w:tcPr>
          <w:p w:rsidR="00931A31" w:rsidRPr="00AA6B5B" w:rsidRDefault="00931A31" w:rsidP="00E960F1">
            <w:pPr>
              <w:pStyle w:val="Tabletext"/>
              <w:jc w:val="right"/>
            </w:pPr>
            <w:r w:rsidRPr="00AA6B5B">
              <w:t>2%</w:t>
            </w:r>
          </w:p>
        </w:tc>
      </w:tr>
      <w:tr w:rsidR="00931A31" w:rsidTr="00E960F1">
        <w:tc>
          <w:tcPr>
            <w:tcW w:w="7540" w:type="dxa"/>
            <w:vAlign w:val="center"/>
          </w:tcPr>
          <w:p w:rsidR="00931A31" w:rsidRPr="00AA6B5B" w:rsidRDefault="00931A31" w:rsidP="00E960F1">
            <w:pPr>
              <w:pStyle w:val="Tabletext"/>
            </w:pPr>
            <w:r w:rsidRPr="00AA6B5B">
              <w:t xml:space="preserve">Clerical </w:t>
            </w:r>
            <w:r>
              <w:t>&amp;</w:t>
            </w:r>
            <w:r w:rsidRPr="00AA6B5B">
              <w:t xml:space="preserve"> Administrative Workers</w:t>
            </w:r>
          </w:p>
        </w:tc>
        <w:tc>
          <w:tcPr>
            <w:tcW w:w="2041" w:type="dxa"/>
            <w:vAlign w:val="center"/>
          </w:tcPr>
          <w:p w:rsidR="00931A31" w:rsidRPr="00C33C7F" w:rsidRDefault="00931A31" w:rsidP="00E960F1">
            <w:pPr>
              <w:pStyle w:val="Tabletext"/>
              <w:jc w:val="right"/>
            </w:pPr>
            <w:r w:rsidRPr="00C33C7F">
              <w:t>530</w:t>
            </w:r>
          </w:p>
        </w:tc>
        <w:tc>
          <w:tcPr>
            <w:tcW w:w="1134" w:type="dxa"/>
            <w:vAlign w:val="center"/>
          </w:tcPr>
          <w:p w:rsidR="00931A31" w:rsidRPr="00AA6B5B" w:rsidRDefault="00931A31" w:rsidP="00E960F1">
            <w:pPr>
              <w:pStyle w:val="Tabletext"/>
              <w:jc w:val="right"/>
            </w:pPr>
            <w:r w:rsidRPr="00AA6B5B">
              <w:t>1%</w:t>
            </w:r>
          </w:p>
        </w:tc>
      </w:tr>
      <w:tr w:rsidR="00931A31" w:rsidTr="00E960F1">
        <w:tc>
          <w:tcPr>
            <w:tcW w:w="7540" w:type="dxa"/>
            <w:vAlign w:val="center"/>
          </w:tcPr>
          <w:p w:rsidR="00931A31" w:rsidRPr="00AA6B5B" w:rsidRDefault="00931A31" w:rsidP="00E960F1">
            <w:pPr>
              <w:pStyle w:val="Tabletext"/>
            </w:pPr>
            <w:r w:rsidRPr="00AA6B5B">
              <w:t xml:space="preserve">Community </w:t>
            </w:r>
            <w:r>
              <w:t>&amp;</w:t>
            </w:r>
            <w:r w:rsidRPr="00AA6B5B">
              <w:t xml:space="preserve"> Personal Service Workers</w:t>
            </w:r>
          </w:p>
        </w:tc>
        <w:tc>
          <w:tcPr>
            <w:tcW w:w="2041" w:type="dxa"/>
            <w:vAlign w:val="center"/>
          </w:tcPr>
          <w:p w:rsidR="00931A31" w:rsidRPr="00C33C7F" w:rsidRDefault="00931A31" w:rsidP="00E960F1">
            <w:pPr>
              <w:pStyle w:val="Tabletext"/>
              <w:jc w:val="right"/>
            </w:pPr>
            <w:r w:rsidRPr="00C33C7F">
              <w:t>305</w:t>
            </w:r>
          </w:p>
        </w:tc>
        <w:tc>
          <w:tcPr>
            <w:tcW w:w="1134" w:type="dxa"/>
            <w:vAlign w:val="center"/>
          </w:tcPr>
          <w:p w:rsidR="00931A31" w:rsidRPr="00AA6B5B" w:rsidRDefault="00931A31" w:rsidP="00E960F1">
            <w:pPr>
              <w:pStyle w:val="Tabletext"/>
              <w:jc w:val="right"/>
            </w:pPr>
            <w:r w:rsidRPr="00AA6B5B">
              <w:t>1%</w:t>
            </w:r>
          </w:p>
        </w:tc>
      </w:tr>
      <w:tr w:rsidR="00931A31" w:rsidTr="00E960F1">
        <w:tc>
          <w:tcPr>
            <w:tcW w:w="7540" w:type="dxa"/>
            <w:vAlign w:val="center"/>
          </w:tcPr>
          <w:p w:rsidR="00931A31" w:rsidRPr="00AA6B5B" w:rsidRDefault="00931A31" w:rsidP="00E960F1">
            <w:pPr>
              <w:pStyle w:val="Tabletext"/>
            </w:pPr>
            <w:r w:rsidRPr="00AA6B5B">
              <w:t>Sales Workers</w:t>
            </w:r>
          </w:p>
        </w:tc>
        <w:tc>
          <w:tcPr>
            <w:tcW w:w="2041" w:type="dxa"/>
            <w:vAlign w:val="center"/>
          </w:tcPr>
          <w:p w:rsidR="00931A31" w:rsidRPr="00C33C7F" w:rsidRDefault="00931A31" w:rsidP="00E960F1">
            <w:pPr>
              <w:pStyle w:val="Tabletext"/>
              <w:jc w:val="right"/>
            </w:pPr>
            <w:r w:rsidRPr="00C33C7F">
              <w:t>140</w:t>
            </w:r>
          </w:p>
        </w:tc>
        <w:tc>
          <w:tcPr>
            <w:tcW w:w="1134" w:type="dxa"/>
            <w:vAlign w:val="center"/>
          </w:tcPr>
          <w:p w:rsidR="00931A31" w:rsidRPr="00AA6B5B" w:rsidRDefault="00931A31" w:rsidP="00E960F1">
            <w:pPr>
              <w:pStyle w:val="Tabletext"/>
              <w:jc w:val="right"/>
            </w:pPr>
            <w:r w:rsidRPr="00AA6B5B">
              <w:t>0%</w:t>
            </w:r>
          </w:p>
        </w:tc>
      </w:tr>
      <w:tr w:rsidR="00931A31" w:rsidTr="00E960F1">
        <w:tc>
          <w:tcPr>
            <w:tcW w:w="7540" w:type="dxa"/>
            <w:vAlign w:val="center"/>
          </w:tcPr>
          <w:p w:rsidR="00931A31" w:rsidRPr="00AA6B5B" w:rsidRDefault="00931A31" w:rsidP="00E960F1">
            <w:pPr>
              <w:pStyle w:val="Tabletext"/>
            </w:pPr>
            <w:r>
              <w:t>Total</w:t>
            </w:r>
          </w:p>
        </w:tc>
        <w:tc>
          <w:tcPr>
            <w:tcW w:w="2041" w:type="dxa"/>
            <w:vAlign w:val="center"/>
          </w:tcPr>
          <w:p w:rsidR="00931A31" w:rsidRDefault="00931A31" w:rsidP="00E960F1">
            <w:pPr>
              <w:pStyle w:val="Tabletext"/>
              <w:jc w:val="right"/>
            </w:pPr>
            <w:r w:rsidRPr="00C33C7F">
              <w:t>37415</w:t>
            </w:r>
          </w:p>
        </w:tc>
        <w:tc>
          <w:tcPr>
            <w:tcW w:w="1134" w:type="dxa"/>
            <w:vAlign w:val="center"/>
          </w:tcPr>
          <w:p w:rsidR="00931A31" w:rsidRPr="00AA6B5B" w:rsidRDefault="00931A31" w:rsidP="00E960F1">
            <w:pPr>
              <w:pStyle w:val="Tabletext"/>
              <w:jc w:val="right"/>
            </w:pPr>
            <w:r>
              <w:t>100%</w:t>
            </w:r>
          </w:p>
        </w:tc>
      </w:tr>
    </w:tbl>
    <w:p w:rsidR="00801408" w:rsidRDefault="004A0FAE" w:rsidP="00257F90">
      <w:pPr>
        <w:pStyle w:val="Heading2"/>
      </w:pPr>
      <w:bookmarkStart w:id="40" w:name="_Toc427590871"/>
      <w:r>
        <w:t>Claims by nature of injury/disease</w:t>
      </w:r>
      <w:bookmarkEnd w:id="40"/>
    </w:p>
    <w:p w:rsidR="00801408" w:rsidRDefault="00801408" w:rsidP="00513A50">
      <w:pPr>
        <w:pStyle w:val="BodyText1"/>
      </w:pPr>
      <w:r w:rsidRPr="00801408">
        <w:t>The types of injuries and diseases for which claims were lodged over the 2010–11 to 2012–</w:t>
      </w:r>
      <w:proofErr w:type="spellStart"/>
      <w:r w:rsidRPr="00801408">
        <w:t>13p</w:t>
      </w:r>
      <w:proofErr w:type="spellEnd"/>
      <w:r w:rsidRPr="00801408">
        <w:t xml:space="preserve"> period are shown in Table 29. These data show that 80% of claims were for injuries and 20% for diseases</w:t>
      </w:r>
      <w:r>
        <w:t>.</w:t>
      </w:r>
    </w:p>
    <w:p w:rsidR="00801408" w:rsidRDefault="00801408" w:rsidP="00513A50">
      <w:pPr>
        <w:pStyle w:val="BodyText1"/>
      </w:pPr>
      <w:r w:rsidRPr="00801408">
        <w:t>Over half of the claims for injury and 42% of all construction industry claims involved traumatic joint/ligament &amp; muscle/tendon injury.  Most of the disease claims were for musculoskeletal &amp; connective tissue diseases which accounted for just 13% of all serious claims in the construction industry. These musculoskeletal diseases arise out of repetitive movements over time.</w:t>
      </w:r>
    </w:p>
    <w:p w:rsidR="00801408" w:rsidRDefault="00801408" w:rsidP="004A0FAE">
      <w:pPr>
        <w:pStyle w:val="Tableheading"/>
      </w:pPr>
      <w:r>
        <w:t>Table 29:</w:t>
      </w:r>
      <w:r w:rsidRPr="00801408">
        <w:t xml:space="preserve"> </w:t>
      </w:r>
      <w:r>
        <w:t>Serious claims in the construction industry: number and percentage by nature of injury/disease, 2010–11 to 2012–</w:t>
      </w:r>
      <w:proofErr w:type="spellStart"/>
      <w:r>
        <w:t>13p</w:t>
      </w:r>
      <w:proofErr w:type="spellEnd"/>
      <w:r>
        <w:t xml:space="preserve"> combined</w:t>
      </w:r>
    </w:p>
    <w:tbl>
      <w:tblPr>
        <w:tblStyle w:val="TableGrid"/>
        <w:tblW w:w="0" w:type="auto"/>
        <w:tblLook w:val="04A0" w:firstRow="1" w:lastRow="0" w:firstColumn="1" w:lastColumn="0" w:noHBand="0" w:noVBand="1"/>
        <w:tblCaption w:val="Table 29: Serious claims in the construction industry: number and percentage by nature of injury/disease, 2010–11 to 2012–13p combined"/>
        <w:tblDescription w:val="Table shows the number and percentage of serious compensation claims in the construction industry by nature of injury or disease."/>
      </w:tblPr>
      <w:tblGrid>
        <w:gridCol w:w="7030"/>
        <w:gridCol w:w="2041"/>
        <w:gridCol w:w="1134"/>
      </w:tblGrid>
      <w:tr w:rsidR="00317233" w:rsidTr="00715413">
        <w:trPr>
          <w:trHeight w:val="283"/>
          <w:tblHeader/>
        </w:trPr>
        <w:tc>
          <w:tcPr>
            <w:tcW w:w="7030" w:type="dxa"/>
            <w:shd w:val="clear" w:color="auto" w:fill="D9D9D9" w:themeFill="background1" w:themeFillShade="D9"/>
            <w:vAlign w:val="center"/>
          </w:tcPr>
          <w:p w:rsidR="00317233" w:rsidRPr="00E06F79" w:rsidRDefault="00317233" w:rsidP="00317233">
            <w:pPr>
              <w:pStyle w:val="Tableheaderrow"/>
              <w:jc w:val="left"/>
            </w:pPr>
            <w:r>
              <w:t>Nature of injury/disease</w:t>
            </w:r>
          </w:p>
        </w:tc>
        <w:tc>
          <w:tcPr>
            <w:tcW w:w="2041" w:type="dxa"/>
            <w:shd w:val="clear" w:color="auto" w:fill="D9D9D9" w:themeFill="background1" w:themeFillShade="D9"/>
            <w:vAlign w:val="center"/>
          </w:tcPr>
          <w:p w:rsidR="00317233" w:rsidRPr="00E06F79" w:rsidRDefault="00317233" w:rsidP="00E960F1">
            <w:pPr>
              <w:pStyle w:val="Tableheaderrow"/>
              <w:jc w:val="right"/>
            </w:pPr>
            <w:r>
              <w:t>No. of serious claims</w:t>
            </w:r>
          </w:p>
        </w:tc>
        <w:tc>
          <w:tcPr>
            <w:tcW w:w="1134" w:type="dxa"/>
            <w:shd w:val="clear" w:color="auto" w:fill="D9D9D9" w:themeFill="background1" w:themeFillShade="D9"/>
            <w:vAlign w:val="center"/>
          </w:tcPr>
          <w:p w:rsidR="00317233" w:rsidRPr="00E06F79" w:rsidRDefault="00317233" w:rsidP="00E960F1">
            <w:pPr>
              <w:pStyle w:val="Tableheaderrow"/>
              <w:jc w:val="right"/>
            </w:pPr>
            <w:r>
              <w:t>%</w:t>
            </w:r>
          </w:p>
        </w:tc>
      </w:tr>
      <w:tr w:rsidR="00317233" w:rsidTr="00E960F1">
        <w:tc>
          <w:tcPr>
            <w:tcW w:w="7030" w:type="dxa"/>
          </w:tcPr>
          <w:p w:rsidR="00317233" w:rsidRPr="00317233" w:rsidRDefault="00317233" w:rsidP="00317233">
            <w:pPr>
              <w:pStyle w:val="Tablerowheadings"/>
            </w:pPr>
            <w:r w:rsidRPr="00317233">
              <w:t>Injuries</w:t>
            </w:r>
          </w:p>
        </w:tc>
        <w:tc>
          <w:tcPr>
            <w:tcW w:w="2041" w:type="dxa"/>
            <w:vAlign w:val="center"/>
          </w:tcPr>
          <w:p w:rsidR="00317233" w:rsidRPr="00317233" w:rsidRDefault="00317233" w:rsidP="00E960F1">
            <w:pPr>
              <w:pStyle w:val="Tablerowheadings"/>
              <w:jc w:val="right"/>
            </w:pPr>
            <w:r w:rsidRPr="00317233">
              <w:t>30</w:t>
            </w:r>
            <w:r>
              <w:t xml:space="preserve"> </w:t>
            </w:r>
            <w:r w:rsidRPr="00317233">
              <w:t>070</w:t>
            </w:r>
          </w:p>
        </w:tc>
        <w:tc>
          <w:tcPr>
            <w:tcW w:w="1134" w:type="dxa"/>
            <w:vAlign w:val="center"/>
          </w:tcPr>
          <w:p w:rsidR="00317233" w:rsidRPr="00317233" w:rsidRDefault="00317233" w:rsidP="00E960F1">
            <w:pPr>
              <w:pStyle w:val="Tablerowheadings"/>
              <w:jc w:val="right"/>
            </w:pPr>
            <w:r w:rsidRPr="00317233">
              <w:t>80%</w:t>
            </w:r>
          </w:p>
        </w:tc>
      </w:tr>
      <w:tr w:rsidR="00317233" w:rsidTr="00E960F1">
        <w:tc>
          <w:tcPr>
            <w:tcW w:w="7030" w:type="dxa"/>
          </w:tcPr>
          <w:p w:rsidR="00317233" w:rsidRPr="00E06F79" w:rsidRDefault="00317233" w:rsidP="00317233">
            <w:pPr>
              <w:pStyle w:val="Tabletext"/>
            </w:pPr>
            <w:r>
              <w:t>Traumatic joint/l</w:t>
            </w:r>
            <w:r w:rsidRPr="00E06F79">
              <w:t xml:space="preserve">igament </w:t>
            </w:r>
            <w:r>
              <w:t>&amp; muscle/tendon i</w:t>
            </w:r>
            <w:r w:rsidRPr="00E06F79">
              <w:t>njury</w:t>
            </w:r>
          </w:p>
        </w:tc>
        <w:tc>
          <w:tcPr>
            <w:tcW w:w="2041" w:type="dxa"/>
            <w:vAlign w:val="center"/>
          </w:tcPr>
          <w:p w:rsidR="00317233" w:rsidRPr="00447FEC" w:rsidRDefault="00317233" w:rsidP="00E960F1">
            <w:pPr>
              <w:pStyle w:val="Tabletext"/>
              <w:jc w:val="right"/>
            </w:pPr>
            <w:r w:rsidRPr="00447FEC">
              <w:t>15</w:t>
            </w:r>
            <w:r>
              <w:t xml:space="preserve"> </w:t>
            </w:r>
            <w:r w:rsidRPr="00447FEC">
              <w:t>710</w:t>
            </w:r>
          </w:p>
        </w:tc>
        <w:tc>
          <w:tcPr>
            <w:tcW w:w="1134" w:type="dxa"/>
            <w:vAlign w:val="center"/>
          </w:tcPr>
          <w:p w:rsidR="00317233" w:rsidRPr="00447FEC" w:rsidRDefault="00317233" w:rsidP="00E960F1">
            <w:pPr>
              <w:pStyle w:val="Tabletext"/>
              <w:jc w:val="right"/>
            </w:pPr>
            <w:r w:rsidRPr="00447FEC">
              <w:t>42%</w:t>
            </w:r>
          </w:p>
        </w:tc>
      </w:tr>
      <w:tr w:rsidR="00317233" w:rsidTr="00E960F1">
        <w:tc>
          <w:tcPr>
            <w:tcW w:w="7030" w:type="dxa"/>
          </w:tcPr>
          <w:p w:rsidR="00317233" w:rsidRPr="00E06F79" w:rsidRDefault="00317233" w:rsidP="00317233">
            <w:pPr>
              <w:pStyle w:val="Tabletext"/>
            </w:pPr>
            <w:r w:rsidRPr="00E06F79">
              <w:t>Residual soft tissue disorders due to trauma</w:t>
            </w:r>
          </w:p>
        </w:tc>
        <w:tc>
          <w:tcPr>
            <w:tcW w:w="2041" w:type="dxa"/>
            <w:vAlign w:val="center"/>
          </w:tcPr>
          <w:p w:rsidR="00317233" w:rsidRPr="00447FEC" w:rsidRDefault="00317233" w:rsidP="00E960F1">
            <w:pPr>
              <w:pStyle w:val="Tabletext"/>
              <w:jc w:val="right"/>
            </w:pPr>
            <w:r w:rsidRPr="00447FEC">
              <w:t>5</w:t>
            </w:r>
            <w:r>
              <w:t xml:space="preserve"> </w:t>
            </w:r>
            <w:r w:rsidRPr="00447FEC">
              <w:t>880</w:t>
            </w:r>
          </w:p>
        </w:tc>
        <w:tc>
          <w:tcPr>
            <w:tcW w:w="1134" w:type="dxa"/>
            <w:vAlign w:val="center"/>
          </w:tcPr>
          <w:p w:rsidR="00317233" w:rsidRPr="00447FEC" w:rsidRDefault="00317233" w:rsidP="00E960F1">
            <w:pPr>
              <w:pStyle w:val="Tabletext"/>
              <w:jc w:val="right"/>
            </w:pPr>
            <w:r w:rsidRPr="00447FEC">
              <w:t>16%</w:t>
            </w:r>
          </w:p>
        </w:tc>
      </w:tr>
      <w:tr w:rsidR="00317233" w:rsidTr="00E960F1">
        <w:tc>
          <w:tcPr>
            <w:tcW w:w="7030" w:type="dxa"/>
          </w:tcPr>
          <w:p w:rsidR="00317233" w:rsidRPr="00E06F79" w:rsidRDefault="00317233" w:rsidP="00317233">
            <w:pPr>
              <w:pStyle w:val="Tabletext"/>
            </w:pPr>
            <w:r w:rsidRPr="00E06F79">
              <w:t xml:space="preserve">Trauma to joints </w:t>
            </w:r>
            <w:r>
              <w:t>&amp;</w:t>
            </w:r>
            <w:r w:rsidRPr="00E06F79">
              <w:t xml:space="preserve"> ligaments</w:t>
            </w:r>
          </w:p>
        </w:tc>
        <w:tc>
          <w:tcPr>
            <w:tcW w:w="2041" w:type="dxa"/>
            <w:vAlign w:val="center"/>
          </w:tcPr>
          <w:p w:rsidR="00317233" w:rsidRPr="00447FEC" w:rsidRDefault="00317233" w:rsidP="00E960F1">
            <w:pPr>
              <w:pStyle w:val="Tabletext"/>
              <w:jc w:val="right"/>
            </w:pPr>
            <w:r w:rsidRPr="00447FEC">
              <w:t>3</w:t>
            </w:r>
            <w:r>
              <w:t xml:space="preserve"> </w:t>
            </w:r>
            <w:r w:rsidRPr="00447FEC">
              <w:t>960</w:t>
            </w:r>
          </w:p>
        </w:tc>
        <w:tc>
          <w:tcPr>
            <w:tcW w:w="1134" w:type="dxa"/>
            <w:vAlign w:val="center"/>
          </w:tcPr>
          <w:p w:rsidR="00317233" w:rsidRPr="00447FEC" w:rsidRDefault="00317233" w:rsidP="00E960F1">
            <w:pPr>
              <w:pStyle w:val="Tabletext"/>
              <w:jc w:val="right"/>
            </w:pPr>
            <w:r w:rsidRPr="00447FEC">
              <w:t>11%</w:t>
            </w:r>
          </w:p>
        </w:tc>
      </w:tr>
      <w:tr w:rsidR="00317233" w:rsidTr="00E960F1">
        <w:tc>
          <w:tcPr>
            <w:tcW w:w="7030" w:type="dxa"/>
          </w:tcPr>
          <w:p w:rsidR="00317233" w:rsidRPr="00E06F79" w:rsidRDefault="00317233" w:rsidP="00317233">
            <w:pPr>
              <w:pStyle w:val="Tabletext"/>
            </w:pPr>
            <w:r w:rsidRPr="00E06F79">
              <w:t>Trauma to muscles and tendons</w:t>
            </w:r>
          </w:p>
        </w:tc>
        <w:tc>
          <w:tcPr>
            <w:tcW w:w="2041" w:type="dxa"/>
            <w:vAlign w:val="center"/>
          </w:tcPr>
          <w:p w:rsidR="00317233" w:rsidRPr="00447FEC" w:rsidRDefault="00317233" w:rsidP="00E960F1">
            <w:pPr>
              <w:pStyle w:val="Tabletext"/>
              <w:jc w:val="right"/>
            </w:pPr>
            <w:r w:rsidRPr="00447FEC">
              <w:t>5</w:t>
            </w:r>
            <w:r>
              <w:t xml:space="preserve"> </w:t>
            </w:r>
            <w:r w:rsidRPr="00447FEC">
              <w:t>875</w:t>
            </w:r>
          </w:p>
        </w:tc>
        <w:tc>
          <w:tcPr>
            <w:tcW w:w="1134" w:type="dxa"/>
            <w:vAlign w:val="center"/>
          </w:tcPr>
          <w:p w:rsidR="00317233" w:rsidRPr="00447FEC" w:rsidRDefault="00317233" w:rsidP="00E960F1">
            <w:pPr>
              <w:pStyle w:val="Tabletext"/>
              <w:jc w:val="right"/>
            </w:pPr>
            <w:r w:rsidRPr="00447FEC">
              <w:t>16%</w:t>
            </w:r>
          </w:p>
        </w:tc>
      </w:tr>
      <w:tr w:rsidR="00317233" w:rsidTr="00E960F1">
        <w:tc>
          <w:tcPr>
            <w:tcW w:w="7030" w:type="dxa"/>
          </w:tcPr>
          <w:p w:rsidR="00317233" w:rsidRPr="00E06F79" w:rsidRDefault="00317233" w:rsidP="00317233">
            <w:pPr>
              <w:pStyle w:val="Tabletext"/>
            </w:pPr>
            <w:r w:rsidRPr="00E06F79">
              <w:t xml:space="preserve">Wounds, Lacerations, Amputations </w:t>
            </w:r>
            <w:r>
              <w:t>&amp;</w:t>
            </w:r>
            <w:r w:rsidRPr="00E06F79">
              <w:t xml:space="preserve"> Internal Organ Damage</w:t>
            </w:r>
          </w:p>
        </w:tc>
        <w:tc>
          <w:tcPr>
            <w:tcW w:w="2041" w:type="dxa"/>
            <w:vAlign w:val="center"/>
          </w:tcPr>
          <w:p w:rsidR="00317233" w:rsidRPr="00447FEC" w:rsidRDefault="00317233" w:rsidP="00E960F1">
            <w:pPr>
              <w:pStyle w:val="Tabletext"/>
              <w:jc w:val="right"/>
            </w:pPr>
            <w:r w:rsidRPr="00447FEC">
              <w:t>7</w:t>
            </w:r>
            <w:r>
              <w:t xml:space="preserve"> </w:t>
            </w:r>
            <w:r w:rsidRPr="00447FEC">
              <w:t>765</w:t>
            </w:r>
          </w:p>
        </w:tc>
        <w:tc>
          <w:tcPr>
            <w:tcW w:w="1134" w:type="dxa"/>
            <w:vAlign w:val="center"/>
          </w:tcPr>
          <w:p w:rsidR="00317233" w:rsidRPr="00447FEC" w:rsidRDefault="00317233" w:rsidP="00E960F1">
            <w:pPr>
              <w:pStyle w:val="Tabletext"/>
              <w:jc w:val="right"/>
            </w:pPr>
            <w:r w:rsidRPr="00447FEC">
              <w:t>21%</w:t>
            </w:r>
          </w:p>
        </w:tc>
      </w:tr>
      <w:tr w:rsidR="00317233" w:rsidTr="00E960F1">
        <w:tc>
          <w:tcPr>
            <w:tcW w:w="7030" w:type="dxa"/>
          </w:tcPr>
          <w:p w:rsidR="00317233" w:rsidRPr="00E06F79" w:rsidRDefault="00317233" w:rsidP="00317233">
            <w:pPr>
              <w:pStyle w:val="Tabletext"/>
            </w:pPr>
            <w:r w:rsidRPr="00E06F79">
              <w:t>Laceration or open wound not involving traumatic amputation</w:t>
            </w:r>
          </w:p>
        </w:tc>
        <w:tc>
          <w:tcPr>
            <w:tcW w:w="2041" w:type="dxa"/>
            <w:vAlign w:val="center"/>
          </w:tcPr>
          <w:p w:rsidR="00317233" w:rsidRPr="00447FEC" w:rsidRDefault="00317233" w:rsidP="00E960F1">
            <w:pPr>
              <w:pStyle w:val="Tabletext"/>
              <w:jc w:val="right"/>
            </w:pPr>
            <w:r w:rsidRPr="00447FEC">
              <w:t>5</w:t>
            </w:r>
            <w:r>
              <w:t xml:space="preserve"> </w:t>
            </w:r>
            <w:r w:rsidRPr="00447FEC">
              <w:t>085</w:t>
            </w:r>
          </w:p>
        </w:tc>
        <w:tc>
          <w:tcPr>
            <w:tcW w:w="1134" w:type="dxa"/>
            <w:vAlign w:val="center"/>
          </w:tcPr>
          <w:p w:rsidR="00317233" w:rsidRPr="00447FEC" w:rsidRDefault="00317233" w:rsidP="00E960F1">
            <w:pPr>
              <w:pStyle w:val="Tabletext"/>
              <w:jc w:val="right"/>
            </w:pPr>
            <w:r w:rsidRPr="00447FEC">
              <w:t>14%</w:t>
            </w:r>
          </w:p>
        </w:tc>
      </w:tr>
      <w:tr w:rsidR="00317233" w:rsidTr="00E960F1">
        <w:tc>
          <w:tcPr>
            <w:tcW w:w="7030" w:type="dxa"/>
          </w:tcPr>
          <w:p w:rsidR="00317233" w:rsidRPr="00E06F79" w:rsidRDefault="00317233" w:rsidP="00317233">
            <w:pPr>
              <w:pStyle w:val="Tabletext"/>
            </w:pPr>
            <w:r w:rsidRPr="00E06F79">
              <w:t xml:space="preserve">Contusion, bruising </w:t>
            </w:r>
            <w:r>
              <w:t>&amp;</w:t>
            </w:r>
            <w:r w:rsidRPr="00E06F79">
              <w:t xml:space="preserve"> superficial crushing</w:t>
            </w:r>
          </w:p>
        </w:tc>
        <w:tc>
          <w:tcPr>
            <w:tcW w:w="2041" w:type="dxa"/>
            <w:vAlign w:val="center"/>
          </w:tcPr>
          <w:p w:rsidR="00317233" w:rsidRPr="00447FEC" w:rsidRDefault="00317233" w:rsidP="00E960F1">
            <w:pPr>
              <w:pStyle w:val="Tabletext"/>
              <w:jc w:val="right"/>
            </w:pPr>
            <w:r w:rsidRPr="00447FEC">
              <w:t>2</w:t>
            </w:r>
            <w:r>
              <w:t xml:space="preserve"> </w:t>
            </w:r>
            <w:r w:rsidRPr="00447FEC">
              <w:t>175</w:t>
            </w:r>
          </w:p>
        </w:tc>
        <w:tc>
          <w:tcPr>
            <w:tcW w:w="1134" w:type="dxa"/>
            <w:vAlign w:val="center"/>
          </w:tcPr>
          <w:p w:rsidR="00317233" w:rsidRPr="00447FEC" w:rsidRDefault="00317233" w:rsidP="00E960F1">
            <w:pPr>
              <w:pStyle w:val="Tabletext"/>
              <w:jc w:val="right"/>
            </w:pPr>
            <w:r w:rsidRPr="00447FEC">
              <w:t>6%</w:t>
            </w:r>
          </w:p>
        </w:tc>
      </w:tr>
      <w:tr w:rsidR="00317233" w:rsidTr="00E960F1">
        <w:tc>
          <w:tcPr>
            <w:tcW w:w="7030" w:type="dxa"/>
          </w:tcPr>
          <w:p w:rsidR="00317233" w:rsidRPr="00E06F79" w:rsidRDefault="00317233" w:rsidP="00317233">
            <w:pPr>
              <w:pStyle w:val="Tabletext"/>
            </w:pPr>
            <w:r w:rsidRPr="00E06F79">
              <w:t>Fractures</w:t>
            </w:r>
          </w:p>
        </w:tc>
        <w:tc>
          <w:tcPr>
            <w:tcW w:w="2041" w:type="dxa"/>
            <w:vAlign w:val="center"/>
          </w:tcPr>
          <w:p w:rsidR="00317233" w:rsidRPr="00447FEC" w:rsidRDefault="00317233" w:rsidP="00E960F1">
            <w:pPr>
              <w:pStyle w:val="Tabletext"/>
              <w:jc w:val="right"/>
            </w:pPr>
            <w:r w:rsidRPr="00447FEC">
              <w:t>4</w:t>
            </w:r>
            <w:r>
              <w:t xml:space="preserve"> </w:t>
            </w:r>
            <w:r w:rsidRPr="00447FEC">
              <w:t>810</w:t>
            </w:r>
          </w:p>
        </w:tc>
        <w:tc>
          <w:tcPr>
            <w:tcW w:w="1134" w:type="dxa"/>
            <w:vAlign w:val="center"/>
          </w:tcPr>
          <w:p w:rsidR="00317233" w:rsidRPr="00447FEC" w:rsidRDefault="00317233" w:rsidP="00E960F1">
            <w:pPr>
              <w:pStyle w:val="Tabletext"/>
              <w:jc w:val="right"/>
            </w:pPr>
            <w:r w:rsidRPr="00447FEC">
              <w:t>13%</w:t>
            </w:r>
          </w:p>
        </w:tc>
      </w:tr>
      <w:tr w:rsidR="00317233" w:rsidTr="00E960F1">
        <w:tc>
          <w:tcPr>
            <w:tcW w:w="7030" w:type="dxa"/>
          </w:tcPr>
          <w:p w:rsidR="00317233" w:rsidRPr="00E06F79" w:rsidRDefault="00317233" w:rsidP="00317233">
            <w:pPr>
              <w:pStyle w:val="Tabletext"/>
            </w:pPr>
            <w:r w:rsidRPr="00E06F79">
              <w:t>Other Injuries</w:t>
            </w:r>
          </w:p>
        </w:tc>
        <w:tc>
          <w:tcPr>
            <w:tcW w:w="2041" w:type="dxa"/>
            <w:vAlign w:val="center"/>
          </w:tcPr>
          <w:p w:rsidR="00317233" w:rsidRPr="00447FEC" w:rsidRDefault="00317233" w:rsidP="00E960F1">
            <w:pPr>
              <w:pStyle w:val="Tabletext"/>
              <w:jc w:val="right"/>
            </w:pPr>
            <w:r w:rsidRPr="00447FEC">
              <w:t>1</w:t>
            </w:r>
            <w:r>
              <w:t xml:space="preserve"> </w:t>
            </w:r>
            <w:r w:rsidRPr="00447FEC">
              <w:t>785</w:t>
            </w:r>
          </w:p>
        </w:tc>
        <w:tc>
          <w:tcPr>
            <w:tcW w:w="1134" w:type="dxa"/>
            <w:vAlign w:val="center"/>
          </w:tcPr>
          <w:p w:rsidR="00317233" w:rsidRPr="00447FEC" w:rsidRDefault="00317233" w:rsidP="00E960F1">
            <w:pPr>
              <w:pStyle w:val="Tabletext"/>
              <w:jc w:val="right"/>
            </w:pPr>
            <w:r w:rsidRPr="00447FEC">
              <w:t>5%</w:t>
            </w:r>
          </w:p>
        </w:tc>
      </w:tr>
      <w:tr w:rsidR="00317233" w:rsidTr="00E960F1">
        <w:tc>
          <w:tcPr>
            <w:tcW w:w="7030" w:type="dxa"/>
          </w:tcPr>
          <w:p w:rsidR="00317233" w:rsidRPr="00E06F79" w:rsidRDefault="00317233" w:rsidP="00317233">
            <w:pPr>
              <w:pStyle w:val="Tablerowheadings"/>
            </w:pPr>
            <w:r w:rsidRPr="00E06F79">
              <w:t>Diseases &amp; conditions</w:t>
            </w:r>
          </w:p>
        </w:tc>
        <w:tc>
          <w:tcPr>
            <w:tcW w:w="2041" w:type="dxa"/>
            <w:vAlign w:val="center"/>
          </w:tcPr>
          <w:p w:rsidR="00317233" w:rsidRPr="00447FEC" w:rsidRDefault="00317233" w:rsidP="00E960F1">
            <w:pPr>
              <w:pStyle w:val="Tablerowheadings"/>
              <w:jc w:val="right"/>
            </w:pPr>
            <w:r w:rsidRPr="00447FEC">
              <w:t>7</w:t>
            </w:r>
            <w:r>
              <w:t xml:space="preserve"> </w:t>
            </w:r>
            <w:r w:rsidRPr="00447FEC">
              <w:t>345</w:t>
            </w:r>
          </w:p>
        </w:tc>
        <w:tc>
          <w:tcPr>
            <w:tcW w:w="1134" w:type="dxa"/>
            <w:vAlign w:val="center"/>
          </w:tcPr>
          <w:p w:rsidR="00317233" w:rsidRPr="00447FEC" w:rsidRDefault="00317233" w:rsidP="00E960F1">
            <w:pPr>
              <w:pStyle w:val="Tablerowheadings"/>
              <w:jc w:val="right"/>
            </w:pPr>
          </w:p>
        </w:tc>
      </w:tr>
      <w:tr w:rsidR="00317233" w:rsidTr="00E960F1">
        <w:tc>
          <w:tcPr>
            <w:tcW w:w="7030" w:type="dxa"/>
          </w:tcPr>
          <w:p w:rsidR="00317233" w:rsidRPr="00E06F79" w:rsidRDefault="00317233" w:rsidP="00317233">
            <w:pPr>
              <w:pStyle w:val="Tabletext"/>
            </w:pPr>
            <w:r w:rsidRPr="00E06F79">
              <w:t xml:space="preserve">Musculoskeletal </w:t>
            </w:r>
            <w:r>
              <w:t>&amp;</w:t>
            </w:r>
            <w:r w:rsidRPr="00E06F79">
              <w:t xml:space="preserve"> connective tissue diseases</w:t>
            </w:r>
          </w:p>
        </w:tc>
        <w:tc>
          <w:tcPr>
            <w:tcW w:w="2041" w:type="dxa"/>
            <w:vAlign w:val="center"/>
          </w:tcPr>
          <w:p w:rsidR="00317233" w:rsidRPr="00447FEC" w:rsidRDefault="00317233" w:rsidP="00E960F1">
            <w:pPr>
              <w:pStyle w:val="Tabletext"/>
              <w:jc w:val="right"/>
            </w:pPr>
            <w:r w:rsidRPr="00447FEC">
              <w:t>4</w:t>
            </w:r>
            <w:r>
              <w:t xml:space="preserve"> </w:t>
            </w:r>
            <w:r w:rsidRPr="00447FEC">
              <w:t>715</w:t>
            </w:r>
          </w:p>
        </w:tc>
        <w:tc>
          <w:tcPr>
            <w:tcW w:w="1134" w:type="dxa"/>
            <w:vAlign w:val="center"/>
          </w:tcPr>
          <w:p w:rsidR="00317233" w:rsidRPr="00447FEC" w:rsidRDefault="00317233" w:rsidP="00E960F1">
            <w:pPr>
              <w:pStyle w:val="Tabletext"/>
              <w:jc w:val="right"/>
            </w:pPr>
            <w:r w:rsidRPr="00447FEC">
              <w:t>20%</w:t>
            </w:r>
          </w:p>
        </w:tc>
      </w:tr>
      <w:tr w:rsidR="00317233" w:rsidTr="00E960F1">
        <w:tc>
          <w:tcPr>
            <w:tcW w:w="7030" w:type="dxa"/>
          </w:tcPr>
          <w:p w:rsidR="00317233" w:rsidRPr="00E06F79" w:rsidRDefault="00317233" w:rsidP="00317233">
            <w:pPr>
              <w:pStyle w:val="Tabletext"/>
            </w:pPr>
            <w:r w:rsidRPr="00E06F79">
              <w:t xml:space="preserve">Spinal vertebrae </w:t>
            </w:r>
            <w:r>
              <w:t>&amp;</w:t>
            </w:r>
            <w:r w:rsidRPr="00E06F79">
              <w:t xml:space="preserve"> intervertebral disc diseases - </w:t>
            </w:r>
            <w:proofErr w:type="spellStart"/>
            <w:r w:rsidRPr="00E06F79">
              <w:t>dorsopathies</w:t>
            </w:r>
            <w:proofErr w:type="spellEnd"/>
          </w:p>
        </w:tc>
        <w:tc>
          <w:tcPr>
            <w:tcW w:w="2041" w:type="dxa"/>
            <w:vAlign w:val="center"/>
          </w:tcPr>
          <w:p w:rsidR="00317233" w:rsidRPr="00447FEC" w:rsidRDefault="00317233" w:rsidP="00E960F1">
            <w:pPr>
              <w:pStyle w:val="Tabletext"/>
              <w:jc w:val="right"/>
            </w:pPr>
            <w:r w:rsidRPr="00447FEC">
              <w:t>2</w:t>
            </w:r>
            <w:r>
              <w:t xml:space="preserve"> </w:t>
            </w:r>
            <w:r w:rsidRPr="00447FEC">
              <w:t>345</w:t>
            </w:r>
          </w:p>
        </w:tc>
        <w:tc>
          <w:tcPr>
            <w:tcW w:w="1134" w:type="dxa"/>
            <w:vAlign w:val="center"/>
          </w:tcPr>
          <w:p w:rsidR="00317233" w:rsidRPr="00447FEC" w:rsidRDefault="00317233" w:rsidP="00E960F1">
            <w:pPr>
              <w:pStyle w:val="Tabletext"/>
              <w:jc w:val="right"/>
            </w:pPr>
            <w:r w:rsidRPr="00447FEC">
              <w:t>13%</w:t>
            </w:r>
          </w:p>
        </w:tc>
      </w:tr>
      <w:tr w:rsidR="00317233" w:rsidTr="00E960F1">
        <w:tc>
          <w:tcPr>
            <w:tcW w:w="7030" w:type="dxa"/>
          </w:tcPr>
          <w:p w:rsidR="00317233" w:rsidRPr="00E06F79" w:rsidRDefault="00317233" w:rsidP="00317233">
            <w:pPr>
              <w:pStyle w:val="Tabletext"/>
            </w:pPr>
            <w:r w:rsidRPr="00E06F79">
              <w:t xml:space="preserve">Back pain, lumbago, </w:t>
            </w:r>
            <w:r>
              <w:t>&amp;</w:t>
            </w:r>
            <w:r w:rsidRPr="00E06F79">
              <w:t xml:space="preserve"> sciatica</w:t>
            </w:r>
          </w:p>
        </w:tc>
        <w:tc>
          <w:tcPr>
            <w:tcW w:w="2041" w:type="dxa"/>
            <w:vAlign w:val="center"/>
          </w:tcPr>
          <w:p w:rsidR="00317233" w:rsidRPr="00447FEC" w:rsidRDefault="00317233" w:rsidP="00E960F1">
            <w:pPr>
              <w:pStyle w:val="Tabletext"/>
              <w:jc w:val="right"/>
            </w:pPr>
            <w:r w:rsidRPr="00447FEC">
              <w:t>1</w:t>
            </w:r>
            <w:r>
              <w:t xml:space="preserve"> </w:t>
            </w:r>
            <w:r w:rsidRPr="00447FEC">
              <w:t>280</w:t>
            </w:r>
          </w:p>
        </w:tc>
        <w:tc>
          <w:tcPr>
            <w:tcW w:w="1134" w:type="dxa"/>
            <w:vAlign w:val="center"/>
          </w:tcPr>
          <w:p w:rsidR="00317233" w:rsidRPr="00447FEC" w:rsidRDefault="00317233" w:rsidP="00E960F1">
            <w:pPr>
              <w:pStyle w:val="Tabletext"/>
              <w:jc w:val="right"/>
            </w:pPr>
            <w:r w:rsidRPr="00447FEC">
              <w:t>6%</w:t>
            </w:r>
          </w:p>
        </w:tc>
      </w:tr>
      <w:tr w:rsidR="00317233" w:rsidTr="00E960F1">
        <w:tc>
          <w:tcPr>
            <w:tcW w:w="7030" w:type="dxa"/>
          </w:tcPr>
          <w:p w:rsidR="00317233" w:rsidRPr="00E06F79" w:rsidRDefault="00317233" w:rsidP="00317233">
            <w:pPr>
              <w:pStyle w:val="Tabletext"/>
            </w:pPr>
            <w:r w:rsidRPr="00E06F79">
              <w:t>Disc displacement, prolapse, degeneration or hernia</w:t>
            </w:r>
          </w:p>
        </w:tc>
        <w:tc>
          <w:tcPr>
            <w:tcW w:w="2041" w:type="dxa"/>
            <w:vAlign w:val="center"/>
          </w:tcPr>
          <w:p w:rsidR="00317233" w:rsidRPr="00447FEC" w:rsidRDefault="00317233" w:rsidP="00E960F1">
            <w:pPr>
              <w:pStyle w:val="Tabletext"/>
              <w:jc w:val="right"/>
            </w:pPr>
            <w:r w:rsidRPr="00447FEC">
              <w:t>925</w:t>
            </w:r>
          </w:p>
        </w:tc>
        <w:tc>
          <w:tcPr>
            <w:tcW w:w="1134" w:type="dxa"/>
            <w:vAlign w:val="center"/>
          </w:tcPr>
          <w:p w:rsidR="00317233" w:rsidRPr="00447FEC" w:rsidRDefault="00317233" w:rsidP="00E960F1">
            <w:pPr>
              <w:pStyle w:val="Tabletext"/>
              <w:jc w:val="right"/>
            </w:pPr>
            <w:r w:rsidRPr="00447FEC">
              <w:t>3%</w:t>
            </w:r>
          </w:p>
        </w:tc>
      </w:tr>
      <w:tr w:rsidR="00317233" w:rsidTr="00E960F1">
        <w:tc>
          <w:tcPr>
            <w:tcW w:w="7030" w:type="dxa"/>
          </w:tcPr>
          <w:p w:rsidR="00317233" w:rsidRPr="00E06F79" w:rsidRDefault="00317233" w:rsidP="00317233">
            <w:pPr>
              <w:pStyle w:val="Tabletext"/>
            </w:pPr>
            <w:r w:rsidRPr="00E06F79">
              <w:t xml:space="preserve">Diseases of the muscle, tendon </w:t>
            </w:r>
            <w:r>
              <w:t>&amp;</w:t>
            </w:r>
            <w:r w:rsidRPr="00E06F79">
              <w:t xml:space="preserve"> related tissue</w:t>
            </w:r>
          </w:p>
        </w:tc>
        <w:tc>
          <w:tcPr>
            <w:tcW w:w="2041" w:type="dxa"/>
            <w:vAlign w:val="center"/>
          </w:tcPr>
          <w:p w:rsidR="00317233" w:rsidRPr="00447FEC" w:rsidRDefault="00317233" w:rsidP="00E960F1">
            <w:pPr>
              <w:pStyle w:val="Tabletext"/>
              <w:jc w:val="right"/>
            </w:pPr>
            <w:r w:rsidRPr="00447FEC">
              <w:t>1</w:t>
            </w:r>
            <w:r>
              <w:t xml:space="preserve"> </w:t>
            </w:r>
            <w:r w:rsidRPr="00447FEC">
              <w:t>150</w:t>
            </w:r>
          </w:p>
        </w:tc>
        <w:tc>
          <w:tcPr>
            <w:tcW w:w="1134" w:type="dxa"/>
            <w:vAlign w:val="center"/>
          </w:tcPr>
          <w:p w:rsidR="00317233" w:rsidRPr="00447FEC" w:rsidRDefault="00317233" w:rsidP="00E960F1">
            <w:pPr>
              <w:pStyle w:val="Tabletext"/>
              <w:jc w:val="right"/>
            </w:pPr>
            <w:r w:rsidRPr="00447FEC">
              <w:t>2%</w:t>
            </w:r>
          </w:p>
        </w:tc>
      </w:tr>
      <w:tr w:rsidR="00317233" w:rsidTr="00E960F1">
        <w:tc>
          <w:tcPr>
            <w:tcW w:w="7030" w:type="dxa"/>
          </w:tcPr>
          <w:p w:rsidR="00317233" w:rsidRPr="00E06F79" w:rsidRDefault="00317233" w:rsidP="00317233">
            <w:pPr>
              <w:pStyle w:val="Tabletext"/>
            </w:pPr>
            <w:r w:rsidRPr="00E06F79">
              <w:t>Digestive System Diseases (e.g. Hernias)</w:t>
            </w:r>
          </w:p>
        </w:tc>
        <w:tc>
          <w:tcPr>
            <w:tcW w:w="2041" w:type="dxa"/>
            <w:vAlign w:val="center"/>
          </w:tcPr>
          <w:p w:rsidR="00317233" w:rsidRPr="00447FEC" w:rsidRDefault="00317233" w:rsidP="00E960F1">
            <w:pPr>
              <w:pStyle w:val="Tabletext"/>
              <w:jc w:val="right"/>
            </w:pPr>
            <w:r w:rsidRPr="00447FEC">
              <w:t>1</w:t>
            </w:r>
            <w:r>
              <w:t xml:space="preserve"> </w:t>
            </w:r>
            <w:r w:rsidRPr="00447FEC">
              <w:t>295</w:t>
            </w:r>
          </w:p>
        </w:tc>
        <w:tc>
          <w:tcPr>
            <w:tcW w:w="1134" w:type="dxa"/>
            <w:vAlign w:val="center"/>
          </w:tcPr>
          <w:p w:rsidR="00317233" w:rsidRPr="00447FEC" w:rsidRDefault="00317233" w:rsidP="00E960F1">
            <w:pPr>
              <w:pStyle w:val="Tabletext"/>
              <w:jc w:val="right"/>
            </w:pPr>
            <w:r w:rsidRPr="00447FEC">
              <w:t>3%</w:t>
            </w:r>
          </w:p>
        </w:tc>
      </w:tr>
      <w:tr w:rsidR="00317233" w:rsidTr="00E960F1">
        <w:tc>
          <w:tcPr>
            <w:tcW w:w="7030" w:type="dxa"/>
          </w:tcPr>
          <w:p w:rsidR="00317233" w:rsidRPr="00E06F79" w:rsidRDefault="00317233" w:rsidP="00317233">
            <w:pPr>
              <w:pStyle w:val="Tabletext"/>
            </w:pPr>
            <w:r>
              <w:t>O</w:t>
            </w:r>
            <w:r w:rsidRPr="00E06F79">
              <w:t>ther diseases</w:t>
            </w:r>
          </w:p>
        </w:tc>
        <w:tc>
          <w:tcPr>
            <w:tcW w:w="2041" w:type="dxa"/>
            <w:vAlign w:val="center"/>
          </w:tcPr>
          <w:p w:rsidR="00317233" w:rsidRPr="00447FEC" w:rsidRDefault="00317233" w:rsidP="00E960F1">
            <w:pPr>
              <w:pStyle w:val="Tabletext"/>
              <w:jc w:val="right"/>
            </w:pPr>
            <w:r w:rsidRPr="00447FEC">
              <w:t>1</w:t>
            </w:r>
            <w:r>
              <w:t xml:space="preserve"> </w:t>
            </w:r>
            <w:r w:rsidRPr="00447FEC">
              <w:t>335</w:t>
            </w:r>
          </w:p>
        </w:tc>
        <w:tc>
          <w:tcPr>
            <w:tcW w:w="1134" w:type="dxa"/>
            <w:vAlign w:val="center"/>
          </w:tcPr>
          <w:p w:rsidR="00317233" w:rsidRDefault="00317233" w:rsidP="00E960F1">
            <w:pPr>
              <w:pStyle w:val="Tabletext"/>
              <w:jc w:val="right"/>
            </w:pPr>
            <w:r w:rsidRPr="00447FEC">
              <w:t>4%</w:t>
            </w:r>
          </w:p>
        </w:tc>
      </w:tr>
      <w:tr w:rsidR="00317233" w:rsidRPr="00317233" w:rsidTr="00E960F1">
        <w:tc>
          <w:tcPr>
            <w:tcW w:w="7030" w:type="dxa"/>
          </w:tcPr>
          <w:p w:rsidR="00317233" w:rsidRPr="00317233" w:rsidRDefault="00317233" w:rsidP="00317233">
            <w:pPr>
              <w:pStyle w:val="Tabletext"/>
              <w:rPr>
                <w:b/>
              </w:rPr>
            </w:pPr>
            <w:r w:rsidRPr="00317233">
              <w:rPr>
                <w:b/>
              </w:rPr>
              <w:t>Grand Total</w:t>
            </w:r>
          </w:p>
        </w:tc>
        <w:tc>
          <w:tcPr>
            <w:tcW w:w="2041" w:type="dxa"/>
            <w:vAlign w:val="center"/>
          </w:tcPr>
          <w:p w:rsidR="00317233" w:rsidRPr="00317233" w:rsidRDefault="00317233" w:rsidP="00E960F1">
            <w:pPr>
              <w:pStyle w:val="Tabletext"/>
              <w:jc w:val="right"/>
              <w:rPr>
                <w:b/>
              </w:rPr>
            </w:pPr>
            <w:r w:rsidRPr="00317233">
              <w:rPr>
                <w:b/>
              </w:rPr>
              <w:t>15</w:t>
            </w:r>
            <w:r>
              <w:rPr>
                <w:b/>
              </w:rPr>
              <w:t xml:space="preserve"> </w:t>
            </w:r>
            <w:r w:rsidRPr="00317233">
              <w:rPr>
                <w:b/>
              </w:rPr>
              <w:t>710</w:t>
            </w:r>
          </w:p>
        </w:tc>
        <w:tc>
          <w:tcPr>
            <w:tcW w:w="1134" w:type="dxa"/>
            <w:vAlign w:val="center"/>
          </w:tcPr>
          <w:p w:rsidR="00317233" w:rsidRPr="00317233" w:rsidRDefault="00317233" w:rsidP="00E960F1">
            <w:pPr>
              <w:pStyle w:val="Tabletext"/>
              <w:jc w:val="right"/>
              <w:rPr>
                <w:b/>
              </w:rPr>
            </w:pPr>
            <w:r w:rsidRPr="00317233">
              <w:rPr>
                <w:b/>
              </w:rPr>
              <w:t>42%</w:t>
            </w:r>
          </w:p>
        </w:tc>
      </w:tr>
    </w:tbl>
    <w:p w:rsidR="00801408" w:rsidRDefault="004A0FAE" w:rsidP="00257F90">
      <w:pPr>
        <w:pStyle w:val="Heading2"/>
      </w:pPr>
      <w:bookmarkStart w:id="41" w:name="_Toc427590872"/>
      <w:r>
        <w:t>Claims by location of injury</w:t>
      </w:r>
      <w:bookmarkEnd w:id="41"/>
    </w:p>
    <w:p w:rsidR="00801408" w:rsidRDefault="00801408" w:rsidP="00513A50">
      <w:pPr>
        <w:pStyle w:val="BodyText1"/>
      </w:pPr>
      <w:r w:rsidRPr="00801408">
        <w:t xml:space="preserve">The bodily </w:t>
      </w:r>
      <w:proofErr w:type="gramStart"/>
      <w:r w:rsidRPr="00801408">
        <w:t>location of the injury associated with the highest numbers of serious claims are</w:t>
      </w:r>
      <w:proofErr w:type="gramEnd"/>
      <w:r w:rsidRPr="00801408">
        <w:t xml:space="preserve"> shown in Table 30. These data show the part of the body most often injured while working in the construction industry was the lower back, which accounted for 15% of serious claims</w:t>
      </w:r>
      <w:r>
        <w:t>.</w:t>
      </w:r>
    </w:p>
    <w:p w:rsidR="00801408" w:rsidRDefault="00801408" w:rsidP="004A0FAE">
      <w:pPr>
        <w:pStyle w:val="Tableheading"/>
      </w:pPr>
      <w:r>
        <w:t>Table 30:</w:t>
      </w:r>
      <w:r w:rsidRPr="00801408">
        <w:t xml:space="preserve"> </w:t>
      </w:r>
      <w:r>
        <w:t>Serious claims in the construction industry: number and percentage by location of injury, 2010–11 to 2012–</w:t>
      </w:r>
      <w:proofErr w:type="spellStart"/>
      <w:r>
        <w:t>13p</w:t>
      </w:r>
      <w:proofErr w:type="spellEnd"/>
      <w:r>
        <w:t xml:space="preserve"> combined</w:t>
      </w:r>
    </w:p>
    <w:tbl>
      <w:tblPr>
        <w:tblStyle w:val="TableGrid"/>
        <w:tblW w:w="10715" w:type="dxa"/>
        <w:tblLook w:val="04A0" w:firstRow="1" w:lastRow="0" w:firstColumn="1" w:lastColumn="0" w:noHBand="0" w:noVBand="1"/>
        <w:tblCaption w:val="Table 30: Serious claims in the construction industry: number and percentage by location of injury, 2010–11 to 2012–13p combined"/>
        <w:tblDescription w:val="Table shows the number and percentage of serious claims in the construction industry by location of injury."/>
      </w:tblPr>
      <w:tblGrid>
        <w:gridCol w:w="7540"/>
        <w:gridCol w:w="2041"/>
        <w:gridCol w:w="1134"/>
      </w:tblGrid>
      <w:tr w:rsidR="00464A33" w:rsidTr="00715413">
        <w:trPr>
          <w:trHeight w:val="283"/>
          <w:tblHeader/>
        </w:trPr>
        <w:tc>
          <w:tcPr>
            <w:tcW w:w="7540" w:type="dxa"/>
            <w:shd w:val="clear" w:color="auto" w:fill="D9D9D9" w:themeFill="background1" w:themeFillShade="D9"/>
            <w:vAlign w:val="center"/>
          </w:tcPr>
          <w:p w:rsidR="00317233" w:rsidRDefault="00317233" w:rsidP="00E960F1">
            <w:pPr>
              <w:pStyle w:val="Tableheaderrow"/>
              <w:jc w:val="left"/>
            </w:pPr>
            <w:r>
              <w:t>Location of injury</w:t>
            </w:r>
          </w:p>
        </w:tc>
        <w:tc>
          <w:tcPr>
            <w:tcW w:w="2041" w:type="dxa"/>
            <w:shd w:val="clear" w:color="auto" w:fill="D9D9D9" w:themeFill="background1" w:themeFillShade="D9"/>
            <w:vAlign w:val="center"/>
          </w:tcPr>
          <w:p w:rsidR="00317233" w:rsidRDefault="00317233" w:rsidP="00E960F1">
            <w:pPr>
              <w:pStyle w:val="Tableheaderrow"/>
              <w:jc w:val="right"/>
            </w:pPr>
            <w:r>
              <w:t>No. of serious claims</w:t>
            </w:r>
          </w:p>
        </w:tc>
        <w:tc>
          <w:tcPr>
            <w:tcW w:w="1134" w:type="dxa"/>
            <w:shd w:val="clear" w:color="auto" w:fill="D9D9D9" w:themeFill="background1" w:themeFillShade="D9"/>
            <w:vAlign w:val="center"/>
          </w:tcPr>
          <w:p w:rsidR="00317233" w:rsidRDefault="00317233" w:rsidP="00E960F1">
            <w:pPr>
              <w:pStyle w:val="Tableheaderrow"/>
              <w:jc w:val="right"/>
            </w:pPr>
            <w:r>
              <w:t>%</w:t>
            </w:r>
          </w:p>
        </w:tc>
      </w:tr>
      <w:tr w:rsidR="00464A33" w:rsidTr="00E960F1">
        <w:tc>
          <w:tcPr>
            <w:tcW w:w="7540" w:type="dxa"/>
            <w:vAlign w:val="center"/>
          </w:tcPr>
          <w:p w:rsidR="00317233" w:rsidRPr="006812CC" w:rsidRDefault="00317233" w:rsidP="00E960F1">
            <w:pPr>
              <w:pStyle w:val="Tabletext"/>
            </w:pPr>
            <w:r w:rsidRPr="006812CC">
              <w:t>Lower back</w:t>
            </w:r>
          </w:p>
        </w:tc>
        <w:tc>
          <w:tcPr>
            <w:tcW w:w="2041" w:type="dxa"/>
            <w:vAlign w:val="center"/>
          </w:tcPr>
          <w:p w:rsidR="00317233" w:rsidRPr="006812CC" w:rsidRDefault="00317233" w:rsidP="00E960F1">
            <w:pPr>
              <w:pStyle w:val="Tabletext"/>
              <w:jc w:val="right"/>
            </w:pPr>
            <w:r w:rsidRPr="006812CC">
              <w:t>5</w:t>
            </w:r>
            <w:r w:rsidR="00464A33">
              <w:t xml:space="preserve"> </w:t>
            </w:r>
            <w:r w:rsidRPr="006812CC">
              <w:t>611</w:t>
            </w:r>
          </w:p>
        </w:tc>
        <w:tc>
          <w:tcPr>
            <w:tcW w:w="1134" w:type="dxa"/>
            <w:vAlign w:val="center"/>
          </w:tcPr>
          <w:p w:rsidR="00317233" w:rsidRPr="006812CC" w:rsidRDefault="00317233" w:rsidP="00E960F1">
            <w:pPr>
              <w:pStyle w:val="Tabletext"/>
              <w:jc w:val="right"/>
            </w:pPr>
            <w:r w:rsidRPr="006812CC">
              <w:t>15%</w:t>
            </w:r>
          </w:p>
        </w:tc>
      </w:tr>
      <w:tr w:rsidR="00464A33" w:rsidTr="00E960F1">
        <w:tc>
          <w:tcPr>
            <w:tcW w:w="7540" w:type="dxa"/>
            <w:vAlign w:val="center"/>
          </w:tcPr>
          <w:p w:rsidR="00317233" w:rsidRPr="006812CC" w:rsidRDefault="00317233" w:rsidP="00E960F1">
            <w:pPr>
              <w:pStyle w:val="Tabletext"/>
            </w:pPr>
            <w:r w:rsidRPr="006812CC">
              <w:t>Fingers &amp; thumb</w:t>
            </w:r>
          </w:p>
        </w:tc>
        <w:tc>
          <w:tcPr>
            <w:tcW w:w="2041" w:type="dxa"/>
            <w:vAlign w:val="center"/>
          </w:tcPr>
          <w:p w:rsidR="00317233" w:rsidRPr="006812CC" w:rsidRDefault="00317233" w:rsidP="00E960F1">
            <w:pPr>
              <w:pStyle w:val="Tabletext"/>
              <w:jc w:val="right"/>
            </w:pPr>
            <w:r w:rsidRPr="006812CC">
              <w:t>4</w:t>
            </w:r>
            <w:r w:rsidR="00464A33">
              <w:t xml:space="preserve"> </w:t>
            </w:r>
            <w:r w:rsidRPr="006812CC">
              <w:t>353</w:t>
            </w:r>
          </w:p>
        </w:tc>
        <w:tc>
          <w:tcPr>
            <w:tcW w:w="1134" w:type="dxa"/>
            <w:vAlign w:val="center"/>
          </w:tcPr>
          <w:p w:rsidR="00317233" w:rsidRPr="006812CC" w:rsidRDefault="00317233" w:rsidP="00E960F1">
            <w:pPr>
              <w:pStyle w:val="Tabletext"/>
              <w:jc w:val="right"/>
            </w:pPr>
            <w:r w:rsidRPr="006812CC">
              <w:t>12%</w:t>
            </w:r>
          </w:p>
        </w:tc>
      </w:tr>
      <w:tr w:rsidR="00464A33" w:rsidTr="00E960F1">
        <w:tc>
          <w:tcPr>
            <w:tcW w:w="7540" w:type="dxa"/>
            <w:vAlign w:val="center"/>
          </w:tcPr>
          <w:p w:rsidR="00317233" w:rsidRPr="006812CC" w:rsidRDefault="00317233" w:rsidP="00E960F1">
            <w:pPr>
              <w:pStyle w:val="Tabletext"/>
            </w:pPr>
            <w:r w:rsidRPr="006812CC">
              <w:t>Knee</w:t>
            </w:r>
          </w:p>
        </w:tc>
        <w:tc>
          <w:tcPr>
            <w:tcW w:w="2041" w:type="dxa"/>
            <w:vAlign w:val="center"/>
          </w:tcPr>
          <w:p w:rsidR="00317233" w:rsidRPr="006812CC" w:rsidRDefault="00317233" w:rsidP="00E960F1">
            <w:pPr>
              <w:pStyle w:val="Tabletext"/>
              <w:jc w:val="right"/>
            </w:pPr>
            <w:r w:rsidRPr="006812CC">
              <w:t>4</w:t>
            </w:r>
            <w:r w:rsidR="00464A33">
              <w:t xml:space="preserve"> </w:t>
            </w:r>
            <w:r w:rsidRPr="006812CC">
              <w:t>240</w:t>
            </w:r>
          </w:p>
        </w:tc>
        <w:tc>
          <w:tcPr>
            <w:tcW w:w="1134" w:type="dxa"/>
            <w:vAlign w:val="center"/>
          </w:tcPr>
          <w:p w:rsidR="00317233" w:rsidRPr="006812CC" w:rsidRDefault="00317233" w:rsidP="00E960F1">
            <w:pPr>
              <w:pStyle w:val="Tabletext"/>
              <w:jc w:val="right"/>
            </w:pPr>
            <w:r w:rsidRPr="006812CC">
              <w:t>11%</w:t>
            </w:r>
          </w:p>
        </w:tc>
      </w:tr>
      <w:tr w:rsidR="00464A33" w:rsidTr="00E960F1">
        <w:tc>
          <w:tcPr>
            <w:tcW w:w="7540" w:type="dxa"/>
            <w:vAlign w:val="center"/>
          </w:tcPr>
          <w:p w:rsidR="00317233" w:rsidRPr="006812CC" w:rsidRDefault="00317233" w:rsidP="00E960F1">
            <w:pPr>
              <w:pStyle w:val="Tabletext"/>
            </w:pPr>
            <w:r w:rsidRPr="006812CC">
              <w:t>Shoulder</w:t>
            </w:r>
          </w:p>
        </w:tc>
        <w:tc>
          <w:tcPr>
            <w:tcW w:w="2041" w:type="dxa"/>
            <w:vAlign w:val="center"/>
          </w:tcPr>
          <w:p w:rsidR="00317233" w:rsidRPr="006812CC" w:rsidRDefault="00317233" w:rsidP="00E960F1">
            <w:pPr>
              <w:pStyle w:val="Tabletext"/>
              <w:jc w:val="right"/>
            </w:pPr>
            <w:r w:rsidRPr="006812CC">
              <w:t>3</w:t>
            </w:r>
            <w:r w:rsidR="00464A33">
              <w:t xml:space="preserve"> </w:t>
            </w:r>
            <w:r w:rsidRPr="006812CC">
              <w:t>301</w:t>
            </w:r>
          </w:p>
        </w:tc>
        <w:tc>
          <w:tcPr>
            <w:tcW w:w="1134" w:type="dxa"/>
            <w:vAlign w:val="center"/>
          </w:tcPr>
          <w:p w:rsidR="00317233" w:rsidRPr="006812CC" w:rsidRDefault="00317233" w:rsidP="00E960F1">
            <w:pPr>
              <w:pStyle w:val="Tabletext"/>
              <w:jc w:val="right"/>
            </w:pPr>
            <w:r w:rsidRPr="006812CC">
              <w:t>9%</w:t>
            </w:r>
          </w:p>
        </w:tc>
      </w:tr>
      <w:tr w:rsidR="00464A33" w:rsidTr="00E960F1">
        <w:tc>
          <w:tcPr>
            <w:tcW w:w="7540" w:type="dxa"/>
            <w:vAlign w:val="center"/>
          </w:tcPr>
          <w:p w:rsidR="00317233" w:rsidRPr="006812CC" w:rsidRDefault="00317233" w:rsidP="00E960F1">
            <w:pPr>
              <w:pStyle w:val="Tabletext"/>
            </w:pPr>
            <w:r w:rsidRPr="006812CC">
              <w:t>Ankle</w:t>
            </w:r>
          </w:p>
        </w:tc>
        <w:tc>
          <w:tcPr>
            <w:tcW w:w="2041" w:type="dxa"/>
            <w:vAlign w:val="center"/>
          </w:tcPr>
          <w:p w:rsidR="00317233" w:rsidRPr="006812CC" w:rsidRDefault="00317233" w:rsidP="00E960F1">
            <w:pPr>
              <w:pStyle w:val="Tabletext"/>
              <w:jc w:val="right"/>
            </w:pPr>
            <w:r w:rsidRPr="006812CC">
              <w:t>2</w:t>
            </w:r>
            <w:r w:rsidR="00464A33">
              <w:t xml:space="preserve"> </w:t>
            </w:r>
            <w:r w:rsidRPr="006812CC">
              <w:t>364</w:t>
            </w:r>
          </w:p>
        </w:tc>
        <w:tc>
          <w:tcPr>
            <w:tcW w:w="1134" w:type="dxa"/>
            <w:vAlign w:val="center"/>
          </w:tcPr>
          <w:p w:rsidR="00317233" w:rsidRPr="006812CC" w:rsidRDefault="00317233" w:rsidP="00E960F1">
            <w:pPr>
              <w:pStyle w:val="Tabletext"/>
              <w:jc w:val="right"/>
            </w:pPr>
            <w:r w:rsidRPr="006812CC">
              <w:t>6%</w:t>
            </w:r>
          </w:p>
        </w:tc>
      </w:tr>
      <w:tr w:rsidR="00464A33" w:rsidTr="00E960F1">
        <w:tc>
          <w:tcPr>
            <w:tcW w:w="7540" w:type="dxa"/>
            <w:vAlign w:val="center"/>
          </w:tcPr>
          <w:p w:rsidR="00317233" w:rsidRPr="006812CC" w:rsidRDefault="00317233" w:rsidP="00E960F1">
            <w:pPr>
              <w:pStyle w:val="Tabletext"/>
            </w:pPr>
            <w:r w:rsidRPr="006812CC">
              <w:t>Back - other than lower</w:t>
            </w:r>
          </w:p>
        </w:tc>
        <w:tc>
          <w:tcPr>
            <w:tcW w:w="2041" w:type="dxa"/>
            <w:vAlign w:val="center"/>
          </w:tcPr>
          <w:p w:rsidR="00317233" w:rsidRPr="006812CC" w:rsidRDefault="00317233" w:rsidP="00E960F1">
            <w:pPr>
              <w:pStyle w:val="Tabletext"/>
              <w:jc w:val="right"/>
            </w:pPr>
            <w:r w:rsidRPr="006812CC">
              <w:t>2</w:t>
            </w:r>
            <w:r w:rsidR="00464A33">
              <w:t xml:space="preserve"> </w:t>
            </w:r>
            <w:r w:rsidRPr="006812CC">
              <w:t>086</w:t>
            </w:r>
          </w:p>
        </w:tc>
        <w:tc>
          <w:tcPr>
            <w:tcW w:w="1134" w:type="dxa"/>
            <w:vAlign w:val="center"/>
          </w:tcPr>
          <w:p w:rsidR="00317233" w:rsidRPr="006812CC" w:rsidRDefault="00317233" w:rsidP="00E960F1">
            <w:pPr>
              <w:pStyle w:val="Tabletext"/>
              <w:jc w:val="right"/>
            </w:pPr>
            <w:r w:rsidRPr="006812CC">
              <w:t>6%</w:t>
            </w:r>
          </w:p>
        </w:tc>
      </w:tr>
      <w:tr w:rsidR="00464A33" w:rsidTr="00E960F1">
        <w:tc>
          <w:tcPr>
            <w:tcW w:w="7540" w:type="dxa"/>
            <w:vAlign w:val="center"/>
          </w:tcPr>
          <w:p w:rsidR="00317233" w:rsidRPr="006812CC" w:rsidRDefault="00317233" w:rsidP="00E960F1">
            <w:pPr>
              <w:pStyle w:val="Tabletext"/>
            </w:pPr>
            <w:r w:rsidRPr="006812CC">
              <w:t>Hand</w:t>
            </w:r>
          </w:p>
        </w:tc>
        <w:tc>
          <w:tcPr>
            <w:tcW w:w="2041" w:type="dxa"/>
            <w:vAlign w:val="center"/>
          </w:tcPr>
          <w:p w:rsidR="00317233" w:rsidRPr="006812CC" w:rsidRDefault="00317233" w:rsidP="00E960F1">
            <w:pPr>
              <w:pStyle w:val="Tabletext"/>
              <w:jc w:val="right"/>
            </w:pPr>
            <w:r w:rsidRPr="006812CC">
              <w:t>1</w:t>
            </w:r>
            <w:r w:rsidR="00464A33">
              <w:t xml:space="preserve"> </w:t>
            </w:r>
            <w:r w:rsidRPr="006812CC">
              <w:t>895</w:t>
            </w:r>
          </w:p>
        </w:tc>
        <w:tc>
          <w:tcPr>
            <w:tcW w:w="1134" w:type="dxa"/>
            <w:vAlign w:val="center"/>
          </w:tcPr>
          <w:p w:rsidR="00317233" w:rsidRPr="006812CC" w:rsidRDefault="00317233" w:rsidP="00E960F1">
            <w:pPr>
              <w:pStyle w:val="Tabletext"/>
              <w:jc w:val="right"/>
            </w:pPr>
            <w:r w:rsidRPr="006812CC">
              <w:t>5%</w:t>
            </w:r>
          </w:p>
        </w:tc>
      </w:tr>
      <w:tr w:rsidR="00464A33" w:rsidTr="00E960F1">
        <w:tc>
          <w:tcPr>
            <w:tcW w:w="7540" w:type="dxa"/>
            <w:vAlign w:val="center"/>
          </w:tcPr>
          <w:p w:rsidR="00317233" w:rsidRPr="006812CC" w:rsidRDefault="00317233" w:rsidP="00E960F1">
            <w:pPr>
              <w:pStyle w:val="Tabletext"/>
            </w:pPr>
            <w:r w:rsidRPr="006812CC">
              <w:t>Wrist</w:t>
            </w:r>
          </w:p>
        </w:tc>
        <w:tc>
          <w:tcPr>
            <w:tcW w:w="2041" w:type="dxa"/>
            <w:vAlign w:val="center"/>
          </w:tcPr>
          <w:p w:rsidR="00317233" w:rsidRPr="006812CC" w:rsidRDefault="00317233" w:rsidP="00E960F1">
            <w:pPr>
              <w:pStyle w:val="Tabletext"/>
              <w:jc w:val="right"/>
            </w:pPr>
            <w:r w:rsidRPr="006812CC">
              <w:t>1</w:t>
            </w:r>
            <w:r w:rsidR="00464A33">
              <w:t xml:space="preserve"> </w:t>
            </w:r>
            <w:r w:rsidRPr="006812CC">
              <w:t>538</w:t>
            </w:r>
          </w:p>
        </w:tc>
        <w:tc>
          <w:tcPr>
            <w:tcW w:w="1134" w:type="dxa"/>
            <w:vAlign w:val="center"/>
          </w:tcPr>
          <w:p w:rsidR="00317233" w:rsidRPr="006812CC" w:rsidRDefault="00317233" w:rsidP="00E960F1">
            <w:pPr>
              <w:pStyle w:val="Tabletext"/>
              <w:jc w:val="right"/>
            </w:pPr>
            <w:r w:rsidRPr="006812CC">
              <w:t>4%</w:t>
            </w:r>
          </w:p>
        </w:tc>
      </w:tr>
      <w:tr w:rsidR="00464A33" w:rsidTr="00E960F1">
        <w:tc>
          <w:tcPr>
            <w:tcW w:w="7540" w:type="dxa"/>
            <w:vAlign w:val="center"/>
          </w:tcPr>
          <w:p w:rsidR="00317233" w:rsidRPr="006812CC" w:rsidRDefault="00317233" w:rsidP="00E960F1">
            <w:pPr>
              <w:pStyle w:val="Tabletext"/>
            </w:pPr>
            <w:r w:rsidRPr="006812CC">
              <w:t xml:space="preserve">Abdominal muscles </w:t>
            </w:r>
            <w:r w:rsidR="00464A33">
              <w:t>&amp;</w:t>
            </w:r>
            <w:r w:rsidRPr="006812CC">
              <w:t xml:space="preserve"> tendons</w:t>
            </w:r>
          </w:p>
        </w:tc>
        <w:tc>
          <w:tcPr>
            <w:tcW w:w="2041" w:type="dxa"/>
            <w:vAlign w:val="center"/>
          </w:tcPr>
          <w:p w:rsidR="00317233" w:rsidRPr="006812CC" w:rsidRDefault="00317233" w:rsidP="00E960F1">
            <w:pPr>
              <w:pStyle w:val="Tabletext"/>
              <w:jc w:val="right"/>
            </w:pPr>
            <w:r w:rsidRPr="006812CC">
              <w:t>1</w:t>
            </w:r>
            <w:r w:rsidR="00464A33">
              <w:t xml:space="preserve"> </w:t>
            </w:r>
            <w:r w:rsidRPr="006812CC">
              <w:t>431</w:t>
            </w:r>
          </w:p>
        </w:tc>
        <w:tc>
          <w:tcPr>
            <w:tcW w:w="1134" w:type="dxa"/>
            <w:vAlign w:val="center"/>
          </w:tcPr>
          <w:p w:rsidR="00317233" w:rsidRPr="006812CC" w:rsidRDefault="00317233" w:rsidP="00E960F1">
            <w:pPr>
              <w:pStyle w:val="Tabletext"/>
              <w:jc w:val="right"/>
            </w:pPr>
            <w:r w:rsidRPr="006812CC">
              <w:t>4%</w:t>
            </w:r>
          </w:p>
        </w:tc>
      </w:tr>
      <w:tr w:rsidR="00464A33" w:rsidTr="00E960F1">
        <w:tc>
          <w:tcPr>
            <w:tcW w:w="7540" w:type="dxa"/>
            <w:vAlign w:val="center"/>
          </w:tcPr>
          <w:p w:rsidR="00317233" w:rsidRPr="006812CC" w:rsidRDefault="00317233" w:rsidP="00E960F1">
            <w:pPr>
              <w:pStyle w:val="Tabletext"/>
            </w:pPr>
            <w:r w:rsidRPr="006812CC">
              <w:t>Foot And Toes</w:t>
            </w:r>
          </w:p>
        </w:tc>
        <w:tc>
          <w:tcPr>
            <w:tcW w:w="2041" w:type="dxa"/>
            <w:vAlign w:val="center"/>
          </w:tcPr>
          <w:p w:rsidR="00317233" w:rsidRPr="006812CC" w:rsidRDefault="00317233" w:rsidP="00E960F1">
            <w:pPr>
              <w:pStyle w:val="Tabletext"/>
              <w:jc w:val="right"/>
            </w:pPr>
            <w:r w:rsidRPr="006812CC">
              <w:t>1</w:t>
            </w:r>
            <w:r w:rsidR="00464A33">
              <w:t xml:space="preserve"> </w:t>
            </w:r>
            <w:r w:rsidRPr="006812CC">
              <w:t>392</w:t>
            </w:r>
          </w:p>
        </w:tc>
        <w:tc>
          <w:tcPr>
            <w:tcW w:w="1134" w:type="dxa"/>
            <w:vAlign w:val="center"/>
          </w:tcPr>
          <w:p w:rsidR="00317233" w:rsidRPr="006812CC" w:rsidRDefault="00317233" w:rsidP="00E960F1">
            <w:pPr>
              <w:pStyle w:val="Tabletext"/>
              <w:jc w:val="right"/>
            </w:pPr>
            <w:r w:rsidRPr="006812CC">
              <w:t>4%</w:t>
            </w:r>
          </w:p>
        </w:tc>
      </w:tr>
      <w:tr w:rsidR="00464A33" w:rsidTr="00E960F1">
        <w:tc>
          <w:tcPr>
            <w:tcW w:w="7540" w:type="dxa"/>
            <w:vAlign w:val="center"/>
          </w:tcPr>
          <w:p w:rsidR="00317233" w:rsidRPr="006812CC" w:rsidRDefault="00317233" w:rsidP="00E960F1">
            <w:pPr>
              <w:pStyle w:val="Tabletext"/>
            </w:pPr>
            <w:r w:rsidRPr="006812CC">
              <w:t>Lower leg</w:t>
            </w:r>
          </w:p>
        </w:tc>
        <w:tc>
          <w:tcPr>
            <w:tcW w:w="2041" w:type="dxa"/>
            <w:vAlign w:val="center"/>
          </w:tcPr>
          <w:p w:rsidR="00317233" w:rsidRPr="006812CC" w:rsidRDefault="00317233" w:rsidP="00E960F1">
            <w:pPr>
              <w:pStyle w:val="Tabletext"/>
              <w:jc w:val="right"/>
            </w:pPr>
            <w:r w:rsidRPr="006812CC">
              <w:t>1</w:t>
            </w:r>
            <w:r w:rsidR="00464A33">
              <w:t xml:space="preserve"> </w:t>
            </w:r>
            <w:r w:rsidRPr="006812CC">
              <w:t>187</w:t>
            </w:r>
          </w:p>
        </w:tc>
        <w:tc>
          <w:tcPr>
            <w:tcW w:w="1134" w:type="dxa"/>
            <w:vAlign w:val="center"/>
          </w:tcPr>
          <w:p w:rsidR="00317233" w:rsidRPr="006812CC" w:rsidRDefault="00317233" w:rsidP="00E960F1">
            <w:pPr>
              <w:pStyle w:val="Tabletext"/>
              <w:jc w:val="right"/>
            </w:pPr>
            <w:r w:rsidRPr="006812CC">
              <w:t>3%</w:t>
            </w:r>
          </w:p>
        </w:tc>
      </w:tr>
      <w:tr w:rsidR="00464A33" w:rsidTr="00E960F1">
        <w:tc>
          <w:tcPr>
            <w:tcW w:w="7540" w:type="dxa"/>
            <w:vAlign w:val="center"/>
          </w:tcPr>
          <w:p w:rsidR="00317233" w:rsidRDefault="00464A33" w:rsidP="00E960F1">
            <w:pPr>
              <w:pStyle w:val="Tabletext"/>
            </w:pPr>
            <w:r>
              <w:t>Foot</w:t>
            </w:r>
          </w:p>
        </w:tc>
        <w:tc>
          <w:tcPr>
            <w:tcW w:w="2041" w:type="dxa"/>
            <w:vAlign w:val="center"/>
          </w:tcPr>
          <w:p w:rsidR="00317233" w:rsidRDefault="00464A33" w:rsidP="00E960F1">
            <w:pPr>
              <w:pStyle w:val="Tabletext"/>
              <w:jc w:val="right"/>
            </w:pPr>
            <w:r>
              <w:t>1 175</w:t>
            </w:r>
          </w:p>
        </w:tc>
        <w:tc>
          <w:tcPr>
            <w:tcW w:w="1134" w:type="dxa"/>
            <w:vAlign w:val="center"/>
          </w:tcPr>
          <w:p w:rsidR="00317233" w:rsidRDefault="00464A33" w:rsidP="00E960F1">
            <w:pPr>
              <w:pStyle w:val="Tabletext"/>
              <w:jc w:val="right"/>
            </w:pPr>
            <w:r>
              <w:t>3%</w:t>
            </w:r>
          </w:p>
        </w:tc>
      </w:tr>
    </w:tbl>
    <w:p w:rsidR="00801408" w:rsidRDefault="004A0FAE" w:rsidP="00257F90">
      <w:pPr>
        <w:pStyle w:val="Heading2"/>
      </w:pPr>
      <w:bookmarkStart w:id="42" w:name="_Toc427590873"/>
      <w:r>
        <w:t>Claims by breakdown agency</w:t>
      </w:r>
      <w:bookmarkEnd w:id="42"/>
    </w:p>
    <w:p w:rsidR="00900086" w:rsidRDefault="00900086" w:rsidP="00513A50">
      <w:pPr>
        <w:pStyle w:val="BodyText1"/>
      </w:pPr>
      <w:r w:rsidRPr="00900086">
        <w:t>Over the three years 2010–11 to 2012–</w:t>
      </w:r>
      <w:proofErr w:type="spellStart"/>
      <w:r w:rsidRPr="00900086">
        <w:t>13p</w:t>
      </w:r>
      <w:proofErr w:type="spellEnd"/>
      <w:r w:rsidRPr="00900086">
        <w:t xml:space="preserve">, 24% of the claims involved non-powered </w:t>
      </w:r>
      <w:proofErr w:type="spellStart"/>
      <w:r w:rsidRPr="00900086">
        <w:t>handtools</w:t>
      </w:r>
      <w:proofErr w:type="spellEnd"/>
      <w:r w:rsidRPr="00900086">
        <w:t xml:space="preserve">, appliances &amp; equipment. Table 31 shows ladders, mobile ramps &amp; stairways and scaffolding accounted for more than one-third of compensated claims involving non-powered </w:t>
      </w:r>
      <w:proofErr w:type="spellStart"/>
      <w:r w:rsidRPr="00900086">
        <w:t>handtools</w:t>
      </w:r>
      <w:proofErr w:type="spellEnd"/>
      <w:r w:rsidRPr="00900086">
        <w:t>, appliances &amp; equipment.</w:t>
      </w:r>
    </w:p>
    <w:p w:rsidR="00900086" w:rsidRDefault="00900086" w:rsidP="004A0FAE">
      <w:pPr>
        <w:pStyle w:val="Tableheading"/>
      </w:pPr>
      <w:r>
        <w:t>Table 31: Serious claims in the construction industry: number and percentage by breakdown agency, 2010–11 to 2012–</w:t>
      </w:r>
      <w:proofErr w:type="spellStart"/>
      <w:r>
        <w:t>13p</w:t>
      </w:r>
      <w:proofErr w:type="spellEnd"/>
      <w:r>
        <w:t xml:space="preserve"> combined</w:t>
      </w:r>
    </w:p>
    <w:tbl>
      <w:tblPr>
        <w:tblStyle w:val="TableGrid"/>
        <w:tblW w:w="10715" w:type="dxa"/>
        <w:tblLook w:val="04A0" w:firstRow="1" w:lastRow="0" w:firstColumn="1" w:lastColumn="0" w:noHBand="0" w:noVBand="1"/>
        <w:tblCaption w:val="Table 31: Serious claims in the construction industry: number and percentage by breakdown agency, 2010–11 to 2012–13p combined"/>
        <w:tblDescription w:val="Table shows the number and percentage of serious claims in the construction industry by breakdown agency."/>
      </w:tblPr>
      <w:tblGrid>
        <w:gridCol w:w="7540"/>
        <w:gridCol w:w="2041"/>
        <w:gridCol w:w="1134"/>
      </w:tblGrid>
      <w:tr w:rsidR="00464A33" w:rsidRPr="00464A33" w:rsidTr="00715413">
        <w:trPr>
          <w:trHeight w:val="283"/>
          <w:tblHeader/>
        </w:trPr>
        <w:tc>
          <w:tcPr>
            <w:tcW w:w="7540" w:type="dxa"/>
            <w:shd w:val="clear" w:color="auto" w:fill="D9D9D9" w:themeFill="background1" w:themeFillShade="D9"/>
            <w:vAlign w:val="center"/>
          </w:tcPr>
          <w:p w:rsidR="00464A33" w:rsidRPr="00464A33" w:rsidRDefault="00464A33" w:rsidP="00E960F1">
            <w:pPr>
              <w:pStyle w:val="Tableheaderrow"/>
              <w:jc w:val="left"/>
            </w:pPr>
            <w:r>
              <w:t>Breakdown agency</w:t>
            </w:r>
          </w:p>
        </w:tc>
        <w:tc>
          <w:tcPr>
            <w:tcW w:w="2041" w:type="dxa"/>
            <w:shd w:val="clear" w:color="auto" w:fill="D9D9D9" w:themeFill="background1" w:themeFillShade="D9"/>
            <w:vAlign w:val="center"/>
          </w:tcPr>
          <w:p w:rsidR="00464A33" w:rsidRPr="00E06F79" w:rsidRDefault="00464A33" w:rsidP="00E960F1">
            <w:pPr>
              <w:pStyle w:val="Tableheaderrow"/>
              <w:jc w:val="right"/>
            </w:pPr>
            <w:r>
              <w:t>No. of serious claims</w:t>
            </w:r>
          </w:p>
        </w:tc>
        <w:tc>
          <w:tcPr>
            <w:tcW w:w="1134" w:type="dxa"/>
            <w:shd w:val="clear" w:color="auto" w:fill="D9D9D9" w:themeFill="background1" w:themeFillShade="D9"/>
            <w:vAlign w:val="center"/>
          </w:tcPr>
          <w:p w:rsidR="00464A33" w:rsidRPr="00E06F79" w:rsidRDefault="00464A33" w:rsidP="00E960F1">
            <w:pPr>
              <w:pStyle w:val="Tableheaderrow"/>
              <w:jc w:val="right"/>
            </w:pPr>
            <w:r>
              <w:t>%</w:t>
            </w:r>
          </w:p>
        </w:tc>
      </w:tr>
      <w:tr w:rsidR="00464A33" w:rsidTr="00E960F1">
        <w:tc>
          <w:tcPr>
            <w:tcW w:w="7540" w:type="dxa"/>
            <w:vAlign w:val="center"/>
          </w:tcPr>
          <w:p w:rsidR="00464A33" w:rsidRDefault="00464A33" w:rsidP="00E960F1">
            <w:pPr>
              <w:pStyle w:val="Tabletext"/>
            </w:pPr>
            <w:r>
              <w:t xml:space="preserve">Non-powered </w:t>
            </w:r>
            <w:proofErr w:type="spellStart"/>
            <w:r>
              <w:t>handtools</w:t>
            </w:r>
            <w:proofErr w:type="spellEnd"/>
            <w:r>
              <w:t xml:space="preserve">, appliances &amp; equipment </w:t>
            </w:r>
          </w:p>
        </w:tc>
        <w:tc>
          <w:tcPr>
            <w:tcW w:w="2041" w:type="dxa"/>
            <w:vAlign w:val="center"/>
          </w:tcPr>
          <w:p w:rsidR="00464A33" w:rsidRDefault="00464A33" w:rsidP="00E960F1">
            <w:pPr>
              <w:pStyle w:val="Tabletext"/>
              <w:jc w:val="right"/>
            </w:pPr>
            <w:r>
              <w:t>9 115</w:t>
            </w:r>
          </w:p>
        </w:tc>
        <w:tc>
          <w:tcPr>
            <w:tcW w:w="1134" w:type="dxa"/>
            <w:vAlign w:val="center"/>
          </w:tcPr>
          <w:p w:rsidR="00464A33" w:rsidRDefault="00464A33" w:rsidP="00E960F1">
            <w:pPr>
              <w:pStyle w:val="Tabletext"/>
              <w:jc w:val="right"/>
            </w:pPr>
            <w:r>
              <w:t>24%</w:t>
            </w:r>
          </w:p>
        </w:tc>
      </w:tr>
      <w:tr w:rsidR="00464A33" w:rsidTr="00E960F1">
        <w:tc>
          <w:tcPr>
            <w:tcW w:w="7540" w:type="dxa"/>
            <w:vAlign w:val="center"/>
          </w:tcPr>
          <w:p w:rsidR="00464A33" w:rsidRDefault="00464A33" w:rsidP="00E960F1">
            <w:pPr>
              <w:pStyle w:val="Tabletext"/>
            </w:pPr>
            <w:r>
              <w:t>Ladders, mobile ramps &amp; stairways, &amp; scaffolding</w:t>
            </w:r>
          </w:p>
        </w:tc>
        <w:tc>
          <w:tcPr>
            <w:tcW w:w="2041" w:type="dxa"/>
            <w:vAlign w:val="center"/>
          </w:tcPr>
          <w:p w:rsidR="00464A33" w:rsidRDefault="00464A33" w:rsidP="00E960F1">
            <w:pPr>
              <w:pStyle w:val="Tabletext"/>
              <w:jc w:val="right"/>
            </w:pPr>
            <w:r>
              <w:t>3 160</w:t>
            </w:r>
          </w:p>
        </w:tc>
        <w:tc>
          <w:tcPr>
            <w:tcW w:w="1134" w:type="dxa"/>
            <w:vAlign w:val="center"/>
          </w:tcPr>
          <w:p w:rsidR="00464A33" w:rsidRDefault="00464A33" w:rsidP="00E960F1">
            <w:pPr>
              <w:pStyle w:val="Tabletext"/>
              <w:jc w:val="right"/>
            </w:pPr>
            <w:r>
              <w:t>8%</w:t>
            </w:r>
          </w:p>
        </w:tc>
      </w:tr>
      <w:tr w:rsidR="00464A33" w:rsidTr="00E960F1">
        <w:tc>
          <w:tcPr>
            <w:tcW w:w="7540" w:type="dxa"/>
            <w:vAlign w:val="center"/>
          </w:tcPr>
          <w:p w:rsidR="00464A33" w:rsidRDefault="00464A33" w:rsidP="00E960F1">
            <w:pPr>
              <w:pStyle w:val="Tabletext"/>
            </w:pPr>
            <w:r>
              <w:t>Fastening, packing &amp; packaging equipment</w:t>
            </w:r>
          </w:p>
        </w:tc>
        <w:tc>
          <w:tcPr>
            <w:tcW w:w="2041" w:type="dxa"/>
            <w:vAlign w:val="center"/>
          </w:tcPr>
          <w:p w:rsidR="00464A33" w:rsidRDefault="00464A33" w:rsidP="00E960F1">
            <w:pPr>
              <w:pStyle w:val="Tabletext"/>
              <w:jc w:val="right"/>
            </w:pPr>
            <w:r>
              <w:t>1 535</w:t>
            </w:r>
          </w:p>
        </w:tc>
        <w:tc>
          <w:tcPr>
            <w:tcW w:w="1134" w:type="dxa"/>
            <w:vAlign w:val="center"/>
          </w:tcPr>
          <w:p w:rsidR="00464A33" w:rsidRDefault="00464A33" w:rsidP="00E960F1">
            <w:pPr>
              <w:pStyle w:val="Tabletext"/>
              <w:jc w:val="right"/>
            </w:pPr>
            <w:r>
              <w:t>4%</w:t>
            </w:r>
          </w:p>
        </w:tc>
      </w:tr>
      <w:tr w:rsidR="00464A33" w:rsidTr="00E960F1">
        <w:tc>
          <w:tcPr>
            <w:tcW w:w="7540" w:type="dxa"/>
            <w:vAlign w:val="center"/>
          </w:tcPr>
          <w:p w:rsidR="00464A33" w:rsidRDefault="00464A33" w:rsidP="00E960F1">
            <w:pPr>
              <w:pStyle w:val="Tabletext"/>
            </w:pPr>
            <w:r>
              <w:t xml:space="preserve">Materials &amp; substances </w:t>
            </w:r>
          </w:p>
        </w:tc>
        <w:tc>
          <w:tcPr>
            <w:tcW w:w="2041" w:type="dxa"/>
            <w:vAlign w:val="center"/>
          </w:tcPr>
          <w:p w:rsidR="00464A33" w:rsidRDefault="00464A33" w:rsidP="00E960F1">
            <w:pPr>
              <w:pStyle w:val="Tabletext"/>
              <w:jc w:val="right"/>
            </w:pPr>
            <w:r>
              <w:t>8 235</w:t>
            </w:r>
          </w:p>
        </w:tc>
        <w:tc>
          <w:tcPr>
            <w:tcW w:w="1134" w:type="dxa"/>
            <w:vAlign w:val="center"/>
          </w:tcPr>
          <w:p w:rsidR="00464A33" w:rsidRDefault="00464A33" w:rsidP="00E960F1">
            <w:pPr>
              <w:pStyle w:val="Tabletext"/>
              <w:jc w:val="right"/>
            </w:pPr>
            <w:r>
              <w:t>22%</w:t>
            </w:r>
          </w:p>
        </w:tc>
      </w:tr>
      <w:tr w:rsidR="00464A33" w:rsidTr="00E960F1">
        <w:tc>
          <w:tcPr>
            <w:tcW w:w="7540" w:type="dxa"/>
            <w:vAlign w:val="center"/>
          </w:tcPr>
          <w:p w:rsidR="00464A33" w:rsidRDefault="00464A33" w:rsidP="00E960F1">
            <w:pPr>
              <w:pStyle w:val="Tabletext"/>
            </w:pPr>
            <w:r>
              <w:t xml:space="preserve">Environmental agencies </w:t>
            </w:r>
          </w:p>
        </w:tc>
        <w:tc>
          <w:tcPr>
            <w:tcW w:w="2041" w:type="dxa"/>
            <w:vAlign w:val="center"/>
          </w:tcPr>
          <w:p w:rsidR="00464A33" w:rsidRDefault="00464A33" w:rsidP="00E960F1">
            <w:pPr>
              <w:pStyle w:val="Tabletext"/>
              <w:jc w:val="right"/>
            </w:pPr>
            <w:r>
              <w:t>6 680</w:t>
            </w:r>
          </w:p>
        </w:tc>
        <w:tc>
          <w:tcPr>
            <w:tcW w:w="1134" w:type="dxa"/>
            <w:vAlign w:val="center"/>
          </w:tcPr>
          <w:p w:rsidR="00464A33" w:rsidRDefault="00464A33" w:rsidP="00E960F1">
            <w:pPr>
              <w:pStyle w:val="Tabletext"/>
              <w:jc w:val="right"/>
            </w:pPr>
            <w:r>
              <w:t>18%</w:t>
            </w:r>
          </w:p>
        </w:tc>
      </w:tr>
      <w:tr w:rsidR="00464A33" w:rsidTr="00E960F1">
        <w:tc>
          <w:tcPr>
            <w:tcW w:w="7540" w:type="dxa"/>
            <w:vAlign w:val="center"/>
          </w:tcPr>
          <w:p w:rsidR="00464A33" w:rsidRDefault="00464A33" w:rsidP="00E960F1">
            <w:pPr>
              <w:pStyle w:val="Tabletext"/>
            </w:pPr>
            <w:r>
              <w:t xml:space="preserve">Mobile plant &amp; transport </w:t>
            </w:r>
          </w:p>
        </w:tc>
        <w:tc>
          <w:tcPr>
            <w:tcW w:w="2041" w:type="dxa"/>
            <w:vAlign w:val="center"/>
          </w:tcPr>
          <w:p w:rsidR="00464A33" w:rsidRDefault="00464A33" w:rsidP="00E960F1">
            <w:pPr>
              <w:pStyle w:val="Tabletext"/>
              <w:jc w:val="right"/>
            </w:pPr>
            <w:r>
              <w:t>3 765</w:t>
            </w:r>
          </w:p>
        </w:tc>
        <w:tc>
          <w:tcPr>
            <w:tcW w:w="1134" w:type="dxa"/>
            <w:vAlign w:val="center"/>
          </w:tcPr>
          <w:p w:rsidR="00464A33" w:rsidRDefault="00464A33" w:rsidP="00E960F1">
            <w:pPr>
              <w:pStyle w:val="Tabletext"/>
              <w:jc w:val="right"/>
            </w:pPr>
            <w:r>
              <w:t>10%</w:t>
            </w:r>
          </w:p>
        </w:tc>
      </w:tr>
      <w:tr w:rsidR="00464A33" w:rsidTr="00E960F1">
        <w:tc>
          <w:tcPr>
            <w:tcW w:w="7540" w:type="dxa"/>
            <w:vAlign w:val="center"/>
          </w:tcPr>
          <w:p w:rsidR="00464A33" w:rsidRDefault="00464A33" w:rsidP="00E960F1">
            <w:pPr>
              <w:pStyle w:val="Tabletext"/>
            </w:pPr>
            <w:r>
              <w:t xml:space="preserve">Machinery &amp; (mainly) fixed plant </w:t>
            </w:r>
          </w:p>
        </w:tc>
        <w:tc>
          <w:tcPr>
            <w:tcW w:w="2041" w:type="dxa"/>
            <w:vAlign w:val="center"/>
          </w:tcPr>
          <w:p w:rsidR="00464A33" w:rsidRDefault="00464A33" w:rsidP="00E960F1">
            <w:pPr>
              <w:pStyle w:val="Tabletext"/>
              <w:jc w:val="right"/>
            </w:pPr>
            <w:r>
              <w:t>2 475</w:t>
            </w:r>
          </w:p>
        </w:tc>
        <w:tc>
          <w:tcPr>
            <w:tcW w:w="1134" w:type="dxa"/>
            <w:vAlign w:val="center"/>
          </w:tcPr>
          <w:p w:rsidR="00464A33" w:rsidRDefault="00464A33" w:rsidP="00E960F1">
            <w:pPr>
              <w:pStyle w:val="Tabletext"/>
              <w:jc w:val="right"/>
            </w:pPr>
            <w:r>
              <w:t>7%</w:t>
            </w:r>
          </w:p>
        </w:tc>
      </w:tr>
      <w:tr w:rsidR="00464A33" w:rsidTr="00E960F1">
        <w:tc>
          <w:tcPr>
            <w:tcW w:w="7540" w:type="dxa"/>
            <w:vAlign w:val="center"/>
          </w:tcPr>
          <w:p w:rsidR="00464A33" w:rsidRDefault="00464A33" w:rsidP="00E960F1">
            <w:pPr>
              <w:pStyle w:val="Tabletext"/>
            </w:pPr>
            <w:r>
              <w:t xml:space="preserve">Powered equipment, tools &amp; appliances </w:t>
            </w:r>
          </w:p>
        </w:tc>
        <w:tc>
          <w:tcPr>
            <w:tcW w:w="2041" w:type="dxa"/>
            <w:vAlign w:val="center"/>
          </w:tcPr>
          <w:p w:rsidR="00464A33" w:rsidRDefault="00464A33" w:rsidP="00E960F1">
            <w:pPr>
              <w:pStyle w:val="Tabletext"/>
              <w:jc w:val="right"/>
            </w:pPr>
            <w:r>
              <w:t>1 965</w:t>
            </w:r>
          </w:p>
        </w:tc>
        <w:tc>
          <w:tcPr>
            <w:tcW w:w="1134" w:type="dxa"/>
            <w:vAlign w:val="center"/>
          </w:tcPr>
          <w:p w:rsidR="00464A33" w:rsidRDefault="00464A33" w:rsidP="00E960F1">
            <w:pPr>
              <w:pStyle w:val="Tabletext"/>
              <w:jc w:val="right"/>
            </w:pPr>
            <w:r>
              <w:t>5%</w:t>
            </w:r>
          </w:p>
        </w:tc>
      </w:tr>
      <w:tr w:rsidR="00464A33" w:rsidTr="00E960F1">
        <w:tc>
          <w:tcPr>
            <w:tcW w:w="7540" w:type="dxa"/>
            <w:vAlign w:val="center"/>
          </w:tcPr>
          <w:p w:rsidR="00464A33" w:rsidRDefault="00464A33" w:rsidP="00E960F1">
            <w:pPr>
              <w:pStyle w:val="Tabletext"/>
            </w:pPr>
            <w:r>
              <w:t xml:space="preserve">Animal, human &amp; biological agencies </w:t>
            </w:r>
          </w:p>
        </w:tc>
        <w:tc>
          <w:tcPr>
            <w:tcW w:w="2041" w:type="dxa"/>
            <w:vAlign w:val="center"/>
          </w:tcPr>
          <w:p w:rsidR="00464A33" w:rsidRDefault="00464A33" w:rsidP="00E960F1">
            <w:pPr>
              <w:pStyle w:val="Tabletext"/>
              <w:jc w:val="right"/>
            </w:pPr>
            <w:r>
              <w:t>860</w:t>
            </w:r>
          </w:p>
        </w:tc>
        <w:tc>
          <w:tcPr>
            <w:tcW w:w="1134" w:type="dxa"/>
            <w:vAlign w:val="center"/>
          </w:tcPr>
          <w:p w:rsidR="00464A33" w:rsidRDefault="00464A33" w:rsidP="00E960F1">
            <w:pPr>
              <w:pStyle w:val="Tabletext"/>
              <w:jc w:val="right"/>
            </w:pPr>
            <w:r>
              <w:t>2%</w:t>
            </w:r>
          </w:p>
        </w:tc>
      </w:tr>
      <w:tr w:rsidR="00464A33" w:rsidTr="00E960F1">
        <w:tc>
          <w:tcPr>
            <w:tcW w:w="7540" w:type="dxa"/>
            <w:vAlign w:val="center"/>
          </w:tcPr>
          <w:p w:rsidR="00464A33" w:rsidRDefault="00464A33" w:rsidP="00E960F1">
            <w:pPr>
              <w:pStyle w:val="Tabletext"/>
            </w:pPr>
            <w:r>
              <w:t xml:space="preserve">Chemicals &amp; chemical products </w:t>
            </w:r>
          </w:p>
        </w:tc>
        <w:tc>
          <w:tcPr>
            <w:tcW w:w="2041" w:type="dxa"/>
            <w:vAlign w:val="center"/>
          </w:tcPr>
          <w:p w:rsidR="00464A33" w:rsidRDefault="00464A33" w:rsidP="00E960F1">
            <w:pPr>
              <w:pStyle w:val="Tabletext"/>
              <w:jc w:val="right"/>
            </w:pPr>
            <w:r>
              <w:t>290</w:t>
            </w:r>
          </w:p>
        </w:tc>
        <w:tc>
          <w:tcPr>
            <w:tcW w:w="1134" w:type="dxa"/>
            <w:vAlign w:val="center"/>
          </w:tcPr>
          <w:p w:rsidR="00464A33" w:rsidRDefault="00464A33" w:rsidP="00E960F1">
            <w:pPr>
              <w:pStyle w:val="Tabletext"/>
              <w:jc w:val="right"/>
            </w:pPr>
            <w:r>
              <w:t>1%</w:t>
            </w:r>
          </w:p>
        </w:tc>
      </w:tr>
      <w:tr w:rsidR="00464A33" w:rsidTr="00E960F1">
        <w:tc>
          <w:tcPr>
            <w:tcW w:w="7540" w:type="dxa"/>
            <w:vAlign w:val="center"/>
          </w:tcPr>
          <w:p w:rsidR="00464A33" w:rsidRDefault="00464A33" w:rsidP="00E960F1">
            <w:pPr>
              <w:pStyle w:val="Tabletext"/>
            </w:pPr>
            <w:r>
              <w:t xml:space="preserve">Other &amp; unspecified agencies </w:t>
            </w:r>
          </w:p>
        </w:tc>
        <w:tc>
          <w:tcPr>
            <w:tcW w:w="2041" w:type="dxa"/>
            <w:vAlign w:val="center"/>
          </w:tcPr>
          <w:p w:rsidR="00464A33" w:rsidRDefault="00464A33" w:rsidP="00E960F1">
            <w:pPr>
              <w:pStyle w:val="Tabletext"/>
              <w:jc w:val="right"/>
            </w:pPr>
            <w:r>
              <w:t>4 035</w:t>
            </w:r>
          </w:p>
        </w:tc>
        <w:tc>
          <w:tcPr>
            <w:tcW w:w="1134" w:type="dxa"/>
            <w:vAlign w:val="center"/>
          </w:tcPr>
          <w:p w:rsidR="00464A33" w:rsidRDefault="00464A33" w:rsidP="00E960F1">
            <w:pPr>
              <w:pStyle w:val="Tabletext"/>
              <w:jc w:val="right"/>
            </w:pPr>
            <w:r>
              <w:t>11%</w:t>
            </w:r>
          </w:p>
        </w:tc>
      </w:tr>
      <w:tr w:rsidR="00464A33" w:rsidTr="00E960F1">
        <w:tc>
          <w:tcPr>
            <w:tcW w:w="7540" w:type="dxa"/>
            <w:vAlign w:val="center"/>
          </w:tcPr>
          <w:p w:rsidR="00464A33" w:rsidRDefault="00464A33" w:rsidP="00E960F1">
            <w:pPr>
              <w:pStyle w:val="Tablerowheadings"/>
            </w:pPr>
            <w:r>
              <w:t>Total</w:t>
            </w:r>
          </w:p>
        </w:tc>
        <w:tc>
          <w:tcPr>
            <w:tcW w:w="2041" w:type="dxa"/>
            <w:vAlign w:val="center"/>
          </w:tcPr>
          <w:p w:rsidR="00464A33" w:rsidRDefault="00464A33" w:rsidP="00E960F1">
            <w:pPr>
              <w:pStyle w:val="Tablerowheadings"/>
              <w:jc w:val="right"/>
            </w:pPr>
            <w:r>
              <w:t>37 415</w:t>
            </w:r>
          </w:p>
        </w:tc>
        <w:tc>
          <w:tcPr>
            <w:tcW w:w="1134" w:type="dxa"/>
            <w:vAlign w:val="center"/>
          </w:tcPr>
          <w:p w:rsidR="00464A33" w:rsidRDefault="00464A33" w:rsidP="00E960F1">
            <w:pPr>
              <w:pStyle w:val="Tablerowheadings"/>
              <w:jc w:val="right"/>
            </w:pPr>
            <w:r>
              <w:t>100%</w:t>
            </w:r>
          </w:p>
        </w:tc>
      </w:tr>
    </w:tbl>
    <w:p w:rsidR="008D72B2" w:rsidRDefault="008D72B2" w:rsidP="008D72B2">
      <w:pPr>
        <w:rPr>
          <w:rFonts w:ascii="Arial" w:eastAsiaTheme="majorEastAsia" w:hAnsi="Arial" w:cs="Arial"/>
          <w:color w:val="0070C0"/>
          <w:sz w:val="36"/>
          <w:szCs w:val="26"/>
          <w:lang w:val="en-US"/>
        </w:rPr>
      </w:pPr>
      <w:r>
        <w:br w:type="page"/>
      </w:r>
    </w:p>
    <w:p w:rsidR="00900086" w:rsidRDefault="004A0FAE" w:rsidP="00257F90">
      <w:pPr>
        <w:pStyle w:val="Heading2"/>
      </w:pPr>
      <w:bookmarkStart w:id="43" w:name="_Toc427590874"/>
      <w:r>
        <w:t>Claims by mechanism of incident</w:t>
      </w:r>
      <w:bookmarkEnd w:id="43"/>
    </w:p>
    <w:p w:rsidR="00900086" w:rsidRDefault="00900086" w:rsidP="00513A50">
      <w:pPr>
        <w:pStyle w:val="BodyText1"/>
      </w:pPr>
      <w:r w:rsidRPr="00900086">
        <w:t>Table 32 shows body stressing accounted for 36% of serious claims in the construction industry over the period 2010–11 to 2012–</w:t>
      </w:r>
      <w:proofErr w:type="spellStart"/>
      <w:r w:rsidRPr="00900086">
        <w:t>13p</w:t>
      </w:r>
      <w:proofErr w:type="spellEnd"/>
      <w:r w:rsidRPr="00900086">
        <w:t xml:space="preserve"> followed by falls, trips &amp; slips of a person with 28%. </w:t>
      </w:r>
    </w:p>
    <w:p w:rsidR="00900086" w:rsidRPr="00900086" w:rsidRDefault="00900086" w:rsidP="004A0FAE">
      <w:pPr>
        <w:pStyle w:val="Tableheading"/>
      </w:pPr>
      <w:r>
        <w:t>Table 32:</w:t>
      </w:r>
      <w:r w:rsidRPr="00900086">
        <w:t xml:space="preserve"> Serious claims in the construction industry: percentage by mechanism of incident, 2010–11 to 2012–</w:t>
      </w:r>
      <w:proofErr w:type="spellStart"/>
      <w:r w:rsidRPr="00900086">
        <w:t>13p</w:t>
      </w:r>
      <w:proofErr w:type="spellEnd"/>
      <w:r w:rsidRPr="00900086">
        <w:t xml:space="preserve"> combined</w:t>
      </w:r>
    </w:p>
    <w:tbl>
      <w:tblPr>
        <w:tblStyle w:val="TableGrid"/>
        <w:tblW w:w="10715" w:type="dxa"/>
        <w:tblLook w:val="04A0" w:firstRow="1" w:lastRow="0" w:firstColumn="1" w:lastColumn="0" w:noHBand="0" w:noVBand="1"/>
        <w:tblCaption w:val="Table 32: Serious claims in the construction industry: percentage by mechanism of incident, 2010–11 to 2012–13p combined"/>
        <w:tblDescription w:val="Table shows the number and percentage of serious claims in the construction industry by mechanism of injury."/>
      </w:tblPr>
      <w:tblGrid>
        <w:gridCol w:w="7540"/>
        <w:gridCol w:w="2041"/>
        <w:gridCol w:w="1134"/>
      </w:tblGrid>
      <w:tr w:rsidR="00464A33" w:rsidTr="00715413">
        <w:trPr>
          <w:trHeight w:val="283"/>
          <w:tblHeader/>
        </w:trPr>
        <w:tc>
          <w:tcPr>
            <w:tcW w:w="7540" w:type="dxa"/>
            <w:shd w:val="clear" w:color="auto" w:fill="D9D9D9" w:themeFill="background1" w:themeFillShade="D9"/>
            <w:vAlign w:val="center"/>
          </w:tcPr>
          <w:p w:rsidR="00464A33" w:rsidRDefault="00E960F1" w:rsidP="00464A33">
            <w:pPr>
              <w:pStyle w:val="Tableheaderrow"/>
              <w:jc w:val="left"/>
            </w:pPr>
            <w:r>
              <w:t>Mechanism</w:t>
            </w:r>
            <w:r w:rsidR="00464A33">
              <w:t xml:space="preserve"> of injury</w:t>
            </w:r>
          </w:p>
        </w:tc>
        <w:tc>
          <w:tcPr>
            <w:tcW w:w="2041" w:type="dxa"/>
            <w:shd w:val="clear" w:color="auto" w:fill="D9D9D9" w:themeFill="background1" w:themeFillShade="D9"/>
            <w:vAlign w:val="center"/>
          </w:tcPr>
          <w:p w:rsidR="00464A33" w:rsidRPr="00E06F79" w:rsidRDefault="00464A33" w:rsidP="00464A33">
            <w:pPr>
              <w:pStyle w:val="Tableheaderrow"/>
            </w:pPr>
            <w:r>
              <w:t>No. of serious claims</w:t>
            </w:r>
          </w:p>
        </w:tc>
        <w:tc>
          <w:tcPr>
            <w:tcW w:w="1134" w:type="dxa"/>
            <w:shd w:val="clear" w:color="auto" w:fill="D9D9D9" w:themeFill="background1" w:themeFillShade="D9"/>
            <w:vAlign w:val="center"/>
          </w:tcPr>
          <w:p w:rsidR="00464A33" w:rsidRPr="00E06F79" w:rsidRDefault="00464A33" w:rsidP="00464A33">
            <w:pPr>
              <w:pStyle w:val="Tableheaderrow"/>
            </w:pPr>
            <w:r>
              <w:t>%</w:t>
            </w:r>
          </w:p>
        </w:tc>
      </w:tr>
      <w:tr w:rsidR="00464A33" w:rsidTr="00E960F1">
        <w:tc>
          <w:tcPr>
            <w:tcW w:w="7540" w:type="dxa"/>
          </w:tcPr>
          <w:p w:rsidR="00464A33" w:rsidRPr="00485C2E" w:rsidRDefault="00E960F1" w:rsidP="00E960F1">
            <w:pPr>
              <w:pStyle w:val="Tabletext"/>
            </w:pPr>
            <w:r w:rsidRPr="00485C2E">
              <w:t>Body stressing</w:t>
            </w:r>
          </w:p>
        </w:tc>
        <w:tc>
          <w:tcPr>
            <w:tcW w:w="2041" w:type="dxa"/>
            <w:vAlign w:val="center"/>
          </w:tcPr>
          <w:p w:rsidR="00464A33" w:rsidRPr="00485C2E" w:rsidRDefault="00E960F1" w:rsidP="00E960F1">
            <w:pPr>
              <w:pStyle w:val="Tabletext"/>
              <w:jc w:val="right"/>
            </w:pPr>
            <w:r>
              <w:t xml:space="preserve">13 </w:t>
            </w:r>
            <w:r w:rsidR="00464A33" w:rsidRPr="00485C2E">
              <w:t>640</w:t>
            </w:r>
          </w:p>
        </w:tc>
        <w:tc>
          <w:tcPr>
            <w:tcW w:w="1134" w:type="dxa"/>
            <w:vAlign w:val="center"/>
          </w:tcPr>
          <w:p w:rsidR="00464A33" w:rsidRPr="00485C2E" w:rsidRDefault="00464A33" w:rsidP="00E960F1">
            <w:pPr>
              <w:pStyle w:val="Tabletext"/>
              <w:jc w:val="right"/>
            </w:pPr>
            <w:r w:rsidRPr="00485C2E">
              <w:t>36%</w:t>
            </w:r>
          </w:p>
        </w:tc>
      </w:tr>
      <w:tr w:rsidR="00464A33" w:rsidTr="00E960F1">
        <w:tc>
          <w:tcPr>
            <w:tcW w:w="7540" w:type="dxa"/>
          </w:tcPr>
          <w:p w:rsidR="00464A33" w:rsidRPr="00485C2E" w:rsidRDefault="00E960F1" w:rsidP="00E960F1">
            <w:pPr>
              <w:pStyle w:val="Tabletext"/>
            </w:pPr>
            <w:r w:rsidRPr="00485C2E">
              <w:t xml:space="preserve">Falls, trips </w:t>
            </w:r>
            <w:r>
              <w:t>&amp;</w:t>
            </w:r>
            <w:r w:rsidRPr="00485C2E">
              <w:t xml:space="preserve"> slips of a person</w:t>
            </w:r>
          </w:p>
        </w:tc>
        <w:tc>
          <w:tcPr>
            <w:tcW w:w="2041" w:type="dxa"/>
            <w:vAlign w:val="center"/>
          </w:tcPr>
          <w:p w:rsidR="00464A33" w:rsidRPr="00485C2E" w:rsidRDefault="00E960F1" w:rsidP="00E960F1">
            <w:pPr>
              <w:pStyle w:val="Tabletext"/>
              <w:jc w:val="right"/>
            </w:pPr>
            <w:r>
              <w:t xml:space="preserve">10 </w:t>
            </w:r>
            <w:r w:rsidR="00464A33" w:rsidRPr="00485C2E">
              <w:t>375</w:t>
            </w:r>
          </w:p>
        </w:tc>
        <w:tc>
          <w:tcPr>
            <w:tcW w:w="1134" w:type="dxa"/>
            <w:vAlign w:val="center"/>
          </w:tcPr>
          <w:p w:rsidR="00464A33" w:rsidRPr="00485C2E" w:rsidRDefault="00464A33" w:rsidP="00E960F1">
            <w:pPr>
              <w:pStyle w:val="Tabletext"/>
              <w:jc w:val="right"/>
            </w:pPr>
            <w:r w:rsidRPr="00485C2E">
              <w:t>28%</w:t>
            </w:r>
          </w:p>
        </w:tc>
      </w:tr>
      <w:tr w:rsidR="00464A33" w:rsidTr="00E960F1">
        <w:tc>
          <w:tcPr>
            <w:tcW w:w="7540" w:type="dxa"/>
          </w:tcPr>
          <w:p w:rsidR="00464A33" w:rsidRPr="00485C2E" w:rsidRDefault="00E960F1" w:rsidP="00E960F1">
            <w:pPr>
              <w:pStyle w:val="Tabletext"/>
            </w:pPr>
            <w:r w:rsidRPr="00485C2E">
              <w:t>Being hit by moving objects</w:t>
            </w:r>
          </w:p>
        </w:tc>
        <w:tc>
          <w:tcPr>
            <w:tcW w:w="2041" w:type="dxa"/>
            <w:vAlign w:val="center"/>
          </w:tcPr>
          <w:p w:rsidR="00464A33" w:rsidRPr="00485C2E" w:rsidRDefault="00E960F1" w:rsidP="00E960F1">
            <w:pPr>
              <w:pStyle w:val="Tabletext"/>
              <w:jc w:val="right"/>
            </w:pPr>
            <w:r>
              <w:t xml:space="preserve">6 </w:t>
            </w:r>
            <w:r w:rsidR="00464A33" w:rsidRPr="00485C2E">
              <w:t>430</w:t>
            </w:r>
          </w:p>
        </w:tc>
        <w:tc>
          <w:tcPr>
            <w:tcW w:w="1134" w:type="dxa"/>
            <w:vAlign w:val="center"/>
          </w:tcPr>
          <w:p w:rsidR="00464A33" w:rsidRPr="00485C2E" w:rsidRDefault="00464A33" w:rsidP="00E960F1">
            <w:pPr>
              <w:pStyle w:val="Tabletext"/>
              <w:jc w:val="right"/>
            </w:pPr>
            <w:r w:rsidRPr="00485C2E">
              <w:t>17%</w:t>
            </w:r>
          </w:p>
        </w:tc>
      </w:tr>
      <w:tr w:rsidR="00464A33" w:rsidTr="00E960F1">
        <w:tc>
          <w:tcPr>
            <w:tcW w:w="7540" w:type="dxa"/>
          </w:tcPr>
          <w:p w:rsidR="00464A33" w:rsidRPr="00485C2E" w:rsidRDefault="00E960F1" w:rsidP="00E960F1">
            <w:pPr>
              <w:pStyle w:val="Tabletext"/>
            </w:pPr>
            <w:r w:rsidRPr="00485C2E">
              <w:t>Hitting objects with a part of the body</w:t>
            </w:r>
          </w:p>
        </w:tc>
        <w:tc>
          <w:tcPr>
            <w:tcW w:w="2041" w:type="dxa"/>
            <w:vAlign w:val="center"/>
          </w:tcPr>
          <w:p w:rsidR="00464A33" w:rsidRPr="00485C2E" w:rsidRDefault="00E960F1" w:rsidP="00E960F1">
            <w:pPr>
              <w:pStyle w:val="Tabletext"/>
              <w:jc w:val="right"/>
            </w:pPr>
            <w:r>
              <w:t xml:space="preserve">3 </w:t>
            </w:r>
            <w:r w:rsidR="00464A33" w:rsidRPr="00485C2E">
              <w:t>655</w:t>
            </w:r>
          </w:p>
        </w:tc>
        <w:tc>
          <w:tcPr>
            <w:tcW w:w="1134" w:type="dxa"/>
            <w:vAlign w:val="center"/>
          </w:tcPr>
          <w:p w:rsidR="00464A33" w:rsidRPr="00485C2E" w:rsidRDefault="00464A33" w:rsidP="00E960F1">
            <w:pPr>
              <w:pStyle w:val="Tabletext"/>
              <w:jc w:val="right"/>
            </w:pPr>
            <w:r w:rsidRPr="00485C2E">
              <w:t>10%</w:t>
            </w:r>
          </w:p>
        </w:tc>
      </w:tr>
      <w:tr w:rsidR="00464A33" w:rsidTr="00E960F1">
        <w:tc>
          <w:tcPr>
            <w:tcW w:w="7540" w:type="dxa"/>
          </w:tcPr>
          <w:p w:rsidR="00464A33" w:rsidRPr="00485C2E" w:rsidRDefault="00E960F1" w:rsidP="00E960F1">
            <w:pPr>
              <w:pStyle w:val="Tabletext"/>
            </w:pPr>
            <w:r w:rsidRPr="00485C2E">
              <w:t xml:space="preserve">Vehicle incidents </w:t>
            </w:r>
            <w:r>
              <w:t>&amp;</w:t>
            </w:r>
            <w:r w:rsidRPr="00485C2E">
              <w:t xml:space="preserve"> other</w:t>
            </w:r>
          </w:p>
        </w:tc>
        <w:tc>
          <w:tcPr>
            <w:tcW w:w="2041" w:type="dxa"/>
            <w:vAlign w:val="center"/>
          </w:tcPr>
          <w:p w:rsidR="00464A33" w:rsidRPr="00485C2E" w:rsidRDefault="00E960F1" w:rsidP="00E960F1">
            <w:pPr>
              <w:pStyle w:val="Tabletext"/>
              <w:jc w:val="right"/>
            </w:pPr>
            <w:r>
              <w:t xml:space="preserve">1 </w:t>
            </w:r>
            <w:r w:rsidR="00464A33" w:rsidRPr="00485C2E">
              <w:t>975</w:t>
            </w:r>
          </w:p>
        </w:tc>
        <w:tc>
          <w:tcPr>
            <w:tcW w:w="1134" w:type="dxa"/>
            <w:vAlign w:val="center"/>
          </w:tcPr>
          <w:p w:rsidR="00464A33" w:rsidRPr="00485C2E" w:rsidRDefault="00464A33" w:rsidP="00E960F1">
            <w:pPr>
              <w:pStyle w:val="Tabletext"/>
              <w:jc w:val="right"/>
            </w:pPr>
            <w:r w:rsidRPr="00485C2E">
              <w:t>5%</w:t>
            </w:r>
          </w:p>
        </w:tc>
      </w:tr>
      <w:tr w:rsidR="00464A33" w:rsidTr="00E960F1">
        <w:tc>
          <w:tcPr>
            <w:tcW w:w="7540" w:type="dxa"/>
          </w:tcPr>
          <w:p w:rsidR="00464A33" w:rsidRPr="00485C2E" w:rsidRDefault="00E960F1" w:rsidP="00E960F1">
            <w:pPr>
              <w:pStyle w:val="Tabletext"/>
            </w:pPr>
            <w:r w:rsidRPr="00485C2E">
              <w:t>Mental stress</w:t>
            </w:r>
          </w:p>
        </w:tc>
        <w:tc>
          <w:tcPr>
            <w:tcW w:w="2041" w:type="dxa"/>
            <w:vAlign w:val="center"/>
          </w:tcPr>
          <w:p w:rsidR="00464A33" w:rsidRPr="00485C2E" w:rsidRDefault="00464A33" w:rsidP="00E960F1">
            <w:pPr>
              <w:pStyle w:val="Tabletext"/>
              <w:jc w:val="right"/>
            </w:pPr>
            <w:r w:rsidRPr="00485C2E">
              <w:t>520</w:t>
            </w:r>
          </w:p>
        </w:tc>
        <w:tc>
          <w:tcPr>
            <w:tcW w:w="1134" w:type="dxa"/>
            <w:vAlign w:val="center"/>
          </w:tcPr>
          <w:p w:rsidR="00464A33" w:rsidRPr="00485C2E" w:rsidRDefault="00464A33" w:rsidP="00E960F1">
            <w:pPr>
              <w:pStyle w:val="Tabletext"/>
              <w:jc w:val="right"/>
            </w:pPr>
            <w:r w:rsidRPr="00485C2E">
              <w:t>1%</w:t>
            </w:r>
          </w:p>
        </w:tc>
      </w:tr>
      <w:tr w:rsidR="00464A33" w:rsidTr="00E960F1">
        <w:tc>
          <w:tcPr>
            <w:tcW w:w="7540" w:type="dxa"/>
          </w:tcPr>
          <w:p w:rsidR="00464A33" w:rsidRPr="00485C2E" w:rsidRDefault="00E960F1" w:rsidP="00E960F1">
            <w:pPr>
              <w:pStyle w:val="Tabletext"/>
            </w:pPr>
            <w:r w:rsidRPr="00485C2E">
              <w:t xml:space="preserve">Heat, electricity </w:t>
            </w:r>
            <w:r>
              <w:t>&amp;</w:t>
            </w:r>
            <w:r w:rsidRPr="00485C2E">
              <w:t xml:space="preserve"> other environmental factors</w:t>
            </w:r>
          </w:p>
        </w:tc>
        <w:tc>
          <w:tcPr>
            <w:tcW w:w="2041" w:type="dxa"/>
            <w:vAlign w:val="center"/>
          </w:tcPr>
          <w:p w:rsidR="00464A33" w:rsidRPr="00485C2E" w:rsidRDefault="00464A33" w:rsidP="00E960F1">
            <w:pPr>
              <w:pStyle w:val="Tabletext"/>
              <w:jc w:val="right"/>
            </w:pPr>
            <w:r w:rsidRPr="00485C2E">
              <w:t>400</w:t>
            </w:r>
          </w:p>
        </w:tc>
        <w:tc>
          <w:tcPr>
            <w:tcW w:w="1134" w:type="dxa"/>
            <w:vAlign w:val="center"/>
          </w:tcPr>
          <w:p w:rsidR="00464A33" w:rsidRPr="00485C2E" w:rsidRDefault="00464A33" w:rsidP="00E960F1">
            <w:pPr>
              <w:pStyle w:val="Tabletext"/>
              <w:jc w:val="right"/>
            </w:pPr>
            <w:r w:rsidRPr="00485C2E">
              <w:t>1%</w:t>
            </w:r>
          </w:p>
        </w:tc>
      </w:tr>
      <w:tr w:rsidR="00464A33" w:rsidTr="00E960F1">
        <w:tc>
          <w:tcPr>
            <w:tcW w:w="7540" w:type="dxa"/>
          </w:tcPr>
          <w:p w:rsidR="00464A33" w:rsidRPr="00485C2E" w:rsidRDefault="00E960F1" w:rsidP="00E960F1">
            <w:pPr>
              <w:pStyle w:val="Tabletext"/>
            </w:pPr>
            <w:r w:rsidRPr="00485C2E">
              <w:t xml:space="preserve">Chemicals </w:t>
            </w:r>
            <w:r>
              <w:t>&amp;</w:t>
            </w:r>
            <w:r w:rsidRPr="00485C2E">
              <w:t xml:space="preserve"> other substances</w:t>
            </w:r>
          </w:p>
        </w:tc>
        <w:tc>
          <w:tcPr>
            <w:tcW w:w="2041" w:type="dxa"/>
            <w:vAlign w:val="center"/>
          </w:tcPr>
          <w:p w:rsidR="00464A33" w:rsidRPr="00485C2E" w:rsidRDefault="00464A33" w:rsidP="00E960F1">
            <w:pPr>
              <w:pStyle w:val="Tabletext"/>
              <w:jc w:val="right"/>
            </w:pPr>
            <w:r w:rsidRPr="00485C2E">
              <w:t>330</w:t>
            </w:r>
          </w:p>
        </w:tc>
        <w:tc>
          <w:tcPr>
            <w:tcW w:w="1134" w:type="dxa"/>
            <w:vAlign w:val="center"/>
          </w:tcPr>
          <w:p w:rsidR="00464A33" w:rsidRPr="00485C2E" w:rsidRDefault="00464A33" w:rsidP="00E960F1">
            <w:pPr>
              <w:pStyle w:val="Tabletext"/>
              <w:jc w:val="right"/>
            </w:pPr>
            <w:r w:rsidRPr="00485C2E">
              <w:t>1%</w:t>
            </w:r>
          </w:p>
        </w:tc>
      </w:tr>
      <w:tr w:rsidR="00464A33" w:rsidTr="00E960F1">
        <w:tc>
          <w:tcPr>
            <w:tcW w:w="7540" w:type="dxa"/>
          </w:tcPr>
          <w:p w:rsidR="00464A33" w:rsidRPr="00485C2E" w:rsidRDefault="00E960F1" w:rsidP="00E960F1">
            <w:pPr>
              <w:pStyle w:val="Tabletext"/>
            </w:pPr>
            <w:r w:rsidRPr="00485C2E">
              <w:t>Biological factors</w:t>
            </w:r>
          </w:p>
        </w:tc>
        <w:tc>
          <w:tcPr>
            <w:tcW w:w="2041" w:type="dxa"/>
            <w:vAlign w:val="center"/>
          </w:tcPr>
          <w:p w:rsidR="00464A33" w:rsidRPr="00485C2E" w:rsidRDefault="00464A33" w:rsidP="00E960F1">
            <w:pPr>
              <w:pStyle w:val="Tabletext"/>
              <w:jc w:val="right"/>
            </w:pPr>
            <w:r w:rsidRPr="00485C2E">
              <w:t>55</w:t>
            </w:r>
          </w:p>
        </w:tc>
        <w:tc>
          <w:tcPr>
            <w:tcW w:w="1134" w:type="dxa"/>
            <w:vAlign w:val="center"/>
          </w:tcPr>
          <w:p w:rsidR="00464A33" w:rsidRPr="00485C2E" w:rsidRDefault="00464A33" w:rsidP="00E960F1">
            <w:pPr>
              <w:pStyle w:val="Tabletext"/>
              <w:jc w:val="right"/>
            </w:pPr>
            <w:r w:rsidRPr="00485C2E">
              <w:t>0%</w:t>
            </w:r>
          </w:p>
        </w:tc>
      </w:tr>
      <w:tr w:rsidR="00464A33" w:rsidTr="00E960F1">
        <w:tc>
          <w:tcPr>
            <w:tcW w:w="7540" w:type="dxa"/>
          </w:tcPr>
          <w:p w:rsidR="00464A33" w:rsidRPr="00485C2E" w:rsidRDefault="00E960F1" w:rsidP="00E960F1">
            <w:pPr>
              <w:pStyle w:val="Tabletext"/>
            </w:pPr>
            <w:r w:rsidRPr="00485C2E">
              <w:t xml:space="preserve">Sound </w:t>
            </w:r>
            <w:r>
              <w:t>&amp;</w:t>
            </w:r>
            <w:r w:rsidRPr="00485C2E">
              <w:t xml:space="preserve"> pressure</w:t>
            </w:r>
          </w:p>
        </w:tc>
        <w:tc>
          <w:tcPr>
            <w:tcW w:w="2041" w:type="dxa"/>
            <w:vAlign w:val="center"/>
          </w:tcPr>
          <w:p w:rsidR="00464A33" w:rsidRPr="00485C2E" w:rsidRDefault="00464A33" w:rsidP="00E960F1">
            <w:pPr>
              <w:pStyle w:val="Tabletext"/>
              <w:jc w:val="right"/>
            </w:pPr>
            <w:r w:rsidRPr="00485C2E">
              <w:t>30</w:t>
            </w:r>
          </w:p>
        </w:tc>
        <w:tc>
          <w:tcPr>
            <w:tcW w:w="1134" w:type="dxa"/>
            <w:vAlign w:val="center"/>
          </w:tcPr>
          <w:p w:rsidR="00464A33" w:rsidRPr="00485C2E" w:rsidRDefault="00464A33" w:rsidP="00E960F1">
            <w:pPr>
              <w:pStyle w:val="Tabletext"/>
              <w:jc w:val="right"/>
            </w:pPr>
            <w:r w:rsidRPr="00485C2E">
              <w:t>0%</w:t>
            </w:r>
          </w:p>
        </w:tc>
      </w:tr>
      <w:tr w:rsidR="00464A33" w:rsidTr="00E960F1">
        <w:tc>
          <w:tcPr>
            <w:tcW w:w="7540" w:type="dxa"/>
          </w:tcPr>
          <w:p w:rsidR="00464A33" w:rsidRPr="00485C2E" w:rsidRDefault="00E960F1" w:rsidP="00E960F1">
            <w:pPr>
              <w:pStyle w:val="Tablerowheadings"/>
            </w:pPr>
            <w:r>
              <w:t>T</w:t>
            </w:r>
            <w:r w:rsidR="00464A33" w:rsidRPr="00485C2E">
              <w:t>otal</w:t>
            </w:r>
          </w:p>
        </w:tc>
        <w:tc>
          <w:tcPr>
            <w:tcW w:w="2041" w:type="dxa"/>
            <w:vAlign w:val="center"/>
          </w:tcPr>
          <w:p w:rsidR="00464A33" w:rsidRPr="00485C2E" w:rsidRDefault="00E960F1" w:rsidP="00E960F1">
            <w:pPr>
              <w:pStyle w:val="Tablerowheadings"/>
              <w:jc w:val="right"/>
            </w:pPr>
            <w:r>
              <w:t xml:space="preserve">37 </w:t>
            </w:r>
            <w:r w:rsidR="00464A33" w:rsidRPr="00485C2E">
              <w:t>415</w:t>
            </w:r>
          </w:p>
        </w:tc>
        <w:tc>
          <w:tcPr>
            <w:tcW w:w="1134" w:type="dxa"/>
            <w:vAlign w:val="center"/>
          </w:tcPr>
          <w:p w:rsidR="00464A33" w:rsidRDefault="00464A33" w:rsidP="00E960F1">
            <w:pPr>
              <w:pStyle w:val="Tablerowheadings"/>
              <w:jc w:val="right"/>
            </w:pPr>
            <w:r w:rsidRPr="00485C2E">
              <w:t>100%</w:t>
            </w:r>
          </w:p>
        </w:tc>
      </w:tr>
    </w:tbl>
    <w:p w:rsidR="00801408" w:rsidRPr="00801408" w:rsidRDefault="004A0FAE" w:rsidP="00900086">
      <w:pPr>
        <w:pStyle w:val="Heading3"/>
        <w:rPr>
          <w:lang w:val="en-US"/>
        </w:rPr>
      </w:pPr>
      <w:bookmarkStart w:id="44" w:name="_Toc427590875"/>
      <w:r>
        <w:rPr>
          <w:lang w:val="en-US"/>
        </w:rPr>
        <w:t>Mechanism by time lost and cost</w:t>
      </w:r>
      <w:bookmarkEnd w:id="44"/>
    </w:p>
    <w:p w:rsidR="00900086" w:rsidRPr="00900086" w:rsidRDefault="00900086" w:rsidP="00513A50">
      <w:pPr>
        <w:pStyle w:val="BodyText1"/>
      </w:pPr>
      <w:r w:rsidRPr="00900086">
        <w:t xml:space="preserve">While body stressing accounts for the highest number of serious claims in the construction industry, claims for mental stress have the highest median time lost from work. Table 33 shows over the three-year period, an employee who sustained an injury as a result of mental stress typically had 17.2 weeks off work. </w:t>
      </w:r>
    </w:p>
    <w:p w:rsidR="00900086" w:rsidRDefault="00900086" w:rsidP="004A0FAE">
      <w:pPr>
        <w:pStyle w:val="Tableheading"/>
      </w:pPr>
      <w:r>
        <w:t xml:space="preserve">Table 33: </w:t>
      </w:r>
      <w:r w:rsidRPr="00900086">
        <w:t>Serious claims in the construction industry: median time off work (weeks) by mechanism of incident, 2010–11 to 2012–</w:t>
      </w:r>
      <w:proofErr w:type="spellStart"/>
      <w:r w:rsidRPr="00900086">
        <w:t>13p</w:t>
      </w:r>
      <w:proofErr w:type="spellEnd"/>
      <w:r w:rsidRPr="00900086">
        <w:t xml:space="preserve"> combined</w:t>
      </w:r>
    </w:p>
    <w:tbl>
      <w:tblPr>
        <w:tblStyle w:val="TableGrid"/>
        <w:tblW w:w="0" w:type="auto"/>
        <w:tblLook w:val="04A0" w:firstRow="1" w:lastRow="0" w:firstColumn="1" w:lastColumn="0" w:noHBand="0" w:noVBand="1"/>
        <w:tblCaption w:val="Table 33: Serious claims in the construction industry: median time off work (weeks) by mechanism of incident, 2010–11 to 2012–13p combined"/>
        <w:tblDescription w:val="Table shows the median time off work by mechanism of incident in the construction industry."/>
      </w:tblPr>
      <w:tblGrid>
        <w:gridCol w:w="2136"/>
        <w:gridCol w:w="2136"/>
        <w:gridCol w:w="2136"/>
        <w:gridCol w:w="2137"/>
        <w:gridCol w:w="2137"/>
      </w:tblGrid>
      <w:tr w:rsidR="0064357F" w:rsidTr="00715413">
        <w:trPr>
          <w:trHeight w:val="283"/>
          <w:tblHeader/>
        </w:trPr>
        <w:tc>
          <w:tcPr>
            <w:tcW w:w="2136" w:type="dxa"/>
            <w:shd w:val="clear" w:color="auto" w:fill="D9D9D9" w:themeFill="background1" w:themeFillShade="D9"/>
            <w:vAlign w:val="center"/>
          </w:tcPr>
          <w:p w:rsidR="0064357F" w:rsidRPr="00BB65AE" w:rsidRDefault="0064357F" w:rsidP="0064357F">
            <w:pPr>
              <w:pStyle w:val="Tableheaderrow"/>
              <w:jc w:val="left"/>
            </w:pPr>
            <w:r>
              <w:t>Year</w:t>
            </w:r>
          </w:p>
        </w:tc>
        <w:tc>
          <w:tcPr>
            <w:tcW w:w="2136" w:type="dxa"/>
            <w:shd w:val="clear" w:color="auto" w:fill="D9D9D9" w:themeFill="background1" w:themeFillShade="D9"/>
            <w:vAlign w:val="center"/>
          </w:tcPr>
          <w:p w:rsidR="0064357F" w:rsidRPr="00BB65AE" w:rsidRDefault="0064357F" w:rsidP="0064357F">
            <w:pPr>
              <w:pStyle w:val="Tableheaderrow"/>
              <w:jc w:val="right"/>
            </w:pPr>
            <w:r w:rsidRPr="00BB65AE">
              <w:t>2010-11</w:t>
            </w:r>
          </w:p>
        </w:tc>
        <w:tc>
          <w:tcPr>
            <w:tcW w:w="2136" w:type="dxa"/>
            <w:shd w:val="clear" w:color="auto" w:fill="D9D9D9" w:themeFill="background1" w:themeFillShade="D9"/>
            <w:vAlign w:val="center"/>
          </w:tcPr>
          <w:p w:rsidR="0064357F" w:rsidRPr="00BB65AE" w:rsidRDefault="0064357F" w:rsidP="0064357F">
            <w:pPr>
              <w:pStyle w:val="Tableheaderrow"/>
              <w:jc w:val="right"/>
            </w:pPr>
            <w:r w:rsidRPr="00BB65AE">
              <w:t>2011-12</w:t>
            </w:r>
          </w:p>
        </w:tc>
        <w:tc>
          <w:tcPr>
            <w:tcW w:w="2137" w:type="dxa"/>
            <w:shd w:val="clear" w:color="auto" w:fill="D9D9D9" w:themeFill="background1" w:themeFillShade="D9"/>
            <w:vAlign w:val="center"/>
          </w:tcPr>
          <w:p w:rsidR="0064357F" w:rsidRPr="00BB65AE" w:rsidRDefault="0064357F" w:rsidP="0064357F">
            <w:pPr>
              <w:pStyle w:val="Tableheaderrow"/>
              <w:jc w:val="right"/>
            </w:pPr>
            <w:r w:rsidRPr="00BB65AE">
              <w:t>2012-</w:t>
            </w:r>
            <w:proofErr w:type="spellStart"/>
            <w:r w:rsidRPr="00BB65AE">
              <w:t>13p</w:t>
            </w:r>
            <w:proofErr w:type="spellEnd"/>
          </w:p>
        </w:tc>
        <w:tc>
          <w:tcPr>
            <w:tcW w:w="2137" w:type="dxa"/>
            <w:shd w:val="clear" w:color="auto" w:fill="D9D9D9" w:themeFill="background1" w:themeFillShade="D9"/>
            <w:vAlign w:val="center"/>
          </w:tcPr>
          <w:p w:rsidR="0064357F" w:rsidRPr="00BB65AE" w:rsidRDefault="0064357F" w:rsidP="0064357F">
            <w:pPr>
              <w:pStyle w:val="Tableheaderrow"/>
              <w:jc w:val="right"/>
            </w:pPr>
            <w:r w:rsidRPr="00BB65AE">
              <w:t>Total</w:t>
            </w:r>
          </w:p>
        </w:tc>
      </w:tr>
      <w:tr w:rsidR="0064357F" w:rsidTr="0064357F">
        <w:tc>
          <w:tcPr>
            <w:tcW w:w="2136" w:type="dxa"/>
          </w:tcPr>
          <w:p w:rsidR="0064357F" w:rsidRPr="00BB65AE" w:rsidRDefault="0064357F" w:rsidP="0064357F">
            <w:pPr>
              <w:pStyle w:val="Tabletext"/>
            </w:pPr>
            <w:r w:rsidRPr="00BB65AE">
              <w:t>Mental stress</w:t>
            </w:r>
          </w:p>
        </w:tc>
        <w:tc>
          <w:tcPr>
            <w:tcW w:w="2136" w:type="dxa"/>
            <w:vAlign w:val="center"/>
          </w:tcPr>
          <w:p w:rsidR="0064357F" w:rsidRPr="00BB65AE" w:rsidRDefault="0064357F" w:rsidP="0064357F">
            <w:pPr>
              <w:pStyle w:val="Tabletext"/>
              <w:jc w:val="right"/>
            </w:pPr>
            <w:r w:rsidRPr="00BB65AE">
              <w:t>16.4</w:t>
            </w:r>
          </w:p>
        </w:tc>
        <w:tc>
          <w:tcPr>
            <w:tcW w:w="2136" w:type="dxa"/>
            <w:vAlign w:val="center"/>
          </w:tcPr>
          <w:p w:rsidR="0064357F" w:rsidRPr="00BB65AE" w:rsidRDefault="0064357F" w:rsidP="0064357F">
            <w:pPr>
              <w:pStyle w:val="Tabletext"/>
              <w:jc w:val="right"/>
            </w:pPr>
            <w:r w:rsidRPr="00BB65AE">
              <w:t>18.4</w:t>
            </w:r>
          </w:p>
        </w:tc>
        <w:tc>
          <w:tcPr>
            <w:tcW w:w="2137" w:type="dxa"/>
            <w:vAlign w:val="center"/>
          </w:tcPr>
          <w:p w:rsidR="0064357F" w:rsidRPr="00BB65AE" w:rsidRDefault="0064357F" w:rsidP="0064357F">
            <w:pPr>
              <w:pStyle w:val="Tabletext"/>
              <w:jc w:val="right"/>
            </w:pPr>
            <w:r w:rsidRPr="00BB65AE">
              <w:t>16.5</w:t>
            </w:r>
          </w:p>
        </w:tc>
        <w:tc>
          <w:tcPr>
            <w:tcW w:w="2137" w:type="dxa"/>
            <w:vAlign w:val="center"/>
          </w:tcPr>
          <w:p w:rsidR="0064357F" w:rsidRPr="00BB65AE" w:rsidRDefault="0064357F" w:rsidP="0064357F">
            <w:pPr>
              <w:pStyle w:val="Tabletext"/>
              <w:jc w:val="right"/>
            </w:pPr>
            <w:r w:rsidRPr="00BB65AE">
              <w:t>17.2</w:t>
            </w:r>
          </w:p>
        </w:tc>
      </w:tr>
      <w:tr w:rsidR="0064357F" w:rsidTr="0064357F">
        <w:tc>
          <w:tcPr>
            <w:tcW w:w="2136" w:type="dxa"/>
          </w:tcPr>
          <w:p w:rsidR="0064357F" w:rsidRPr="00BB65AE" w:rsidRDefault="0064357F" w:rsidP="0064357F">
            <w:pPr>
              <w:pStyle w:val="Tabletext"/>
            </w:pPr>
            <w:r w:rsidRPr="00BB65AE">
              <w:t>Sound &amp; pressure</w:t>
            </w:r>
          </w:p>
        </w:tc>
        <w:tc>
          <w:tcPr>
            <w:tcW w:w="2136" w:type="dxa"/>
            <w:vAlign w:val="center"/>
          </w:tcPr>
          <w:p w:rsidR="0064357F" w:rsidRPr="00BB65AE" w:rsidRDefault="0064357F" w:rsidP="0064357F">
            <w:pPr>
              <w:pStyle w:val="Tabletext"/>
              <w:jc w:val="right"/>
            </w:pPr>
            <w:r w:rsidRPr="00BB65AE">
              <w:t>4.9</w:t>
            </w:r>
          </w:p>
        </w:tc>
        <w:tc>
          <w:tcPr>
            <w:tcW w:w="2136" w:type="dxa"/>
            <w:vAlign w:val="center"/>
          </w:tcPr>
          <w:p w:rsidR="0064357F" w:rsidRPr="00BB65AE" w:rsidRDefault="0064357F" w:rsidP="0064357F">
            <w:pPr>
              <w:pStyle w:val="Tabletext"/>
              <w:jc w:val="right"/>
            </w:pPr>
            <w:r w:rsidRPr="00BB65AE">
              <w:t>9.0</w:t>
            </w:r>
          </w:p>
        </w:tc>
        <w:tc>
          <w:tcPr>
            <w:tcW w:w="2137" w:type="dxa"/>
            <w:vAlign w:val="center"/>
          </w:tcPr>
          <w:p w:rsidR="0064357F" w:rsidRPr="00BB65AE" w:rsidRDefault="0064357F" w:rsidP="0064357F">
            <w:pPr>
              <w:pStyle w:val="Tabletext"/>
              <w:jc w:val="right"/>
            </w:pPr>
            <w:r w:rsidRPr="00BB65AE">
              <w:t>17.2</w:t>
            </w:r>
          </w:p>
        </w:tc>
        <w:tc>
          <w:tcPr>
            <w:tcW w:w="2137" w:type="dxa"/>
            <w:vAlign w:val="center"/>
          </w:tcPr>
          <w:p w:rsidR="0064357F" w:rsidRPr="00BB65AE" w:rsidRDefault="0064357F" w:rsidP="0064357F">
            <w:pPr>
              <w:pStyle w:val="Tabletext"/>
              <w:jc w:val="right"/>
            </w:pPr>
            <w:r w:rsidRPr="00BB65AE">
              <w:t>9.0</w:t>
            </w:r>
          </w:p>
        </w:tc>
      </w:tr>
      <w:tr w:rsidR="0064357F" w:rsidTr="0064357F">
        <w:tc>
          <w:tcPr>
            <w:tcW w:w="2136" w:type="dxa"/>
          </w:tcPr>
          <w:p w:rsidR="0064357F" w:rsidRPr="00BB65AE" w:rsidRDefault="0064357F" w:rsidP="0064357F">
            <w:pPr>
              <w:pStyle w:val="Tabletext"/>
            </w:pPr>
            <w:r w:rsidRPr="00BB65AE">
              <w:t xml:space="preserve">Falls, trips </w:t>
            </w:r>
            <w:r>
              <w:t>&amp;</w:t>
            </w:r>
            <w:r w:rsidRPr="00BB65AE">
              <w:t xml:space="preserve"> slips of a person</w:t>
            </w:r>
          </w:p>
        </w:tc>
        <w:tc>
          <w:tcPr>
            <w:tcW w:w="2136" w:type="dxa"/>
            <w:vAlign w:val="center"/>
          </w:tcPr>
          <w:p w:rsidR="0064357F" w:rsidRPr="00BB65AE" w:rsidRDefault="0064357F" w:rsidP="0064357F">
            <w:pPr>
              <w:pStyle w:val="Tabletext"/>
              <w:jc w:val="right"/>
            </w:pPr>
            <w:r w:rsidRPr="00BB65AE">
              <w:t>8.0</w:t>
            </w:r>
          </w:p>
        </w:tc>
        <w:tc>
          <w:tcPr>
            <w:tcW w:w="2136" w:type="dxa"/>
            <w:vAlign w:val="center"/>
          </w:tcPr>
          <w:p w:rsidR="0064357F" w:rsidRPr="00BB65AE" w:rsidRDefault="0064357F" w:rsidP="0064357F">
            <w:pPr>
              <w:pStyle w:val="Tabletext"/>
              <w:jc w:val="right"/>
            </w:pPr>
            <w:r w:rsidRPr="00BB65AE">
              <w:t>8.2</w:t>
            </w:r>
          </w:p>
        </w:tc>
        <w:tc>
          <w:tcPr>
            <w:tcW w:w="2137" w:type="dxa"/>
            <w:vAlign w:val="center"/>
          </w:tcPr>
          <w:p w:rsidR="0064357F" w:rsidRPr="00BB65AE" w:rsidRDefault="0064357F" w:rsidP="0064357F">
            <w:pPr>
              <w:pStyle w:val="Tabletext"/>
              <w:jc w:val="right"/>
            </w:pPr>
            <w:r w:rsidRPr="00BB65AE">
              <w:t>8.3</w:t>
            </w:r>
          </w:p>
        </w:tc>
        <w:tc>
          <w:tcPr>
            <w:tcW w:w="2137" w:type="dxa"/>
            <w:vAlign w:val="center"/>
          </w:tcPr>
          <w:p w:rsidR="0064357F" w:rsidRPr="00BB65AE" w:rsidRDefault="0064357F" w:rsidP="0064357F">
            <w:pPr>
              <w:pStyle w:val="Tabletext"/>
              <w:jc w:val="right"/>
            </w:pPr>
            <w:r w:rsidRPr="00BB65AE">
              <w:t>8.2</w:t>
            </w:r>
          </w:p>
        </w:tc>
      </w:tr>
      <w:tr w:rsidR="0064357F" w:rsidTr="0064357F">
        <w:tc>
          <w:tcPr>
            <w:tcW w:w="2136" w:type="dxa"/>
          </w:tcPr>
          <w:p w:rsidR="0064357F" w:rsidRPr="00BB65AE" w:rsidRDefault="0064357F" w:rsidP="0064357F">
            <w:pPr>
              <w:pStyle w:val="Tabletext"/>
            </w:pPr>
            <w:r w:rsidRPr="00BB65AE">
              <w:t>Vehicle incidents &amp; other</w:t>
            </w:r>
          </w:p>
        </w:tc>
        <w:tc>
          <w:tcPr>
            <w:tcW w:w="2136" w:type="dxa"/>
            <w:vAlign w:val="center"/>
          </w:tcPr>
          <w:p w:rsidR="0064357F" w:rsidRPr="00BB65AE" w:rsidRDefault="0064357F" w:rsidP="0064357F">
            <w:pPr>
              <w:pStyle w:val="Tabletext"/>
              <w:jc w:val="right"/>
            </w:pPr>
            <w:r w:rsidRPr="00BB65AE">
              <w:t>6.8</w:t>
            </w:r>
          </w:p>
        </w:tc>
        <w:tc>
          <w:tcPr>
            <w:tcW w:w="2136" w:type="dxa"/>
            <w:vAlign w:val="center"/>
          </w:tcPr>
          <w:p w:rsidR="0064357F" w:rsidRPr="00BB65AE" w:rsidRDefault="0064357F" w:rsidP="0064357F">
            <w:pPr>
              <w:pStyle w:val="Tabletext"/>
              <w:jc w:val="right"/>
            </w:pPr>
            <w:r w:rsidRPr="00BB65AE">
              <w:t>9.6</w:t>
            </w:r>
          </w:p>
        </w:tc>
        <w:tc>
          <w:tcPr>
            <w:tcW w:w="2137" w:type="dxa"/>
            <w:vAlign w:val="center"/>
          </w:tcPr>
          <w:p w:rsidR="0064357F" w:rsidRPr="00BB65AE" w:rsidRDefault="0064357F" w:rsidP="0064357F">
            <w:pPr>
              <w:pStyle w:val="Tabletext"/>
              <w:jc w:val="right"/>
            </w:pPr>
            <w:r w:rsidRPr="00BB65AE">
              <w:t>8.6</w:t>
            </w:r>
          </w:p>
        </w:tc>
        <w:tc>
          <w:tcPr>
            <w:tcW w:w="2137" w:type="dxa"/>
            <w:vAlign w:val="center"/>
          </w:tcPr>
          <w:p w:rsidR="0064357F" w:rsidRPr="00BB65AE" w:rsidRDefault="0064357F" w:rsidP="0064357F">
            <w:pPr>
              <w:pStyle w:val="Tabletext"/>
              <w:jc w:val="right"/>
            </w:pPr>
            <w:r w:rsidRPr="00BB65AE">
              <w:t>8.0</w:t>
            </w:r>
          </w:p>
        </w:tc>
      </w:tr>
      <w:tr w:rsidR="0064357F" w:rsidTr="0064357F">
        <w:tc>
          <w:tcPr>
            <w:tcW w:w="2136" w:type="dxa"/>
          </w:tcPr>
          <w:p w:rsidR="0064357F" w:rsidRPr="00BB65AE" w:rsidRDefault="0064357F" w:rsidP="0064357F">
            <w:pPr>
              <w:pStyle w:val="Tabletext"/>
            </w:pPr>
            <w:r w:rsidRPr="00BB65AE">
              <w:t>Body stressing</w:t>
            </w:r>
          </w:p>
        </w:tc>
        <w:tc>
          <w:tcPr>
            <w:tcW w:w="2136" w:type="dxa"/>
            <w:vAlign w:val="center"/>
          </w:tcPr>
          <w:p w:rsidR="0064357F" w:rsidRPr="00BB65AE" w:rsidRDefault="0064357F" w:rsidP="0064357F">
            <w:pPr>
              <w:pStyle w:val="Tabletext"/>
              <w:jc w:val="right"/>
            </w:pPr>
            <w:r w:rsidRPr="00BB65AE">
              <w:t>6.9</w:t>
            </w:r>
          </w:p>
        </w:tc>
        <w:tc>
          <w:tcPr>
            <w:tcW w:w="2136" w:type="dxa"/>
            <w:vAlign w:val="center"/>
          </w:tcPr>
          <w:p w:rsidR="0064357F" w:rsidRPr="00BB65AE" w:rsidRDefault="0064357F" w:rsidP="0064357F">
            <w:pPr>
              <w:pStyle w:val="Tabletext"/>
              <w:jc w:val="right"/>
            </w:pPr>
            <w:r w:rsidRPr="00BB65AE">
              <w:t>7.2</w:t>
            </w:r>
          </w:p>
        </w:tc>
        <w:tc>
          <w:tcPr>
            <w:tcW w:w="2137" w:type="dxa"/>
            <w:vAlign w:val="center"/>
          </w:tcPr>
          <w:p w:rsidR="0064357F" w:rsidRPr="00BB65AE" w:rsidRDefault="0064357F" w:rsidP="0064357F">
            <w:pPr>
              <w:pStyle w:val="Tabletext"/>
              <w:jc w:val="right"/>
            </w:pPr>
            <w:r w:rsidRPr="00BB65AE">
              <w:t>7.4</w:t>
            </w:r>
          </w:p>
        </w:tc>
        <w:tc>
          <w:tcPr>
            <w:tcW w:w="2137" w:type="dxa"/>
            <w:vAlign w:val="center"/>
          </w:tcPr>
          <w:p w:rsidR="0064357F" w:rsidRPr="00BB65AE" w:rsidRDefault="0064357F" w:rsidP="0064357F">
            <w:pPr>
              <w:pStyle w:val="Tabletext"/>
              <w:jc w:val="right"/>
            </w:pPr>
            <w:r w:rsidRPr="00BB65AE">
              <w:t>7.2</w:t>
            </w:r>
          </w:p>
        </w:tc>
      </w:tr>
      <w:tr w:rsidR="0064357F" w:rsidTr="0064357F">
        <w:tc>
          <w:tcPr>
            <w:tcW w:w="2136" w:type="dxa"/>
          </w:tcPr>
          <w:p w:rsidR="0064357F" w:rsidRPr="00BB65AE" w:rsidRDefault="0064357F" w:rsidP="0064357F">
            <w:pPr>
              <w:pStyle w:val="Tabletext"/>
            </w:pPr>
            <w:r w:rsidRPr="00BB65AE">
              <w:t>Biological factors</w:t>
            </w:r>
          </w:p>
        </w:tc>
        <w:tc>
          <w:tcPr>
            <w:tcW w:w="2136" w:type="dxa"/>
            <w:vAlign w:val="center"/>
          </w:tcPr>
          <w:p w:rsidR="0064357F" w:rsidRPr="00BB65AE" w:rsidRDefault="0064357F" w:rsidP="0064357F">
            <w:pPr>
              <w:pStyle w:val="Tabletext"/>
              <w:jc w:val="right"/>
            </w:pPr>
            <w:r w:rsidRPr="00BB65AE">
              <w:t>4.0</w:t>
            </w:r>
          </w:p>
        </w:tc>
        <w:tc>
          <w:tcPr>
            <w:tcW w:w="2136" w:type="dxa"/>
            <w:vAlign w:val="center"/>
          </w:tcPr>
          <w:p w:rsidR="0064357F" w:rsidRPr="00BB65AE" w:rsidRDefault="0064357F" w:rsidP="0064357F">
            <w:pPr>
              <w:pStyle w:val="Tabletext"/>
              <w:jc w:val="right"/>
            </w:pPr>
            <w:r w:rsidRPr="00BB65AE">
              <w:t>4.9</w:t>
            </w:r>
          </w:p>
        </w:tc>
        <w:tc>
          <w:tcPr>
            <w:tcW w:w="2137" w:type="dxa"/>
            <w:vAlign w:val="center"/>
          </w:tcPr>
          <w:p w:rsidR="0064357F" w:rsidRPr="00BB65AE" w:rsidRDefault="0064357F" w:rsidP="0064357F">
            <w:pPr>
              <w:pStyle w:val="Tabletext"/>
              <w:jc w:val="right"/>
            </w:pPr>
            <w:r w:rsidRPr="00BB65AE">
              <w:t>3.8</w:t>
            </w:r>
          </w:p>
        </w:tc>
        <w:tc>
          <w:tcPr>
            <w:tcW w:w="2137" w:type="dxa"/>
            <w:vAlign w:val="center"/>
          </w:tcPr>
          <w:p w:rsidR="0064357F" w:rsidRPr="00BB65AE" w:rsidRDefault="0064357F" w:rsidP="0064357F">
            <w:pPr>
              <w:pStyle w:val="Tabletext"/>
              <w:jc w:val="right"/>
            </w:pPr>
            <w:r w:rsidRPr="00BB65AE">
              <w:t>4.7</w:t>
            </w:r>
          </w:p>
        </w:tc>
      </w:tr>
      <w:tr w:rsidR="0064357F" w:rsidTr="0064357F">
        <w:tc>
          <w:tcPr>
            <w:tcW w:w="2136" w:type="dxa"/>
          </w:tcPr>
          <w:p w:rsidR="0064357F" w:rsidRPr="00BB65AE" w:rsidRDefault="0064357F" w:rsidP="0064357F">
            <w:pPr>
              <w:pStyle w:val="Tabletext"/>
            </w:pPr>
            <w:r w:rsidRPr="00BB65AE">
              <w:t>Being hit by moving objects</w:t>
            </w:r>
          </w:p>
        </w:tc>
        <w:tc>
          <w:tcPr>
            <w:tcW w:w="2136" w:type="dxa"/>
            <w:vAlign w:val="center"/>
          </w:tcPr>
          <w:p w:rsidR="0064357F" w:rsidRPr="00BB65AE" w:rsidRDefault="0064357F" w:rsidP="0064357F">
            <w:pPr>
              <w:pStyle w:val="Tabletext"/>
              <w:jc w:val="right"/>
            </w:pPr>
            <w:r w:rsidRPr="00BB65AE">
              <w:t>4.4</w:t>
            </w:r>
          </w:p>
        </w:tc>
        <w:tc>
          <w:tcPr>
            <w:tcW w:w="2136" w:type="dxa"/>
            <w:vAlign w:val="center"/>
          </w:tcPr>
          <w:p w:rsidR="0064357F" w:rsidRPr="00BB65AE" w:rsidRDefault="0064357F" w:rsidP="0064357F">
            <w:pPr>
              <w:pStyle w:val="Tabletext"/>
              <w:jc w:val="right"/>
            </w:pPr>
            <w:r w:rsidRPr="00BB65AE">
              <w:t>4.4</w:t>
            </w:r>
          </w:p>
        </w:tc>
        <w:tc>
          <w:tcPr>
            <w:tcW w:w="2137" w:type="dxa"/>
            <w:vAlign w:val="center"/>
          </w:tcPr>
          <w:p w:rsidR="0064357F" w:rsidRPr="00BB65AE" w:rsidRDefault="0064357F" w:rsidP="0064357F">
            <w:pPr>
              <w:pStyle w:val="Tabletext"/>
              <w:jc w:val="right"/>
            </w:pPr>
            <w:r w:rsidRPr="00BB65AE">
              <w:t>4.9</w:t>
            </w:r>
          </w:p>
        </w:tc>
        <w:tc>
          <w:tcPr>
            <w:tcW w:w="2137" w:type="dxa"/>
            <w:vAlign w:val="center"/>
          </w:tcPr>
          <w:p w:rsidR="0064357F" w:rsidRPr="00BB65AE" w:rsidRDefault="0064357F" w:rsidP="0064357F">
            <w:pPr>
              <w:pStyle w:val="Tabletext"/>
              <w:jc w:val="right"/>
            </w:pPr>
            <w:r w:rsidRPr="00BB65AE">
              <w:t>4.6</w:t>
            </w:r>
          </w:p>
        </w:tc>
      </w:tr>
      <w:tr w:rsidR="0064357F" w:rsidTr="0064357F">
        <w:tc>
          <w:tcPr>
            <w:tcW w:w="2136" w:type="dxa"/>
          </w:tcPr>
          <w:p w:rsidR="0064357F" w:rsidRPr="00BB65AE" w:rsidRDefault="0064357F" w:rsidP="0064357F">
            <w:pPr>
              <w:pStyle w:val="Tabletext"/>
            </w:pPr>
            <w:r w:rsidRPr="00BB65AE">
              <w:t>Hitting objects with a part of the body</w:t>
            </w:r>
          </w:p>
        </w:tc>
        <w:tc>
          <w:tcPr>
            <w:tcW w:w="2136" w:type="dxa"/>
            <w:vAlign w:val="center"/>
          </w:tcPr>
          <w:p w:rsidR="0064357F" w:rsidRPr="00BB65AE" w:rsidRDefault="0064357F" w:rsidP="0064357F">
            <w:pPr>
              <w:pStyle w:val="Tabletext"/>
              <w:jc w:val="right"/>
            </w:pPr>
            <w:r w:rsidRPr="00BB65AE">
              <w:t>3.4</w:t>
            </w:r>
          </w:p>
        </w:tc>
        <w:tc>
          <w:tcPr>
            <w:tcW w:w="2136" w:type="dxa"/>
            <w:vAlign w:val="center"/>
          </w:tcPr>
          <w:p w:rsidR="0064357F" w:rsidRPr="00BB65AE" w:rsidRDefault="0064357F" w:rsidP="0064357F">
            <w:pPr>
              <w:pStyle w:val="Tabletext"/>
              <w:jc w:val="right"/>
            </w:pPr>
            <w:r w:rsidRPr="00BB65AE">
              <w:t>3.2</w:t>
            </w:r>
          </w:p>
        </w:tc>
        <w:tc>
          <w:tcPr>
            <w:tcW w:w="2137" w:type="dxa"/>
            <w:vAlign w:val="center"/>
          </w:tcPr>
          <w:p w:rsidR="0064357F" w:rsidRPr="00BB65AE" w:rsidRDefault="0064357F" w:rsidP="0064357F">
            <w:pPr>
              <w:pStyle w:val="Tabletext"/>
              <w:jc w:val="right"/>
            </w:pPr>
            <w:r w:rsidRPr="00BB65AE">
              <w:t>3.9</w:t>
            </w:r>
          </w:p>
        </w:tc>
        <w:tc>
          <w:tcPr>
            <w:tcW w:w="2137" w:type="dxa"/>
            <w:vAlign w:val="center"/>
          </w:tcPr>
          <w:p w:rsidR="0064357F" w:rsidRPr="00BB65AE" w:rsidRDefault="0064357F" w:rsidP="0064357F">
            <w:pPr>
              <w:pStyle w:val="Tabletext"/>
              <w:jc w:val="right"/>
            </w:pPr>
            <w:r w:rsidRPr="00BB65AE">
              <w:t>3.6</w:t>
            </w:r>
          </w:p>
        </w:tc>
      </w:tr>
      <w:tr w:rsidR="0064357F" w:rsidTr="0064357F">
        <w:tc>
          <w:tcPr>
            <w:tcW w:w="2136" w:type="dxa"/>
          </w:tcPr>
          <w:p w:rsidR="0064357F" w:rsidRPr="00BB65AE" w:rsidRDefault="0064357F" w:rsidP="0064357F">
            <w:pPr>
              <w:pStyle w:val="Tabletext"/>
            </w:pPr>
            <w:r w:rsidRPr="00BB65AE">
              <w:t>Heat, electricity &amp; other environmental factors</w:t>
            </w:r>
          </w:p>
        </w:tc>
        <w:tc>
          <w:tcPr>
            <w:tcW w:w="2136" w:type="dxa"/>
            <w:vAlign w:val="center"/>
          </w:tcPr>
          <w:p w:rsidR="0064357F" w:rsidRPr="00BB65AE" w:rsidRDefault="0064357F" w:rsidP="0064357F">
            <w:pPr>
              <w:pStyle w:val="Tabletext"/>
              <w:jc w:val="right"/>
            </w:pPr>
            <w:r w:rsidRPr="00BB65AE">
              <w:t>2.8</w:t>
            </w:r>
          </w:p>
        </w:tc>
        <w:tc>
          <w:tcPr>
            <w:tcW w:w="2136" w:type="dxa"/>
            <w:vAlign w:val="center"/>
          </w:tcPr>
          <w:p w:rsidR="0064357F" w:rsidRPr="00BB65AE" w:rsidRDefault="0064357F" w:rsidP="0064357F">
            <w:pPr>
              <w:pStyle w:val="Tabletext"/>
              <w:jc w:val="right"/>
            </w:pPr>
            <w:r w:rsidRPr="00BB65AE">
              <w:t>3.0</w:t>
            </w:r>
          </w:p>
        </w:tc>
        <w:tc>
          <w:tcPr>
            <w:tcW w:w="2137" w:type="dxa"/>
            <w:vAlign w:val="center"/>
          </w:tcPr>
          <w:p w:rsidR="0064357F" w:rsidRPr="00BB65AE" w:rsidRDefault="0064357F" w:rsidP="0064357F">
            <w:pPr>
              <w:pStyle w:val="Tabletext"/>
              <w:jc w:val="right"/>
            </w:pPr>
            <w:r w:rsidRPr="00BB65AE">
              <w:t>3.2</w:t>
            </w:r>
          </w:p>
        </w:tc>
        <w:tc>
          <w:tcPr>
            <w:tcW w:w="2137" w:type="dxa"/>
            <w:vAlign w:val="center"/>
          </w:tcPr>
          <w:p w:rsidR="0064357F" w:rsidRPr="00BB65AE" w:rsidRDefault="0064357F" w:rsidP="0064357F">
            <w:pPr>
              <w:pStyle w:val="Tabletext"/>
              <w:jc w:val="right"/>
            </w:pPr>
            <w:r w:rsidRPr="00BB65AE">
              <w:t>3.0</w:t>
            </w:r>
          </w:p>
        </w:tc>
      </w:tr>
      <w:tr w:rsidR="0064357F" w:rsidTr="0064357F">
        <w:tc>
          <w:tcPr>
            <w:tcW w:w="2136" w:type="dxa"/>
          </w:tcPr>
          <w:p w:rsidR="0064357F" w:rsidRPr="00BB65AE" w:rsidRDefault="0064357F" w:rsidP="0064357F">
            <w:pPr>
              <w:pStyle w:val="Tabletext"/>
            </w:pPr>
            <w:r w:rsidRPr="00BB65AE">
              <w:t>Chemicals &amp; other substances</w:t>
            </w:r>
          </w:p>
        </w:tc>
        <w:tc>
          <w:tcPr>
            <w:tcW w:w="2136" w:type="dxa"/>
            <w:vAlign w:val="center"/>
          </w:tcPr>
          <w:p w:rsidR="0064357F" w:rsidRPr="00BB65AE" w:rsidRDefault="0064357F" w:rsidP="0064357F">
            <w:pPr>
              <w:pStyle w:val="Tabletext"/>
              <w:jc w:val="right"/>
            </w:pPr>
            <w:r w:rsidRPr="00BB65AE">
              <w:t>2.5</w:t>
            </w:r>
          </w:p>
        </w:tc>
        <w:tc>
          <w:tcPr>
            <w:tcW w:w="2136" w:type="dxa"/>
            <w:vAlign w:val="center"/>
          </w:tcPr>
          <w:p w:rsidR="0064357F" w:rsidRPr="00BB65AE" w:rsidRDefault="0064357F" w:rsidP="0064357F">
            <w:pPr>
              <w:pStyle w:val="Tabletext"/>
              <w:jc w:val="right"/>
            </w:pPr>
            <w:r w:rsidRPr="00BB65AE">
              <w:t>3.0</w:t>
            </w:r>
          </w:p>
        </w:tc>
        <w:tc>
          <w:tcPr>
            <w:tcW w:w="2137" w:type="dxa"/>
            <w:vAlign w:val="center"/>
          </w:tcPr>
          <w:p w:rsidR="0064357F" w:rsidRPr="00BB65AE" w:rsidRDefault="0064357F" w:rsidP="0064357F">
            <w:pPr>
              <w:pStyle w:val="Tabletext"/>
              <w:jc w:val="right"/>
            </w:pPr>
            <w:r w:rsidRPr="00BB65AE">
              <w:t>3.0</w:t>
            </w:r>
          </w:p>
        </w:tc>
        <w:tc>
          <w:tcPr>
            <w:tcW w:w="2137" w:type="dxa"/>
            <w:vAlign w:val="center"/>
          </w:tcPr>
          <w:p w:rsidR="0064357F" w:rsidRPr="00BB65AE" w:rsidRDefault="0064357F" w:rsidP="0064357F">
            <w:pPr>
              <w:pStyle w:val="Tabletext"/>
              <w:jc w:val="right"/>
            </w:pPr>
            <w:r w:rsidRPr="00BB65AE">
              <w:t>3.0</w:t>
            </w:r>
          </w:p>
        </w:tc>
      </w:tr>
      <w:tr w:rsidR="0064357F" w:rsidTr="0064357F">
        <w:tc>
          <w:tcPr>
            <w:tcW w:w="2136" w:type="dxa"/>
          </w:tcPr>
          <w:p w:rsidR="0064357F" w:rsidRPr="00BB65AE" w:rsidRDefault="0064357F" w:rsidP="0064357F">
            <w:pPr>
              <w:pStyle w:val="Tablerowheadings"/>
            </w:pPr>
            <w:r w:rsidRPr="00BB65AE">
              <w:t>Total</w:t>
            </w:r>
          </w:p>
        </w:tc>
        <w:tc>
          <w:tcPr>
            <w:tcW w:w="2136" w:type="dxa"/>
            <w:vAlign w:val="center"/>
          </w:tcPr>
          <w:p w:rsidR="0064357F" w:rsidRPr="00BB65AE" w:rsidRDefault="0064357F" w:rsidP="0064357F">
            <w:pPr>
              <w:pStyle w:val="Tablerowheadings"/>
              <w:jc w:val="right"/>
            </w:pPr>
            <w:r w:rsidRPr="00BB65AE">
              <w:t>6.0</w:t>
            </w:r>
          </w:p>
        </w:tc>
        <w:tc>
          <w:tcPr>
            <w:tcW w:w="2136" w:type="dxa"/>
            <w:vAlign w:val="center"/>
          </w:tcPr>
          <w:p w:rsidR="0064357F" w:rsidRPr="00BB65AE" w:rsidRDefault="0064357F" w:rsidP="0064357F">
            <w:pPr>
              <w:pStyle w:val="Tablerowheadings"/>
              <w:jc w:val="right"/>
            </w:pPr>
            <w:r w:rsidRPr="00BB65AE">
              <w:t>6.4</w:t>
            </w:r>
          </w:p>
        </w:tc>
        <w:tc>
          <w:tcPr>
            <w:tcW w:w="2137" w:type="dxa"/>
            <w:vAlign w:val="center"/>
          </w:tcPr>
          <w:p w:rsidR="0064357F" w:rsidRPr="00BB65AE" w:rsidRDefault="0064357F" w:rsidP="0064357F">
            <w:pPr>
              <w:pStyle w:val="Tablerowheadings"/>
              <w:jc w:val="right"/>
            </w:pPr>
            <w:r w:rsidRPr="00BB65AE">
              <w:t>6.6</w:t>
            </w:r>
          </w:p>
        </w:tc>
        <w:tc>
          <w:tcPr>
            <w:tcW w:w="2137" w:type="dxa"/>
            <w:vAlign w:val="center"/>
          </w:tcPr>
          <w:p w:rsidR="0064357F" w:rsidRDefault="0064357F" w:rsidP="0064357F">
            <w:pPr>
              <w:pStyle w:val="Tablerowheadings"/>
              <w:jc w:val="right"/>
            </w:pPr>
            <w:r w:rsidRPr="00BB65AE">
              <w:t>6.4</w:t>
            </w:r>
          </w:p>
        </w:tc>
      </w:tr>
    </w:tbl>
    <w:p w:rsidR="008D72B2" w:rsidRDefault="008D72B2" w:rsidP="00900086">
      <w:pPr>
        <w:pStyle w:val="Heading3"/>
      </w:pPr>
    </w:p>
    <w:p w:rsidR="008D72B2" w:rsidRDefault="008D72B2" w:rsidP="008D72B2">
      <w:pPr>
        <w:rPr>
          <w:rFonts w:ascii="Arial" w:eastAsiaTheme="majorEastAsia" w:hAnsi="Arial" w:cstheme="majorBidi"/>
          <w:color w:val="0070C0"/>
          <w:sz w:val="26"/>
        </w:rPr>
      </w:pPr>
      <w:r>
        <w:br w:type="page"/>
      </w:r>
    </w:p>
    <w:p w:rsidR="00900086" w:rsidRPr="00900086" w:rsidRDefault="004A0FAE" w:rsidP="00900086">
      <w:pPr>
        <w:pStyle w:val="Heading3"/>
      </w:pPr>
      <w:bookmarkStart w:id="45" w:name="_Toc427590876"/>
      <w:r w:rsidRPr="00900086">
        <w:t>Mechanism by sex</w:t>
      </w:r>
      <w:bookmarkEnd w:id="45"/>
    </w:p>
    <w:p w:rsidR="00900086" w:rsidRDefault="00900086" w:rsidP="00513A50">
      <w:pPr>
        <w:pStyle w:val="BodyText1"/>
      </w:pPr>
      <w:r w:rsidRPr="00900086">
        <w:t xml:space="preserve">Table 34 shows male and female construction workers had similar proportions of serious claims as a result of body stressing and falls, trips &amp; slips of a person but females had a lower proportion of serious claims due to being hit by objects and hitting objects with a part of the body. </w:t>
      </w:r>
    </w:p>
    <w:p w:rsidR="00900086" w:rsidRDefault="00900086" w:rsidP="004A0FAE">
      <w:pPr>
        <w:pStyle w:val="Tableheading"/>
      </w:pPr>
      <w:r>
        <w:t xml:space="preserve">Table 34: </w:t>
      </w:r>
      <w:r w:rsidRPr="00900086">
        <w:t>Serious claims in the construction industry: percentage by mechanism of incident and sex, 2010–11 to 2012–</w:t>
      </w:r>
      <w:proofErr w:type="spellStart"/>
      <w:r w:rsidRPr="00900086">
        <w:t>13p</w:t>
      </w:r>
      <w:proofErr w:type="spellEnd"/>
      <w:r w:rsidRPr="00900086">
        <w:t xml:space="preserve"> combined</w:t>
      </w:r>
    </w:p>
    <w:tbl>
      <w:tblPr>
        <w:tblStyle w:val="TableGrid"/>
        <w:tblW w:w="0" w:type="auto"/>
        <w:tblLook w:val="04A0" w:firstRow="1" w:lastRow="0" w:firstColumn="1" w:lastColumn="0" w:noHBand="0" w:noVBand="1"/>
        <w:tblCaption w:val="Table 34: Serious claims in the construction industry: percentage by mechanism of incident and sex, 2010–11 to 2012–13p combined"/>
        <w:tblDescription w:val="Table shows the percentage of serious claims in the construction industry by sex and mechanism of incident for the 3 year period 2010-11 to 2012-13p combined."/>
      </w:tblPr>
      <w:tblGrid>
        <w:gridCol w:w="3798"/>
        <w:gridCol w:w="2268"/>
        <w:gridCol w:w="2268"/>
        <w:gridCol w:w="2268"/>
      </w:tblGrid>
      <w:tr w:rsidR="000463B7" w:rsidTr="00715413">
        <w:trPr>
          <w:trHeight w:val="283"/>
          <w:tblHeader/>
        </w:trPr>
        <w:tc>
          <w:tcPr>
            <w:tcW w:w="3798" w:type="dxa"/>
            <w:shd w:val="clear" w:color="auto" w:fill="D9D9D9" w:themeFill="background1" w:themeFillShade="D9"/>
            <w:vAlign w:val="center"/>
          </w:tcPr>
          <w:p w:rsidR="0064357F" w:rsidRDefault="000463B7" w:rsidP="000463B7">
            <w:pPr>
              <w:pStyle w:val="Tableheaderrow"/>
              <w:jc w:val="left"/>
            </w:pPr>
            <w:r>
              <w:t>Mechanism of incident</w:t>
            </w:r>
          </w:p>
        </w:tc>
        <w:tc>
          <w:tcPr>
            <w:tcW w:w="2268" w:type="dxa"/>
            <w:shd w:val="clear" w:color="auto" w:fill="D9D9D9" w:themeFill="background1" w:themeFillShade="D9"/>
            <w:vAlign w:val="center"/>
          </w:tcPr>
          <w:p w:rsidR="0064357F" w:rsidRDefault="000463B7" w:rsidP="000463B7">
            <w:pPr>
              <w:pStyle w:val="Tableheaderrow"/>
              <w:jc w:val="right"/>
            </w:pPr>
            <w:r>
              <w:t>Male</w:t>
            </w:r>
          </w:p>
        </w:tc>
        <w:tc>
          <w:tcPr>
            <w:tcW w:w="2268" w:type="dxa"/>
            <w:shd w:val="clear" w:color="auto" w:fill="D9D9D9" w:themeFill="background1" w:themeFillShade="D9"/>
            <w:vAlign w:val="center"/>
          </w:tcPr>
          <w:p w:rsidR="0064357F" w:rsidRDefault="000463B7" w:rsidP="000463B7">
            <w:pPr>
              <w:pStyle w:val="Tableheaderrow"/>
              <w:jc w:val="right"/>
            </w:pPr>
            <w:r>
              <w:t>Female</w:t>
            </w:r>
          </w:p>
        </w:tc>
        <w:tc>
          <w:tcPr>
            <w:tcW w:w="2268" w:type="dxa"/>
            <w:shd w:val="clear" w:color="auto" w:fill="D9D9D9" w:themeFill="background1" w:themeFillShade="D9"/>
            <w:vAlign w:val="center"/>
          </w:tcPr>
          <w:p w:rsidR="0064357F" w:rsidRDefault="000463B7" w:rsidP="000463B7">
            <w:pPr>
              <w:pStyle w:val="Tableheaderrow"/>
              <w:jc w:val="right"/>
            </w:pPr>
            <w:r>
              <w:t>Total</w:t>
            </w:r>
          </w:p>
        </w:tc>
      </w:tr>
      <w:tr w:rsidR="000463B7" w:rsidTr="000463B7">
        <w:tc>
          <w:tcPr>
            <w:tcW w:w="3798" w:type="dxa"/>
          </w:tcPr>
          <w:p w:rsidR="0064357F" w:rsidRPr="00007667" w:rsidRDefault="0064357F" w:rsidP="0064357F">
            <w:pPr>
              <w:pStyle w:val="Tabletext"/>
            </w:pPr>
            <w:r w:rsidRPr="00007667">
              <w:t>Body stressing</w:t>
            </w:r>
          </w:p>
        </w:tc>
        <w:tc>
          <w:tcPr>
            <w:tcW w:w="2268" w:type="dxa"/>
            <w:vAlign w:val="center"/>
          </w:tcPr>
          <w:p w:rsidR="0064357F" w:rsidRPr="00007667" w:rsidRDefault="0064357F" w:rsidP="000463B7">
            <w:pPr>
              <w:pStyle w:val="Tabletext"/>
              <w:jc w:val="right"/>
            </w:pPr>
            <w:r w:rsidRPr="00007667">
              <w:t>36%</w:t>
            </w:r>
          </w:p>
        </w:tc>
        <w:tc>
          <w:tcPr>
            <w:tcW w:w="2268" w:type="dxa"/>
            <w:vAlign w:val="center"/>
          </w:tcPr>
          <w:p w:rsidR="0064357F" w:rsidRPr="00007667" w:rsidRDefault="0064357F" w:rsidP="000463B7">
            <w:pPr>
              <w:pStyle w:val="Tabletext"/>
              <w:jc w:val="right"/>
            </w:pPr>
            <w:r w:rsidRPr="00007667">
              <w:t>35%</w:t>
            </w:r>
          </w:p>
        </w:tc>
        <w:tc>
          <w:tcPr>
            <w:tcW w:w="2268" w:type="dxa"/>
            <w:vAlign w:val="center"/>
          </w:tcPr>
          <w:p w:rsidR="0064357F" w:rsidRPr="00007667" w:rsidRDefault="0064357F" w:rsidP="000463B7">
            <w:pPr>
              <w:pStyle w:val="Tabletext"/>
              <w:jc w:val="right"/>
            </w:pPr>
            <w:r w:rsidRPr="00007667">
              <w:t>36%</w:t>
            </w:r>
          </w:p>
        </w:tc>
      </w:tr>
      <w:tr w:rsidR="000463B7" w:rsidTr="000463B7">
        <w:tc>
          <w:tcPr>
            <w:tcW w:w="3798" w:type="dxa"/>
          </w:tcPr>
          <w:p w:rsidR="0064357F" w:rsidRPr="00007667" w:rsidRDefault="0064357F" w:rsidP="0064357F">
            <w:pPr>
              <w:pStyle w:val="Tabletext"/>
            </w:pPr>
            <w:r w:rsidRPr="00007667">
              <w:t xml:space="preserve">Falls, trips </w:t>
            </w:r>
            <w:r>
              <w:t>&amp;</w:t>
            </w:r>
            <w:r w:rsidRPr="00007667">
              <w:t xml:space="preserve"> slips of a person</w:t>
            </w:r>
          </w:p>
        </w:tc>
        <w:tc>
          <w:tcPr>
            <w:tcW w:w="2268" w:type="dxa"/>
            <w:vAlign w:val="center"/>
          </w:tcPr>
          <w:p w:rsidR="0064357F" w:rsidRPr="00007667" w:rsidRDefault="0064357F" w:rsidP="000463B7">
            <w:pPr>
              <w:pStyle w:val="Tabletext"/>
              <w:jc w:val="right"/>
            </w:pPr>
            <w:r w:rsidRPr="00007667">
              <w:t>28%</w:t>
            </w:r>
          </w:p>
        </w:tc>
        <w:tc>
          <w:tcPr>
            <w:tcW w:w="2268" w:type="dxa"/>
            <w:vAlign w:val="center"/>
          </w:tcPr>
          <w:p w:rsidR="0064357F" w:rsidRPr="00007667" w:rsidRDefault="0064357F" w:rsidP="000463B7">
            <w:pPr>
              <w:pStyle w:val="Tabletext"/>
              <w:jc w:val="right"/>
            </w:pPr>
            <w:r w:rsidRPr="00007667">
              <w:t>31%</w:t>
            </w:r>
          </w:p>
        </w:tc>
        <w:tc>
          <w:tcPr>
            <w:tcW w:w="2268" w:type="dxa"/>
            <w:vAlign w:val="center"/>
          </w:tcPr>
          <w:p w:rsidR="0064357F" w:rsidRPr="00007667" w:rsidRDefault="0064357F" w:rsidP="000463B7">
            <w:pPr>
              <w:pStyle w:val="Tabletext"/>
              <w:jc w:val="right"/>
            </w:pPr>
            <w:r w:rsidRPr="00007667">
              <w:t>28%</w:t>
            </w:r>
          </w:p>
        </w:tc>
      </w:tr>
      <w:tr w:rsidR="000463B7" w:rsidTr="000463B7">
        <w:tc>
          <w:tcPr>
            <w:tcW w:w="3798" w:type="dxa"/>
          </w:tcPr>
          <w:p w:rsidR="0064357F" w:rsidRPr="00007667" w:rsidRDefault="0064357F" w:rsidP="0064357F">
            <w:pPr>
              <w:pStyle w:val="Tabletext"/>
            </w:pPr>
            <w:r w:rsidRPr="00007667">
              <w:t>Being hit by moving objects</w:t>
            </w:r>
          </w:p>
        </w:tc>
        <w:tc>
          <w:tcPr>
            <w:tcW w:w="2268" w:type="dxa"/>
            <w:vAlign w:val="center"/>
          </w:tcPr>
          <w:p w:rsidR="0064357F" w:rsidRPr="00007667" w:rsidRDefault="0064357F" w:rsidP="000463B7">
            <w:pPr>
              <w:pStyle w:val="Tabletext"/>
              <w:jc w:val="right"/>
            </w:pPr>
            <w:r w:rsidRPr="00007667">
              <w:t>17%</w:t>
            </w:r>
          </w:p>
        </w:tc>
        <w:tc>
          <w:tcPr>
            <w:tcW w:w="2268" w:type="dxa"/>
            <w:vAlign w:val="center"/>
          </w:tcPr>
          <w:p w:rsidR="0064357F" w:rsidRPr="00007667" w:rsidRDefault="0064357F" w:rsidP="000463B7">
            <w:pPr>
              <w:pStyle w:val="Tabletext"/>
              <w:jc w:val="right"/>
            </w:pPr>
            <w:r w:rsidRPr="00007667">
              <w:t>11%</w:t>
            </w:r>
          </w:p>
        </w:tc>
        <w:tc>
          <w:tcPr>
            <w:tcW w:w="2268" w:type="dxa"/>
            <w:vAlign w:val="center"/>
          </w:tcPr>
          <w:p w:rsidR="0064357F" w:rsidRPr="00007667" w:rsidRDefault="0064357F" w:rsidP="000463B7">
            <w:pPr>
              <w:pStyle w:val="Tabletext"/>
              <w:jc w:val="right"/>
            </w:pPr>
            <w:r w:rsidRPr="00007667">
              <w:t>17%</w:t>
            </w:r>
          </w:p>
        </w:tc>
      </w:tr>
      <w:tr w:rsidR="000463B7" w:rsidTr="000463B7">
        <w:tc>
          <w:tcPr>
            <w:tcW w:w="3798" w:type="dxa"/>
          </w:tcPr>
          <w:p w:rsidR="0064357F" w:rsidRPr="00007667" w:rsidRDefault="0064357F" w:rsidP="0064357F">
            <w:pPr>
              <w:pStyle w:val="Tabletext"/>
            </w:pPr>
            <w:r w:rsidRPr="00007667">
              <w:t>Hitting objects with a part of the body</w:t>
            </w:r>
          </w:p>
        </w:tc>
        <w:tc>
          <w:tcPr>
            <w:tcW w:w="2268" w:type="dxa"/>
            <w:vAlign w:val="center"/>
          </w:tcPr>
          <w:p w:rsidR="0064357F" w:rsidRPr="00007667" w:rsidRDefault="0064357F" w:rsidP="000463B7">
            <w:pPr>
              <w:pStyle w:val="Tabletext"/>
              <w:jc w:val="right"/>
            </w:pPr>
            <w:r w:rsidRPr="00007667">
              <w:t>10%</w:t>
            </w:r>
          </w:p>
        </w:tc>
        <w:tc>
          <w:tcPr>
            <w:tcW w:w="2268" w:type="dxa"/>
            <w:vAlign w:val="center"/>
          </w:tcPr>
          <w:p w:rsidR="0064357F" w:rsidRPr="00007667" w:rsidRDefault="0064357F" w:rsidP="000463B7">
            <w:pPr>
              <w:pStyle w:val="Tabletext"/>
              <w:jc w:val="right"/>
            </w:pPr>
            <w:r w:rsidRPr="00007667">
              <w:t>4%</w:t>
            </w:r>
          </w:p>
        </w:tc>
        <w:tc>
          <w:tcPr>
            <w:tcW w:w="2268" w:type="dxa"/>
            <w:vAlign w:val="center"/>
          </w:tcPr>
          <w:p w:rsidR="0064357F" w:rsidRPr="00007667" w:rsidRDefault="0064357F" w:rsidP="000463B7">
            <w:pPr>
              <w:pStyle w:val="Tabletext"/>
              <w:jc w:val="right"/>
            </w:pPr>
            <w:r w:rsidRPr="00007667">
              <w:t>10%</w:t>
            </w:r>
          </w:p>
        </w:tc>
      </w:tr>
      <w:tr w:rsidR="000463B7" w:rsidTr="000463B7">
        <w:tc>
          <w:tcPr>
            <w:tcW w:w="3798" w:type="dxa"/>
          </w:tcPr>
          <w:p w:rsidR="0064357F" w:rsidRPr="00007667" w:rsidRDefault="0064357F" w:rsidP="000463B7">
            <w:pPr>
              <w:pStyle w:val="Tabletext"/>
            </w:pPr>
            <w:r w:rsidRPr="00007667">
              <w:t xml:space="preserve">Vehicle incidents </w:t>
            </w:r>
            <w:r w:rsidR="000463B7">
              <w:t>&amp;</w:t>
            </w:r>
            <w:r w:rsidRPr="00007667">
              <w:t xml:space="preserve"> other</w:t>
            </w:r>
          </w:p>
        </w:tc>
        <w:tc>
          <w:tcPr>
            <w:tcW w:w="2268" w:type="dxa"/>
            <w:vAlign w:val="center"/>
          </w:tcPr>
          <w:p w:rsidR="0064357F" w:rsidRPr="00007667" w:rsidRDefault="0064357F" w:rsidP="000463B7">
            <w:pPr>
              <w:pStyle w:val="Tabletext"/>
              <w:jc w:val="right"/>
            </w:pPr>
            <w:r w:rsidRPr="00007667">
              <w:t>5%</w:t>
            </w:r>
          </w:p>
        </w:tc>
        <w:tc>
          <w:tcPr>
            <w:tcW w:w="2268" w:type="dxa"/>
            <w:vAlign w:val="center"/>
          </w:tcPr>
          <w:p w:rsidR="0064357F" w:rsidRPr="00007667" w:rsidRDefault="0064357F" w:rsidP="000463B7">
            <w:pPr>
              <w:pStyle w:val="Tabletext"/>
              <w:jc w:val="right"/>
            </w:pPr>
            <w:r w:rsidRPr="00007667">
              <w:t>6%</w:t>
            </w:r>
          </w:p>
        </w:tc>
        <w:tc>
          <w:tcPr>
            <w:tcW w:w="2268" w:type="dxa"/>
            <w:vAlign w:val="center"/>
          </w:tcPr>
          <w:p w:rsidR="0064357F" w:rsidRPr="00007667" w:rsidRDefault="0064357F" w:rsidP="000463B7">
            <w:pPr>
              <w:pStyle w:val="Tabletext"/>
              <w:jc w:val="right"/>
            </w:pPr>
            <w:r w:rsidRPr="00007667">
              <w:t>5%</w:t>
            </w:r>
          </w:p>
        </w:tc>
      </w:tr>
      <w:tr w:rsidR="000463B7" w:rsidTr="000463B7">
        <w:tc>
          <w:tcPr>
            <w:tcW w:w="3798" w:type="dxa"/>
          </w:tcPr>
          <w:p w:rsidR="0064357F" w:rsidRPr="00007667" w:rsidRDefault="0064357F" w:rsidP="0064357F">
            <w:pPr>
              <w:pStyle w:val="Tabletext"/>
            </w:pPr>
            <w:r w:rsidRPr="00007667">
              <w:t>Mental stress</w:t>
            </w:r>
          </w:p>
        </w:tc>
        <w:tc>
          <w:tcPr>
            <w:tcW w:w="2268" w:type="dxa"/>
            <w:vAlign w:val="center"/>
          </w:tcPr>
          <w:p w:rsidR="0064357F" w:rsidRPr="00007667" w:rsidRDefault="0064357F" w:rsidP="000463B7">
            <w:pPr>
              <w:pStyle w:val="Tabletext"/>
              <w:jc w:val="right"/>
            </w:pPr>
            <w:r w:rsidRPr="00007667">
              <w:t>1%</w:t>
            </w:r>
          </w:p>
        </w:tc>
        <w:tc>
          <w:tcPr>
            <w:tcW w:w="2268" w:type="dxa"/>
            <w:vAlign w:val="center"/>
          </w:tcPr>
          <w:p w:rsidR="0064357F" w:rsidRPr="00007667" w:rsidRDefault="0064357F" w:rsidP="000463B7">
            <w:pPr>
              <w:pStyle w:val="Tabletext"/>
              <w:jc w:val="right"/>
            </w:pPr>
            <w:r w:rsidRPr="00007667">
              <w:t>11%</w:t>
            </w:r>
          </w:p>
        </w:tc>
        <w:tc>
          <w:tcPr>
            <w:tcW w:w="2268" w:type="dxa"/>
            <w:vAlign w:val="center"/>
          </w:tcPr>
          <w:p w:rsidR="0064357F" w:rsidRPr="00007667" w:rsidRDefault="0064357F" w:rsidP="000463B7">
            <w:pPr>
              <w:pStyle w:val="Tabletext"/>
              <w:jc w:val="right"/>
            </w:pPr>
            <w:r w:rsidRPr="00007667">
              <w:t>1%</w:t>
            </w:r>
          </w:p>
        </w:tc>
      </w:tr>
      <w:tr w:rsidR="000463B7" w:rsidTr="000463B7">
        <w:tc>
          <w:tcPr>
            <w:tcW w:w="3798" w:type="dxa"/>
          </w:tcPr>
          <w:p w:rsidR="0064357F" w:rsidRPr="00007667" w:rsidRDefault="0064357F" w:rsidP="0064357F">
            <w:pPr>
              <w:pStyle w:val="Tabletext"/>
            </w:pPr>
            <w:r w:rsidRPr="00007667">
              <w:t>Other mechanisms</w:t>
            </w:r>
          </w:p>
        </w:tc>
        <w:tc>
          <w:tcPr>
            <w:tcW w:w="2268" w:type="dxa"/>
            <w:vAlign w:val="center"/>
          </w:tcPr>
          <w:p w:rsidR="0064357F" w:rsidRPr="00007667" w:rsidRDefault="0064357F" w:rsidP="000463B7">
            <w:pPr>
              <w:pStyle w:val="Tabletext"/>
              <w:jc w:val="right"/>
            </w:pPr>
            <w:r w:rsidRPr="00007667">
              <w:t>2%</w:t>
            </w:r>
          </w:p>
        </w:tc>
        <w:tc>
          <w:tcPr>
            <w:tcW w:w="2268" w:type="dxa"/>
            <w:vAlign w:val="center"/>
          </w:tcPr>
          <w:p w:rsidR="0064357F" w:rsidRPr="00007667" w:rsidRDefault="0064357F" w:rsidP="000463B7">
            <w:pPr>
              <w:pStyle w:val="Tabletext"/>
              <w:jc w:val="right"/>
            </w:pPr>
            <w:r w:rsidRPr="00007667">
              <w:t>2%</w:t>
            </w:r>
          </w:p>
        </w:tc>
        <w:tc>
          <w:tcPr>
            <w:tcW w:w="2268" w:type="dxa"/>
            <w:vAlign w:val="center"/>
          </w:tcPr>
          <w:p w:rsidR="0064357F" w:rsidRPr="00007667" w:rsidRDefault="0064357F" w:rsidP="000463B7">
            <w:pPr>
              <w:pStyle w:val="Tabletext"/>
              <w:jc w:val="right"/>
            </w:pPr>
            <w:r w:rsidRPr="00007667">
              <w:t>2%</w:t>
            </w:r>
          </w:p>
        </w:tc>
      </w:tr>
      <w:tr w:rsidR="000463B7" w:rsidTr="000463B7">
        <w:tc>
          <w:tcPr>
            <w:tcW w:w="3798" w:type="dxa"/>
          </w:tcPr>
          <w:p w:rsidR="0064357F" w:rsidRPr="00007667" w:rsidRDefault="0064357F" w:rsidP="0064357F">
            <w:pPr>
              <w:pStyle w:val="Tabletext"/>
            </w:pPr>
            <w:r w:rsidRPr="00007667">
              <w:t>Total</w:t>
            </w:r>
          </w:p>
        </w:tc>
        <w:tc>
          <w:tcPr>
            <w:tcW w:w="2268" w:type="dxa"/>
            <w:vAlign w:val="center"/>
          </w:tcPr>
          <w:p w:rsidR="0064357F" w:rsidRPr="00007667" w:rsidRDefault="0064357F" w:rsidP="000463B7">
            <w:pPr>
              <w:pStyle w:val="Tabletext"/>
              <w:jc w:val="right"/>
            </w:pPr>
            <w:r w:rsidRPr="00007667">
              <w:t>100%</w:t>
            </w:r>
          </w:p>
        </w:tc>
        <w:tc>
          <w:tcPr>
            <w:tcW w:w="2268" w:type="dxa"/>
            <w:vAlign w:val="center"/>
          </w:tcPr>
          <w:p w:rsidR="0064357F" w:rsidRPr="00007667" w:rsidRDefault="0064357F" w:rsidP="000463B7">
            <w:pPr>
              <w:pStyle w:val="Tabletext"/>
              <w:jc w:val="right"/>
            </w:pPr>
            <w:r w:rsidRPr="00007667">
              <w:t>100%</w:t>
            </w:r>
          </w:p>
        </w:tc>
        <w:tc>
          <w:tcPr>
            <w:tcW w:w="2268" w:type="dxa"/>
            <w:vAlign w:val="center"/>
          </w:tcPr>
          <w:p w:rsidR="0064357F" w:rsidRDefault="0064357F" w:rsidP="000463B7">
            <w:pPr>
              <w:pStyle w:val="Tabletext"/>
              <w:jc w:val="right"/>
            </w:pPr>
            <w:r w:rsidRPr="00007667">
              <w:t>100%</w:t>
            </w:r>
          </w:p>
        </w:tc>
      </w:tr>
    </w:tbl>
    <w:p w:rsidR="00900086" w:rsidRPr="00900086" w:rsidRDefault="00900086" w:rsidP="00513A50">
      <w:pPr>
        <w:pStyle w:val="BodyText1"/>
      </w:pPr>
      <w:r w:rsidRPr="00900086">
        <w:t>While the total number of serious claims due to mental stress was relatively low over the 2010–11 to 2012–13 period (1% of all serious claims in the construction industry), 11% of serious claims from female construction workers were due to this mechanism.</w:t>
      </w:r>
    </w:p>
    <w:p w:rsidR="00900086" w:rsidRDefault="004A0FAE" w:rsidP="00900086">
      <w:pPr>
        <w:pStyle w:val="Heading3"/>
        <w:rPr>
          <w:lang w:val="en-US"/>
        </w:rPr>
      </w:pPr>
      <w:bookmarkStart w:id="46" w:name="_Toc427590877"/>
      <w:r>
        <w:rPr>
          <w:lang w:val="en-US"/>
        </w:rPr>
        <w:t>Mechanism by age</w:t>
      </w:r>
      <w:bookmarkEnd w:id="46"/>
    </w:p>
    <w:p w:rsidR="00900086" w:rsidRDefault="00900086" w:rsidP="00513A50">
      <w:pPr>
        <w:pStyle w:val="BodyText1"/>
      </w:pPr>
      <w:r w:rsidRPr="00900086">
        <w:t>There are some age related differences in the way construction workers are injured. Table 35 shows that older workers have a greater proportion of claims as a result of body stressing and falls, trips &amp; slips of a person whereas younger workers have greater proportions of claims as a result of being hit by objects and hitting objects with a part of the body.</w:t>
      </w:r>
    </w:p>
    <w:p w:rsidR="00900086" w:rsidRDefault="00900086" w:rsidP="004A0FAE">
      <w:pPr>
        <w:pStyle w:val="Tableheading"/>
      </w:pPr>
      <w:r>
        <w:t>Table 35: Serious claims in the construction industry: percentage by mechanism of incident and age group, 2010–11 to 2012–</w:t>
      </w:r>
      <w:proofErr w:type="spellStart"/>
      <w:r>
        <w:t>13p</w:t>
      </w:r>
      <w:proofErr w:type="spellEnd"/>
      <w:r>
        <w:t xml:space="preserve"> combined</w:t>
      </w:r>
    </w:p>
    <w:tbl>
      <w:tblPr>
        <w:tblStyle w:val="TableGrid"/>
        <w:tblW w:w="0" w:type="auto"/>
        <w:tblLook w:val="04A0" w:firstRow="1" w:lastRow="0" w:firstColumn="1" w:lastColumn="0" w:noHBand="0" w:noVBand="1"/>
        <w:tblCaption w:val="Table 35: Serious claims in the construction industry: percentage by mechanism of incident and age group, 2010–11 to 2012–13p combined"/>
        <w:tblDescription w:val="Table shows the percentage of serious claims int he construction industry by mechanism of incident and age group."/>
      </w:tblPr>
      <w:tblGrid>
        <w:gridCol w:w="1526"/>
        <w:gridCol w:w="1526"/>
        <w:gridCol w:w="1526"/>
        <w:gridCol w:w="1526"/>
        <w:gridCol w:w="1526"/>
        <w:gridCol w:w="1526"/>
        <w:gridCol w:w="1526"/>
      </w:tblGrid>
      <w:tr w:rsidR="000463B7" w:rsidTr="00715413">
        <w:trPr>
          <w:trHeight w:val="283"/>
          <w:tblHeader/>
        </w:trPr>
        <w:tc>
          <w:tcPr>
            <w:tcW w:w="1526" w:type="dxa"/>
            <w:shd w:val="clear" w:color="auto" w:fill="D9D9D9" w:themeFill="background1" w:themeFillShade="D9"/>
          </w:tcPr>
          <w:p w:rsidR="000463B7" w:rsidRDefault="000463B7" w:rsidP="000463B7">
            <w:pPr>
              <w:pStyle w:val="Tabletext"/>
            </w:pPr>
          </w:p>
        </w:tc>
        <w:tc>
          <w:tcPr>
            <w:tcW w:w="7630" w:type="dxa"/>
            <w:gridSpan w:val="5"/>
            <w:shd w:val="clear" w:color="auto" w:fill="D9D9D9" w:themeFill="background1" w:themeFillShade="D9"/>
            <w:vAlign w:val="center"/>
          </w:tcPr>
          <w:p w:rsidR="000463B7" w:rsidRDefault="000463B7" w:rsidP="000463B7">
            <w:pPr>
              <w:pStyle w:val="Tableheaderrow"/>
            </w:pPr>
            <w:r>
              <w:t>Mechanism of incident</w:t>
            </w:r>
          </w:p>
        </w:tc>
        <w:tc>
          <w:tcPr>
            <w:tcW w:w="1526" w:type="dxa"/>
            <w:shd w:val="clear" w:color="auto" w:fill="D9D9D9" w:themeFill="background1" w:themeFillShade="D9"/>
            <w:vAlign w:val="center"/>
          </w:tcPr>
          <w:p w:rsidR="000463B7" w:rsidRDefault="000463B7" w:rsidP="000463B7">
            <w:pPr>
              <w:pStyle w:val="Tableheaderrow"/>
              <w:jc w:val="right"/>
            </w:pPr>
          </w:p>
        </w:tc>
      </w:tr>
      <w:tr w:rsidR="000463B7" w:rsidTr="000463B7">
        <w:trPr>
          <w:trHeight w:val="283"/>
        </w:trPr>
        <w:tc>
          <w:tcPr>
            <w:tcW w:w="1526" w:type="dxa"/>
          </w:tcPr>
          <w:p w:rsidR="000463B7" w:rsidRPr="000F1BB1" w:rsidRDefault="000463B7" w:rsidP="000463B7">
            <w:pPr>
              <w:pStyle w:val="Tabletext"/>
            </w:pPr>
          </w:p>
        </w:tc>
        <w:tc>
          <w:tcPr>
            <w:tcW w:w="1526" w:type="dxa"/>
            <w:vAlign w:val="bottom"/>
          </w:tcPr>
          <w:p w:rsidR="000463B7" w:rsidRPr="000F1BB1" w:rsidRDefault="000463B7" w:rsidP="000463B7">
            <w:pPr>
              <w:pStyle w:val="Tableheaderrow"/>
              <w:jc w:val="right"/>
            </w:pPr>
            <w:r w:rsidRPr="000F1BB1">
              <w:t>Body stressing</w:t>
            </w:r>
          </w:p>
        </w:tc>
        <w:tc>
          <w:tcPr>
            <w:tcW w:w="1526" w:type="dxa"/>
            <w:vAlign w:val="bottom"/>
          </w:tcPr>
          <w:p w:rsidR="000463B7" w:rsidRPr="000F1BB1" w:rsidRDefault="000463B7" w:rsidP="000463B7">
            <w:pPr>
              <w:pStyle w:val="Tableheaderrow"/>
              <w:jc w:val="right"/>
            </w:pPr>
            <w:r w:rsidRPr="000F1BB1">
              <w:t>Falls</w:t>
            </w:r>
            <w:r>
              <w:t>, trips &amp; slips of a person</w:t>
            </w:r>
          </w:p>
        </w:tc>
        <w:tc>
          <w:tcPr>
            <w:tcW w:w="1526" w:type="dxa"/>
            <w:vAlign w:val="bottom"/>
          </w:tcPr>
          <w:p w:rsidR="000463B7" w:rsidRPr="000F1BB1" w:rsidRDefault="000463B7" w:rsidP="000463B7">
            <w:pPr>
              <w:pStyle w:val="Tableheaderrow"/>
              <w:jc w:val="right"/>
            </w:pPr>
            <w:r w:rsidRPr="000F1BB1">
              <w:t>Being hit</w:t>
            </w:r>
            <w:r>
              <w:t xml:space="preserve"> by objects</w:t>
            </w:r>
          </w:p>
        </w:tc>
        <w:tc>
          <w:tcPr>
            <w:tcW w:w="1526" w:type="dxa"/>
            <w:vAlign w:val="bottom"/>
          </w:tcPr>
          <w:p w:rsidR="000463B7" w:rsidRPr="000F1BB1" w:rsidRDefault="000463B7" w:rsidP="000463B7">
            <w:pPr>
              <w:pStyle w:val="Tableheaderrow"/>
              <w:jc w:val="right"/>
            </w:pPr>
            <w:r w:rsidRPr="000F1BB1">
              <w:t>Hitting ob</w:t>
            </w:r>
            <w:r>
              <w:t>jects with a part of the body</w:t>
            </w:r>
          </w:p>
        </w:tc>
        <w:tc>
          <w:tcPr>
            <w:tcW w:w="1526" w:type="dxa"/>
            <w:vAlign w:val="bottom"/>
          </w:tcPr>
          <w:p w:rsidR="000463B7" w:rsidRPr="000F1BB1" w:rsidRDefault="000463B7" w:rsidP="000463B7">
            <w:pPr>
              <w:pStyle w:val="Tableheaderrow"/>
              <w:jc w:val="right"/>
            </w:pPr>
            <w:r>
              <w:t>O</w:t>
            </w:r>
            <w:r w:rsidRPr="000F1BB1">
              <w:t>ther mech</w:t>
            </w:r>
            <w:r>
              <w:t>anism</w:t>
            </w:r>
            <w:r w:rsidRPr="000F1BB1">
              <w:t>s</w:t>
            </w:r>
          </w:p>
        </w:tc>
        <w:tc>
          <w:tcPr>
            <w:tcW w:w="1526" w:type="dxa"/>
            <w:vAlign w:val="bottom"/>
          </w:tcPr>
          <w:p w:rsidR="000463B7" w:rsidRPr="000F1BB1" w:rsidRDefault="000463B7" w:rsidP="000463B7">
            <w:pPr>
              <w:pStyle w:val="Tableheaderrow"/>
              <w:jc w:val="right"/>
            </w:pPr>
            <w:r w:rsidRPr="000F1BB1">
              <w:t>Total</w:t>
            </w:r>
          </w:p>
        </w:tc>
      </w:tr>
      <w:tr w:rsidR="000463B7" w:rsidTr="000463B7">
        <w:tc>
          <w:tcPr>
            <w:tcW w:w="1526" w:type="dxa"/>
          </w:tcPr>
          <w:p w:rsidR="000463B7" w:rsidRPr="000F1BB1" w:rsidRDefault="000463B7" w:rsidP="000463B7">
            <w:pPr>
              <w:pStyle w:val="Tabletext"/>
            </w:pPr>
            <w:r w:rsidRPr="000F1BB1">
              <w:t>Less than 25</w:t>
            </w:r>
          </w:p>
        </w:tc>
        <w:tc>
          <w:tcPr>
            <w:tcW w:w="1526" w:type="dxa"/>
            <w:vAlign w:val="center"/>
          </w:tcPr>
          <w:p w:rsidR="000463B7" w:rsidRPr="000F1BB1" w:rsidRDefault="000463B7" w:rsidP="000463B7">
            <w:pPr>
              <w:pStyle w:val="Tabletext"/>
              <w:jc w:val="right"/>
            </w:pPr>
            <w:r w:rsidRPr="000F1BB1">
              <w:t>26%</w:t>
            </w:r>
          </w:p>
        </w:tc>
        <w:tc>
          <w:tcPr>
            <w:tcW w:w="1526" w:type="dxa"/>
            <w:vAlign w:val="center"/>
          </w:tcPr>
          <w:p w:rsidR="000463B7" w:rsidRPr="000F1BB1" w:rsidRDefault="000463B7" w:rsidP="000463B7">
            <w:pPr>
              <w:pStyle w:val="Tabletext"/>
              <w:jc w:val="right"/>
            </w:pPr>
            <w:r w:rsidRPr="000F1BB1">
              <w:t>26%</w:t>
            </w:r>
          </w:p>
        </w:tc>
        <w:tc>
          <w:tcPr>
            <w:tcW w:w="1526" w:type="dxa"/>
            <w:vAlign w:val="center"/>
          </w:tcPr>
          <w:p w:rsidR="000463B7" w:rsidRPr="000F1BB1" w:rsidRDefault="000463B7" w:rsidP="000463B7">
            <w:pPr>
              <w:pStyle w:val="Tabletext"/>
              <w:jc w:val="right"/>
            </w:pPr>
            <w:r w:rsidRPr="000F1BB1">
              <w:t>25%</w:t>
            </w:r>
          </w:p>
        </w:tc>
        <w:tc>
          <w:tcPr>
            <w:tcW w:w="1526" w:type="dxa"/>
            <w:vAlign w:val="center"/>
          </w:tcPr>
          <w:p w:rsidR="000463B7" w:rsidRPr="000F1BB1" w:rsidRDefault="000463B7" w:rsidP="000463B7">
            <w:pPr>
              <w:pStyle w:val="Tabletext"/>
              <w:jc w:val="right"/>
            </w:pPr>
            <w:r w:rsidRPr="000F1BB1">
              <w:t>16%</w:t>
            </w:r>
          </w:p>
        </w:tc>
        <w:tc>
          <w:tcPr>
            <w:tcW w:w="1526" w:type="dxa"/>
            <w:vAlign w:val="center"/>
          </w:tcPr>
          <w:p w:rsidR="000463B7" w:rsidRPr="000F1BB1" w:rsidRDefault="000463B7" w:rsidP="000463B7">
            <w:pPr>
              <w:pStyle w:val="Tabletext"/>
              <w:jc w:val="right"/>
            </w:pPr>
            <w:r w:rsidRPr="000F1BB1">
              <w:t>8%</w:t>
            </w:r>
          </w:p>
        </w:tc>
        <w:tc>
          <w:tcPr>
            <w:tcW w:w="1526" w:type="dxa"/>
            <w:vAlign w:val="center"/>
          </w:tcPr>
          <w:p w:rsidR="000463B7" w:rsidRPr="000F1BB1" w:rsidRDefault="000463B7" w:rsidP="000463B7">
            <w:pPr>
              <w:pStyle w:val="Tabletext"/>
              <w:jc w:val="right"/>
            </w:pPr>
            <w:r w:rsidRPr="000F1BB1">
              <w:t>100%</w:t>
            </w:r>
          </w:p>
        </w:tc>
      </w:tr>
      <w:tr w:rsidR="000463B7" w:rsidTr="000463B7">
        <w:tc>
          <w:tcPr>
            <w:tcW w:w="1526" w:type="dxa"/>
          </w:tcPr>
          <w:p w:rsidR="000463B7" w:rsidRPr="000F1BB1" w:rsidRDefault="000463B7" w:rsidP="000463B7">
            <w:pPr>
              <w:pStyle w:val="Tabletext"/>
            </w:pPr>
            <w:r w:rsidRPr="000F1BB1">
              <w:t>25-34 years</w:t>
            </w:r>
          </w:p>
        </w:tc>
        <w:tc>
          <w:tcPr>
            <w:tcW w:w="1526" w:type="dxa"/>
            <w:vAlign w:val="center"/>
          </w:tcPr>
          <w:p w:rsidR="000463B7" w:rsidRPr="000F1BB1" w:rsidRDefault="000463B7" w:rsidP="000463B7">
            <w:pPr>
              <w:pStyle w:val="Tabletext"/>
              <w:jc w:val="right"/>
            </w:pPr>
            <w:r w:rsidRPr="000F1BB1">
              <w:t>36%</w:t>
            </w:r>
          </w:p>
        </w:tc>
        <w:tc>
          <w:tcPr>
            <w:tcW w:w="1526" w:type="dxa"/>
            <w:vAlign w:val="center"/>
          </w:tcPr>
          <w:p w:rsidR="000463B7" w:rsidRPr="000F1BB1" w:rsidRDefault="000463B7" w:rsidP="000463B7">
            <w:pPr>
              <w:pStyle w:val="Tabletext"/>
              <w:jc w:val="right"/>
            </w:pPr>
            <w:r w:rsidRPr="000F1BB1">
              <w:t>26%</w:t>
            </w:r>
          </w:p>
        </w:tc>
        <w:tc>
          <w:tcPr>
            <w:tcW w:w="1526" w:type="dxa"/>
            <w:vAlign w:val="center"/>
          </w:tcPr>
          <w:p w:rsidR="000463B7" w:rsidRPr="000F1BB1" w:rsidRDefault="000463B7" w:rsidP="000463B7">
            <w:pPr>
              <w:pStyle w:val="Tabletext"/>
              <w:jc w:val="right"/>
            </w:pPr>
            <w:r w:rsidRPr="000F1BB1">
              <w:t>18%</w:t>
            </w:r>
          </w:p>
        </w:tc>
        <w:tc>
          <w:tcPr>
            <w:tcW w:w="1526" w:type="dxa"/>
            <w:vAlign w:val="center"/>
          </w:tcPr>
          <w:p w:rsidR="000463B7" w:rsidRPr="000F1BB1" w:rsidRDefault="000463B7" w:rsidP="000463B7">
            <w:pPr>
              <w:pStyle w:val="Tabletext"/>
              <w:jc w:val="right"/>
            </w:pPr>
            <w:r w:rsidRPr="000F1BB1">
              <w:t>11%</w:t>
            </w:r>
          </w:p>
        </w:tc>
        <w:tc>
          <w:tcPr>
            <w:tcW w:w="1526" w:type="dxa"/>
            <w:vAlign w:val="center"/>
          </w:tcPr>
          <w:p w:rsidR="000463B7" w:rsidRPr="000F1BB1" w:rsidRDefault="000463B7" w:rsidP="000463B7">
            <w:pPr>
              <w:pStyle w:val="Tabletext"/>
              <w:jc w:val="right"/>
            </w:pPr>
            <w:r w:rsidRPr="000F1BB1">
              <w:t>8%</w:t>
            </w:r>
          </w:p>
        </w:tc>
        <w:tc>
          <w:tcPr>
            <w:tcW w:w="1526" w:type="dxa"/>
            <w:vAlign w:val="center"/>
          </w:tcPr>
          <w:p w:rsidR="000463B7" w:rsidRPr="000F1BB1" w:rsidRDefault="000463B7" w:rsidP="000463B7">
            <w:pPr>
              <w:pStyle w:val="Tabletext"/>
              <w:jc w:val="right"/>
            </w:pPr>
            <w:r w:rsidRPr="000F1BB1">
              <w:t>100%</w:t>
            </w:r>
          </w:p>
        </w:tc>
      </w:tr>
      <w:tr w:rsidR="000463B7" w:rsidTr="000463B7">
        <w:tc>
          <w:tcPr>
            <w:tcW w:w="1526" w:type="dxa"/>
          </w:tcPr>
          <w:p w:rsidR="000463B7" w:rsidRPr="000F1BB1" w:rsidRDefault="000463B7" w:rsidP="000463B7">
            <w:pPr>
              <w:pStyle w:val="Tabletext"/>
            </w:pPr>
            <w:r w:rsidRPr="000F1BB1">
              <w:t>35-44 years</w:t>
            </w:r>
          </w:p>
        </w:tc>
        <w:tc>
          <w:tcPr>
            <w:tcW w:w="1526" w:type="dxa"/>
            <w:vAlign w:val="center"/>
          </w:tcPr>
          <w:p w:rsidR="000463B7" w:rsidRPr="000F1BB1" w:rsidRDefault="000463B7" w:rsidP="000463B7">
            <w:pPr>
              <w:pStyle w:val="Tabletext"/>
              <w:jc w:val="right"/>
            </w:pPr>
            <w:r w:rsidRPr="000F1BB1">
              <w:t>41%</w:t>
            </w:r>
          </w:p>
        </w:tc>
        <w:tc>
          <w:tcPr>
            <w:tcW w:w="1526" w:type="dxa"/>
            <w:vAlign w:val="center"/>
          </w:tcPr>
          <w:p w:rsidR="000463B7" w:rsidRPr="000F1BB1" w:rsidRDefault="000463B7" w:rsidP="000463B7">
            <w:pPr>
              <w:pStyle w:val="Tabletext"/>
              <w:jc w:val="right"/>
            </w:pPr>
            <w:r w:rsidRPr="000F1BB1">
              <w:t>27%</w:t>
            </w:r>
          </w:p>
        </w:tc>
        <w:tc>
          <w:tcPr>
            <w:tcW w:w="1526" w:type="dxa"/>
            <w:vAlign w:val="center"/>
          </w:tcPr>
          <w:p w:rsidR="000463B7" w:rsidRPr="000F1BB1" w:rsidRDefault="000463B7" w:rsidP="000463B7">
            <w:pPr>
              <w:pStyle w:val="Tabletext"/>
              <w:jc w:val="right"/>
            </w:pPr>
            <w:r w:rsidRPr="000F1BB1">
              <w:t>15%</w:t>
            </w:r>
          </w:p>
        </w:tc>
        <w:tc>
          <w:tcPr>
            <w:tcW w:w="1526" w:type="dxa"/>
            <w:vAlign w:val="center"/>
          </w:tcPr>
          <w:p w:rsidR="000463B7" w:rsidRPr="000F1BB1" w:rsidRDefault="000463B7" w:rsidP="000463B7">
            <w:pPr>
              <w:pStyle w:val="Tabletext"/>
              <w:jc w:val="right"/>
            </w:pPr>
            <w:r w:rsidRPr="000F1BB1">
              <w:t>8%</w:t>
            </w:r>
          </w:p>
        </w:tc>
        <w:tc>
          <w:tcPr>
            <w:tcW w:w="1526" w:type="dxa"/>
            <w:vAlign w:val="center"/>
          </w:tcPr>
          <w:p w:rsidR="000463B7" w:rsidRPr="000F1BB1" w:rsidRDefault="000463B7" w:rsidP="000463B7">
            <w:pPr>
              <w:pStyle w:val="Tabletext"/>
              <w:jc w:val="right"/>
            </w:pPr>
            <w:r w:rsidRPr="000F1BB1">
              <w:t>9%</w:t>
            </w:r>
          </w:p>
        </w:tc>
        <w:tc>
          <w:tcPr>
            <w:tcW w:w="1526" w:type="dxa"/>
            <w:vAlign w:val="center"/>
          </w:tcPr>
          <w:p w:rsidR="000463B7" w:rsidRPr="000F1BB1" w:rsidRDefault="000463B7" w:rsidP="000463B7">
            <w:pPr>
              <w:pStyle w:val="Tabletext"/>
              <w:jc w:val="right"/>
            </w:pPr>
            <w:r w:rsidRPr="000F1BB1">
              <w:t>100%</w:t>
            </w:r>
          </w:p>
        </w:tc>
      </w:tr>
      <w:tr w:rsidR="000463B7" w:rsidTr="000463B7">
        <w:tc>
          <w:tcPr>
            <w:tcW w:w="1526" w:type="dxa"/>
          </w:tcPr>
          <w:p w:rsidR="000463B7" w:rsidRPr="000F1BB1" w:rsidRDefault="000463B7" w:rsidP="000463B7">
            <w:pPr>
              <w:pStyle w:val="Tabletext"/>
            </w:pPr>
            <w:r w:rsidRPr="000F1BB1">
              <w:t>45-54 years</w:t>
            </w:r>
          </w:p>
        </w:tc>
        <w:tc>
          <w:tcPr>
            <w:tcW w:w="1526" w:type="dxa"/>
            <w:vAlign w:val="center"/>
          </w:tcPr>
          <w:p w:rsidR="000463B7" w:rsidRPr="000F1BB1" w:rsidRDefault="000463B7" w:rsidP="000463B7">
            <w:pPr>
              <w:pStyle w:val="Tabletext"/>
              <w:jc w:val="right"/>
            </w:pPr>
            <w:r w:rsidRPr="000F1BB1">
              <w:t>41%</w:t>
            </w:r>
          </w:p>
        </w:tc>
        <w:tc>
          <w:tcPr>
            <w:tcW w:w="1526" w:type="dxa"/>
            <w:vAlign w:val="center"/>
          </w:tcPr>
          <w:p w:rsidR="000463B7" w:rsidRPr="000F1BB1" w:rsidRDefault="000463B7" w:rsidP="000463B7">
            <w:pPr>
              <w:pStyle w:val="Tabletext"/>
              <w:jc w:val="right"/>
            </w:pPr>
            <w:r w:rsidRPr="000F1BB1">
              <w:t>29%</w:t>
            </w:r>
          </w:p>
        </w:tc>
        <w:tc>
          <w:tcPr>
            <w:tcW w:w="1526" w:type="dxa"/>
            <w:vAlign w:val="center"/>
          </w:tcPr>
          <w:p w:rsidR="000463B7" w:rsidRPr="000F1BB1" w:rsidRDefault="000463B7" w:rsidP="000463B7">
            <w:pPr>
              <w:pStyle w:val="Tabletext"/>
              <w:jc w:val="right"/>
            </w:pPr>
            <w:r w:rsidRPr="000F1BB1">
              <w:t>13%</w:t>
            </w:r>
          </w:p>
        </w:tc>
        <w:tc>
          <w:tcPr>
            <w:tcW w:w="1526" w:type="dxa"/>
            <w:vAlign w:val="center"/>
          </w:tcPr>
          <w:p w:rsidR="000463B7" w:rsidRPr="000F1BB1" w:rsidRDefault="000463B7" w:rsidP="000463B7">
            <w:pPr>
              <w:pStyle w:val="Tabletext"/>
              <w:jc w:val="right"/>
            </w:pPr>
            <w:r w:rsidRPr="000F1BB1">
              <w:t>7%</w:t>
            </w:r>
          </w:p>
        </w:tc>
        <w:tc>
          <w:tcPr>
            <w:tcW w:w="1526" w:type="dxa"/>
            <w:vAlign w:val="center"/>
          </w:tcPr>
          <w:p w:rsidR="000463B7" w:rsidRPr="000F1BB1" w:rsidRDefault="000463B7" w:rsidP="000463B7">
            <w:pPr>
              <w:pStyle w:val="Tabletext"/>
              <w:jc w:val="right"/>
            </w:pPr>
            <w:r w:rsidRPr="000F1BB1">
              <w:t>9%</w:t>
            </w:r>
          </w:p>
        </w:tc>
        <w:tc>
          <w:tcPr>
            <w:tcW w:w="1526" w:type="dxa"/>
            <w:vAlign w:val="center"/>
          </w:tcPr>
          <w:p w:rsidR="000463B7" w:rsidRPr="000F1BB1" w:rsidRDefault="000463B7" w:rsidP="000463B7">
            <w:pPr>
              <w:pStyle w:val="Tabletext"/>
              <w:jc w:val="right"/>
            </w:pPr>
            <w:r w:rsidRPr="000F1BB1">
              <w:t>100%</w:t>
            </w:r>
          </w:p>
        </w:tc>
      </w:tr>
      <w:tr w:rsidR="000463B7" w:rsidTr="000463B7">
        <w:tc>
          <w:tcPr>
            <w:tcW w:w="1526" w:type="dxa"/>
          </w:tcPr>
          <w:p w:rsidR="000463B7" w:rsidRPr="000F1BB1" w:rsidRDefault="000463B7" w:rsidP="000463B7">
            <w:pPr>
              <w:pStyle w:val="Tabletext"/>
            </w:pPr>
            <w:r w:rsidRPr="000F1BB1">
              <w:t>55 years &amp; over</w:t>
            </w:r>
          </w:p>
        </w:tc>
        <w:tc>
          <w:tcPr>
            <w:tcW w:w="1526" w:type="dxa"/>
            <w:vAlign w:val="center"/>
          </w:tcPr>
          <w:p w:rsidR="000463B7" w:rsidRPr="000F1BB1" w:rsidRDefault="000463B7" w:rsidP="000463B7">
            <w:pPr>
              <w:pStyle w:val="Tabletext"/>
              <w:jc w:val="right"/>
            </w:pPr>
            <w:r w:rsidRPr="000F1BB1">
              <w:t>38%</w:t>
            </w:r>
          </w:p>
        </w:tc>
        <w:tc>
          <w:tcPr>
            <w:tcW w:w="1526" w:type="dxa"/>
            <w:vAlign w:val="center"/>
          </w:tcPr>
          <w:p w:rsidR="000463B7" w:rsidRPr="000F1BB1" w:rsidRDefault="000463B7" w:rsidP="000463B7">
            <w:pPr>
              <w:pStyle w:val="Tabletext"/>
              <w:jc w:val="right"/>
            </w:pPr>
            <w:r w:rsidRPr="000F1BB1">
              <w:t>33%</w:t>
            </w:r>
          </w:p>
        </w:tc>
        <w:tc>
          <w:tcPr>
            <w:tcW w:w="1526" w:type="dxa"/>
            <w:vAlign w:val="center"/>
          </w:tcPr>
          <w:p w:rsidR="000463B7" w:rsidRPr="000F1BB1" w:rsidRDefault="000463B7" w:rsidP="000463B7">
            <w:pPr>
              <w:pStyle w:val="Tabletext"/>
              <w:jc w:val="right"/>
            </w:pPr>
            <w:r w:rsidRPr="000F1BB1">
              <w:t>13%</w:t>
            </w:r>
          </w:p>
        </w:tc>
        <w:tc>
          <w:tcPr>
            <w:tcW w:w="1526" w:type="dxa"/>
            <w:vAlign w:val="center"/>
          </w:tcPr>
          <w:p w:rsidR="000463B7" w:rsidRPr="000F1BB1" w:rsidRDefault="000463B7" w:rsidP="000463B7">
            <w:pPr>
              <w:pStyle w:val="Tabletext"/>
              <w:jc w:val="right"/>
            </w:pPr>
            <w:r w:rsidRPr="000F1BB1">
              <w:t>6%</w:t>
            </w:r>
          </w:p>
        </w:tc>
        <w:tc>
          <w:tcPr>
            <w:tcW w:w="1526" w:type="dxa"/>
            <w:vAlign w:val="center"/>
          </w:tcPr>
          <w:p w:rsidR="000463B7" w:rsidRPr="000F1BB1" w:rsidRDefault="000463B7" w:rsidP="000463B7">
            <w:pPr>
              <w:pStyle w:val="Tabletext"/>
              <w:jc w:val="right"/>
            </w:pPr>
            <w:r w:rsidRPr="000F1BB1">
              <w:t>8%</w:t>
            </w:r>
          </w:p>
        </w:tc>
        <w:tc>
          <w:tcPr>
            <w:tcW w:w="1526" w:type="dxa"/>
            <w:vAlign w:val="center"/>
          </w:tcPr>
          <w:p w:rsidR="000463B7" w:rsidRPr="000F1BB1" w:rsidRDefault="000463B7" w:rsidP="000463B7">
            <w:pPr>
              <w:pStyle w:val="Tabletext"/>
              <w:jc w:val="right"/>
            </w:pPr>
            <w:r w:rsidRPr="000F1BB1">
              <w:t>100%</w:t>
            </w:r>
          </w:p>
        </w:tc>
      </w:tr>
      <w:tr w:rsidR="000463B7" w:rsidTr="000463B7">
        <w:tc>
          <w:tcPr>
            <w:tcW w:w="1526" w:type="dxa"/>
          </w:tcPr>
          <w:p w:rsidR="000463B7" w:rsidRPr="000F1BB1" w:rsidRDefault="000463B7" w:rsidP="000463B7">
            <w:pPr>
              <w:pStyle w:val="Tabletext"/>
            </w:pPr>
            <w:r w:rsidRPr="000F1BB1">
              <w:t>Total</w:t>
            </w:r>
          </w:p>
        </w:tc>
        <w:tc>
          <w:tcPr>
            <w:tcW w:w="1526" w:type="dxa"/>
            <w:vAlign w:val="center"/>
          </w:tcPr>
          <w:p w:rsidR="000463B7" w:rsidRPr="000F1BB1" w:rsidRDefault="000463B7" w:rsidP="000463B7">
            <w:pPr>
              <w:pStyle w:val="Tabletext"/>
              <w:jc w:val="right"/>
            </w:pPr>
            <w:r w:rsidRPr="000F1BB1">
              <w:t>36%</w:t>
            </w:r>
          </w:p>
        </w:tc>
        <w:tc>
          <w:tcPr>
            <w:tcW w:w="1526" w:type="dxa"/>
            <w:vAlign w:val="center"/>
          </w:tcPr>
          <w:p w:rsidR="000463B7" w:rsidRPr="000F1BB1" w:rsidRDefault="000463B7" w:rsidP="000463B7">
            <w:pPr>
              <w:pStyle w:val="Tabletext"/>
              <w:jc w:val="right"/>
            </w:pPr>
            <w:r w:rsidRPr="000F1BB1">
              <w:t>28%</w:t>
            </w:r>
          </w:p>
        </w:tc>
        <w:tc>
          <w:tcPr>
            <w:tcW w:w="1526" w:type="dxa"/>
            <w:vAlign w:val="center"/>
          </w:tcPr>
          <w:p w:rsidR="000463B7" w:rsidRPr="000F1BB1" w:rsidRDefault="000463B7" w:rsidP="000463B7">
            <w:pPr>
              <w:pStyle w:val="Tabletext"/>
              <w:jc w:val="right"/>
            </w:pPr>
            <w:r w:rsidRPr="000F1BB1">
              <w:t>17%</w:t>
            </w:r>
          </w:p>
        </w:tc>
        <w:tc>
          <w:tcPr>
            <w:tcW w:w="1526" w:type="dxa"/>
            <w:vAlign w:val="center"/>
          </w:tcPr>
          <w:p w:rsidR="000463B7" w:rsidRPr="000F1BB1" w:rsidRDefault="000463B7" w:rsidP="000463B7">
            <w:pPr>
              <w:pStyle w:val="Tabletext"/>
              <w:jc w:val="right"/>
            </w:pPr>
            <w:r w:rsidRPr="000F1BB1">
              <w:t>10%</w:t>
            </w:r>
          </w:p>
        </w:tc>
        <w:tc>
          <w:tcPr>
            <w:tcW w:w="1526" w:type="dxa"/>
            <w:vAlign w:val="center"/>
          </w:tcPr>
          <w:p w:rsidR="000463B7" w:rsidRPr="000F1BB1" w:rsidRDefault="000463B7" w:rsidP="000463B7">
            <w:pPr>
              <w:pStyle w:val="Tabletext"/>
              <w:jc w:val="right"/>
            </w:pPr>
            <w:r w:rsidRPr="000F1BB1">
              <w:t>9%</w:t>
            </w:r>
          </w:p>
        </w:tc>
        <w:tc>
          <w:tcPr>
            <w:tcW w:w="1526" w:type="dxa"/>
            <w:vAlign w:val="center"/>
          </w:tcPr>
          <w:p w:rsidR="000463B7" w:rsidRDefault="000463B7" w:rsidP="000463B7">
            <w:pPr>
              <w:pStyle w:val="Tabletext"/>
              <w:jc w:val="right"/>
            </w:pPr>
            <w:r w:rsidRPr="000F1BB1">
              <w:t>100%</w:t>
            </w:r>
          </w:p>
        </w:tc>
      </w:tr>
    </w:tbl>
    <w:p w:rsidR="008D72B2" w:rsidRDefault="008D72B2" w:rsidP="008D72B2">
      <w:pPr>
        <w:rPr>
          <w:rFonts w:ascii="Arial" w:eastAsiaTheme="majorEastAsia" w:hAnsi="Arial" w:cstheme="majorBidi"/>
          <w:color w:val="0070C0"/>
          <w:sz w:val="26"/>
          <w:lang w:val="en-US"/>
        </w:rPr>
      </w:pPr>
      <w:r>
        <w:rPr>
          <w:lang w:val="en-US"/>
        </w:rPr>
        <w:br w:type="page"/>
      </w:r>
    </w:p>
    <w:p w:rsidR="00900086" w:rsidRDefault="000463B7" w:rsidP="00900086">
      <w:pPr>
        <w:pStyle w:val="Heading3"/>
        <w:rPr>
          <w:lang w:val="en-US"/>
        </w:rPr>
      </w:pPr>
      <w:bookmarkStart w:id="47" w:name="_Toc427590878"/>
      <w:r>
        <w:rPr>
          <w:lang w:val="en-US"/>
        </w:rPr>
        <w:t>Mechanism by jurisdiction</w:t>
      </w:r>
      <w:bookmarkEnd w:id="47"/>
    </w:p>
    <w:p w:rsidR="00900086" w:rsidRPr="00900086" w:rsidRDefault="00900086" w:rsidP="00513A50">
      <w:pPr>
        <w:pStyle w:val="BodyText1"/>
      </w:pPr>
      <w:r w:rsidRPr="00900086">
        <w:t>The pattern across the jurisdictions of serious claims by mechanism is similar except for the Northern Territory. Table 36 shows over the 2010–11 to 2012–13 period, the Northern Territory had the highest proportion of serious claims for being hit by objects (23%) and hitting with a part of the body (13%) but the lowest proportion for body stressing (32%) and falls, trips &amp; slips (21%).</w:t>
      </w:r>
    </w:p>
    <w:p w:rsidR="00900086" w:rsidRDefault="00900086" w:rsidP="000463B7">
      <w:pPr>
        <w:pStyle w:val="Tableheading"/>
      </w:pPr>
      <w:r>
        <w:t>Table 36: Serious claims in the construction industry: percentage by mechanism of incident and jurisdictio</w:t>
      </w:r>
      <w:r w:rsidR="00362D9E">
        <w:t>n, 2010–11 to 2012–</w:t>
      </w:r>
      <w:proofErr w:type="spellStart"/>
      <w:r w:rsidR="00362D9E">
        <w:t>13p</w:t>
      </w:r>
      <w:proofErr w:type="spellEnd"/>
      <w:r w:rsidR="00362D9E">
        <w:t xml:space="preserve"> combined</w:t>
      </w:r>
    </w:p>
    <w:tbl>
      <w:tblPr>
        <w:tblStyle w:val="TableGrid"/>
        <w:tblW w:w="0" w:type="auto"/>
        <w:tblLook w:val="04A0" w:firstRow="1" w:lastRow="0" w:firstColumn="1" w:lastColumn="0" w:noHBand="0" w:noVBand="1"/>
        <w:tblCaption w:val="Table 36: Serious claims in the construction industry: percentage by mechanism of incident and jurisdiction, 2010–11 to 2012–13p combined"/>
        <w:tblDescription w:val="Table shows the percentage of serious claims in the construction industry by mechanism of incident and jurisdiciton."/>
      </w:tblPr>
      <w:tblGrid>
        <w:gridCol w:w="2041"/>
        <w:gridCol w:w="1417"/>
        <w:gridCol w:w="1417"/>
        <w:gridCol w:w="1417"/>
        <w:gridCol w:w="1417"/>
        <w:gridCol w:w="1417"/>
        <w:gridCol w:w="1417"/>
      </w:tblGrid>
      <w:tr w:rsidR="00544938" w:rsidTr="00715413">
        <w:trPr>
          <w:trHeight w:val="283"/>
          <w:tblHeader/>
        </w:trPr>
        <w:tc>
          <w:tcPr>
            <w:tcW w:w="2041" w:type="dxa"/>
            <w:shd w:val="clear" w:color="auto" w:fill="D9D9D9" w:themeFill="background1" w:themeFillShade="D9"/>
          </w:tcPr>
          <w:p w:rsidR="00544938" w:rsidRDefault="00544938"/>
        </w:tc>
        <w:tc>
          <w:tcPr>
            <w:tcW w:w="7085" w:type="dxa"/>
            <w:gridSpan w:val="5"/>
            <w:shd w:val="clear" w:color="auto" w:fill="D9D9D9" w:themeFill="background1" w:themeFillShade="D9"/>
            <w:vAlign w:val="center"/>
          </w:tcPr>
          <w:p w:rsidR="00544938" w:rsidRDefault="00544938" w:rsidP="00544938">
            <w:pPr>
              <w:pStyle w:val="Tableheaderrow"/>
            </w:pPr>
            <w:r>
              <w:t>Mechanism of incident</w:t>
            </w:r>
          </w:p>
        </w:tc>
        <w:tc>
          <w:tcPr>
            <w:tcW w:w="1417" w:type="dxa"/>
            <w:shd w:val="clear" w:color="auto" w:fill="D9D9D9" w:themeFill="background1" w:themeFillShade="D9"/>
          </w:tcPr>
          <w:p w:rsidR="00544938" w:rsidRDefault="00544938"/>
        </w:tc>
      </w:tr>
      <w:tr w:rsidR="00544938" w:rsidTr="00544938">
        <w:tc>
          <w:tcPr>
            <w:tcW w:w="2041" w:type="dxa"/>
          </w:tcPr>
          <w:p w:rsidR="00544938" w:rsidRDefault="00544938"/>
        </w:tc>
        <w:tc>
          <w:tcPr>
            <w:tcW w:w="1417" w:type="dxa"/>
            <w:vAlign w:val="bottom"/>
          </w:tcPr>
          <w:p w:rsidR="00544938" w:rsidRPr="000F1BB1" w:rsidRDefault="00544938" w:rsidP="0066660E">
            <w:pPr>
              <w:pStyle w:val="Tableheaderrow"/>
              <w:jc w:val="right"/>
            </w:pPr>
            <w:r w:rsidRPr="000F1BB1">
              <w:t>Body stressing</w:t>
            </w:r>
          </w:p>
        </w:tc>
        <w:tc>
          <w:tcPr>
            <w:tcW w:w="1417" w:type="dxa"/>
            <w:vAlign w:val="bottom"/>
          </w:tcPr>
          <w:p w:rsidR="00544938" w:rsidRPr="000F1BB1" w:rsidRDefault="00544938" w:rsidP="0066660E">
            <w:pPr>
              <w:pStyle w:val="Tableheaderrow"/>
              <w:jc w:val="right"/>
            </w:pPr>
            <w:r w:rsidRPr="000F1BB1">
              <w:t>Falls</w:t>
            </w:r>
            <w:r>
              <w:t>, trips &amp; slips of a person</w:t>
            </w:r>
          </w:p>
        </w:tc>
        <w:tc>
          <w:tcPr>
            <w:tcW w:w="1417" w:type="dxa"/>
            <w:vAlign w:val="bottom"/>
          </w:tcPr>
          <w:p w:rsidR="00544938" w:rsidRPr="000F1BB1" w:rsidRDefault="00544938" w:rsidP="0066660E">
            <w:pPr>
              <w:pStyle w:val="Tableheaderrow"/>
              <w:jc w:val="right"/>
            </w:pPr>
            <w:r w:rsidRPr="000F1BB1">
              <w:t>Being hit</w:t>
            </w:r>
            <w:r>
              <w:t xml:space="preserve"> by objects</w:t>
            </w:r>
          </w:p>
        </w:tc>
        <w:tc>
          <w:tcPr>
            <w:tcW w:w="1417" w:type="dxa"/>
            <w:vAlign w:val="bottom"/>
          </w:tcPr>
          <w:p w:rsidR="00544938" w:rsidRPr="000F1BB1" w:rsidRDefault="00544938" w:rsidP="0066660E">
            <w:pPr>
              <w:pStyle w:val="Tableheaderrow"/>
              <w:jc w:val="right"/>
            </w:pPr>
            <w:r w:rsidRPr="000F1BB1">
              <w:t>Hitting ob</w:t>
            </w:r>
            <w:r>
              <w:t>jects with a part of the body</w:t>
            </w:r>
          </w:p>
        </w:tc>
        <w:tc>
          <w:tcPr>
            <w:tcW w:w="1417" w:type="dxa"/>
            <w:vAlign w:val="bottom"/>
          </w:tcPr>
          <w:p w:rsidR="00544938" w:rsidRPr="000F1BB1" w:rsidRDefault="00544938" w:rsidP="0066660E">
            <w:pPr>
              <w:pStyle w:val="Tableheaderrow"/>
              <w:jc w:val="right"/>
            </w:pPr>
            <w:r>
              <w:t>O</w:t>
            </w:r>
            <w:r w:rsidRPr="000F1BB1">
              <w:t>ther mech</w:t>
            </w:r>
            <w:r>
              <w:t>anism</w:t>
            </w:r>
            <w:r w:rsidRPr="000F1BB1">
              <w:t>s</w:t>
            </w:r>
          </w:p>
        </w:tc>
        <w:tc>
          <w:tcPr>
            <w:tcW w:w="1417" w:type="dxa"/>
            <w:vAlign w:val="bottom"/>
          </w:tcPr>
          <w:p w:rsidR="00544938" w:rsidRPr="000F1BB1" w:rsidRDefault="00544938" w:rsidP="0066660E">
            <w:pPr>
              <w:pStyle w:val="Tableheaderrow"/>
              <w:jc w:val="right"/>
            </w:pPr>
            <w:r w:rsidRPr="000F1BB1">
              <w:t>Total</w:t>
            </w:r>
          </w:p>
        </w:tc>
      </w:tr>
      <w:tr w:rsidR="00544938" w:rsidTr="00544938">
        <w:tc>
          <w:tcPr>
            <w:tcW w:w="2041" w:type="dxa"/>
          </w:tcPr>
          <w:p w:rsidR="00544938" w:rsidRPr="00545D2B" w:rsidRDefault="00544938" w:rsidP="00544938">
            <w:pPr>
              <w:pStyle w:val="Tabletext"/>
            </w:pPr>
            <w:r w:rsidRPr="00545D2B">
              <w:t>New South Wales</w:t>
            </w:r>
          </w:p>
        </w:tc>
        <w:tc>
          <w:tcPr>
            <w:tcW w:w="1417" w:type="dxa"/>
            <w:vAlign w:val="center"/>
          </w:tcPr>
          <w:p w:rsidR="00544938" w:rsidRPr="00545D2B" w:rsidRDefault="00544938" w:rsidP="00544938">
            <w:pPr>
              <w:pStyle w:val="Tabletext"/>
              <w:jc w:val="right"/>
            </w:pPr>
            <w:r>
              <w:t>34%</w:t>
            </w:r>
          </w:p>
        </w:tc>
        <w:tc>
          <w:tcPr>
            <w:tcW w:w="1417" w:type="dxa"/>
            <w:vAlign w:val="center"/>
          </w:tcPr>
          <w:p w:rsidR="00544938" w:rsidRPr="00545D2B" w:rsidRDefault="00544938" w:rsidP="00544938">
            <w:pPr>
              <w:pStyle w:val="Tabletext"/>
              <w:jc w:val="right"/>
            </w:pPr>
            <w:r>
              <w:t>28%</w:t>
            </w:r>
          </w:p>
        </w:tc>
        <w:tc>
          <w:tcPr>
            <w:tcW w:w="1417" w:type="dxa"/>
            <w:vAlign w:val="center"/>
          </w:tcPr>
          <w:p w:rsidR="00544938" w:rsidRPr="00545D2B" w:rsidRDefault="00544938" w:rsidP="00544938">
            <w:pPr>
              <w:pStyle w:val="Tabletext"/>
              <w:jc w:val="right"/>
            </w:pPr>
            <w:r w:rsidRPr="00545D2B">
              <w:t>17%</w:t>
            </w:r>
          </w:p>
        </w:tc>
        <w:tc>
          <w:tcPr>
            <w:tcW w:w="1417" w:type="dxa"/>
            <w:vAlign w:val="center"/>
          </w:tcPr>
          <w:p w:rsidR="00544938" w:rsidRPr="00545D2B" w:rsidRDefault="00544938" w:rsidP="00544938">
            <w:pPr>
              <w:pStyle w:val="Tabletext"/>
              <w:jc w:val="right"/>
            </w:pPr>
            <w:r>
              <w:t>11%</w:t>
            </w:r>
          </w:p>
        </w:tc>
        <w:tc>
          <w:tcPr>
            <w:tcW w:w="1417" w:type="dxa"/>
            <w:vAlign w:val="center"/>
          </w:tcPr>
          <w:p w:rsidR="00544938" w:rsidRPr="00545D2B" w:rsidRDefault="00544938" w:rsidP="00544938">
            <w:pPr>
              <w:pStyle w:val="Tabletext"/>
              <w:jc w:val="right"/>
            </w:pPr>
            <w:r>
              <w:t>10%</w:t>
            </w:r>
          </w:p>
        </w:tc>
        <w:tc>
          <w:tcPr>
            <w:tcW w:w="1417" w:type="dxa"/>
            <w:vAlign w:val="center"/>
          </w:tcPr>
          <w:p w:rsidR="00544938" w:rsidRPr="00545D2B" w:rsidRDefault="00544938" w:rsidP="00544938">
            <w:pPr>
              <w:pStyle w:val="Tabletext"/>
              <w:jc w:val="right"/>
            </w:pPr>
            <w:r w:rsidRPr="00545D2B">
              <w:t>100%</w:t>
            </w:r>
          </w:p>
        </w:tc>
      </w:tr>
      <w:tr w:rsidR="00544938" w:rsidTr="00544938">
        <w:tc>
          <w:tcPr>
            <w:tcW w:w="2041" w:type="dxa"/>
          </w:tcPr>
          <w:p w:rsidR="00544938" w:rsidRPr="00545D2B" w:rsidRDefault="00544938" w:rsidP="00544938">
            <w:pPr>
              <w:pStyle w:val="Tabletext"/>
            </w:pPr>
            <w:r w:rsidRPr="00545D2B">
              <w:t>Queensland</w:t>
            </w:r>
          </w:p>
        </w:tc>
        <w:tc>
          <w:tcPr>
            <w:tcW w:w="1417" w:type="dxa"/>
            <w:vAlign w:val="center"/>
          </w:tcPr>
          <w:p w:rsidR="00544938" w:rsidRPr="00545D2B" w:rsidRDefault="00544938" w:rsidP="00544938">
            <w:pPr>
              <w:pStyle w:val="Tabletext"/>
              <w:jc w:val="right"/>
            </w:pPr>
            <w:r>
              <w:t>36</w:t>
            </w:r>
            <w:r w:rsidRPr="00545D2B">
              <w:t>%</w:t>
            </w:r>
          </w:p>
        </w:tc>
        <w:tc>
          <w:tcPr>
            <w:tcW w:w="1417" w:type="dxa"/>
            <w:vAlign w:val="center"/>
          </w:tcPr>
          <w:p w:rsidR="00544938" w:rsidRPr="00545D2B" w:rsidRDefault="00544938" w:rsidP="00544938">
            <w:pPr>
              <w:pStyle w:val="Tabletext"/>
              <w:jc w:val="right"/>
            </w:pPr>
            <w:r w:rsidRPr="00545D2B">
              <w:t>26%</w:t>
            </w:r>
          </w:p>
        </w:tc>
        <w:tc>
          <w:tcPr>
            <w:tcW w:w="1417" w:type="dxa"/>
            <w:vAlign w:val="center"/>
          </w:tcPr>
          <w:p w:rsidR="00544938" w:rsidRPr="00545D2B" w:rsidRDefault="00544938" w:rsidP="00544938">
            <w:pPr>
              <w:pStyle w:val="Tabletext"/>
              <w:jc w:val="right"/>
            </w:pPr>
            <w:r>
              <w:t>14</w:t>
            </w:r>
            <w:r w:rsidRPr="00545D2B">
              <w:t>%</w:t>
            </w:r>
          </w:p>
        </w:tc>
        <w:tc>
          <w:tcPr>
            <w:tcW w:w="1417" w:type="dxa"/>
            <w:vAlign w:val="center"/>
          </w:tcPr>
          <w:p w:rsidR="00544938" w:rsidRPr="00545D2B" w:rsidRDefault="00544938" w:rsidP="00544938">
            <w:pPr>
              <w:pStyle w:val="Tabletext"/>
              <w:jc w:val="right"/>
            </w:pPr>
            <w:r>
              <w:t>12</w:t>
            </w:r>
            <w:r w:rsidRPr="00545D2B">
              <w:t>%</w:t>
            </w:r>
          </w:p>
        </w:tc>
        <w:tc>
          <w:tcPr>
            <w:tcW w:w="1417" w:type="dxa"/>
            <w:vAlign w:val="center"/>
          </w:tcPr>
          <w:p w:rsidR="00544938" w:rsidRPr="00545D2B" w:rsidRDefault="00544938" w:rsidP="00544938">
            <w:pPr>
              <w:pStyle w:val="Tabletext"/>
              <w:jc w:val="right"/>
            </w:pPr>
            <w:r>
              <w:t>12</w:t>
            </w:r>
            <w:r w:rsidRPr="00545D2B">
              <w:t>%</w:t>
            </w:r>
          </w:p>
        </w:tc>
        <w:tc>
          <w:tcPr>
            <w:tcW w:w="1417" w:type="dxa"/>
            <w:vAlign w:val="center"/>
          </w:tcPr>
          <w:p w:rsidR="00544938" w:rsidRPr="00545D2B" w:rsidRDefault="00544938" w:rsidP="00544938">
            <w:pPr>
              <w:pStyle w:val="Tabletext"/>
              <w:jc w:val="right"/>
            </w:pPr>
            <w:r w:rsidRPr="00545D2B">
              <w:t>100%</w:t>
            </w:r>
          </w:p>
        </w:tc>
      </w:tr>
      <w:tr w:rsidR="00544938" w:rsidTr="00544938">
        <w:tc>
          <w:tcPr>
            <w:tcW w:w="2041" w:type="dxa"/>
          </w:tcPr>
          <w:p w:rsidR="00544938" w:rsidRPr="00545D2B" w:rsidRDefault="00544938" w:rsidP="00544938">
            <w:pPr>
              <w:pStyle w:val="Tabletext"/>
            </w:pPr>
            <w:r w:rsidRPr="00545D2B">
              <w:t>Victoria</w:t>
            </w:r>
          </w:p>
        </w:tc>
        <w:tc>
          <w:tcPr>
            <w:tcW w:w="1417" w:type="dxa"/>
            <w:vAlign w:val="center"/>
          </w:tcPr>
          <w:p w:rsidR="00544938" w:rsidRPr="00545D2B" w:rsidRDefault="00544938" w:rsidP="00544938">
            <w:pPr>
              <w:pStyle w:val="Tabletext"/>
              <w:jc w:val="right"/>
            </w:pPr>
            <w:r>
              <w:t>39%</w:t>
            </w:r>
          </w:p>
        </w:tc>
        <w:tc>
          <w:tcPr>
            <w:tcW w:w="1417" w:type="dxa"/>
            <w:vAlign w:val="center"/>
          </w:tcPr>
          <w:p w:rsidR="00544938" w:rsidRPr="00545D2B" w:rsidRDefault="00544938" w:rsidP="00544938">
            <w:pPr>
              <w:pStyle w:val="Tabletext"/>
              <w:jc w:val="right"/>
            </w:pPr>
            <w:r>
              <w:t>30%</w:t>
            </w:r>
          </w:p>
        </w:tc>
        <w:tc>
          <w:tcPr>
            <w:tcW w:w="1417" w:type="dxa"/>
            <w:vAlign w:val="center"/>
          </w:tcPr>
          <w:p w:rsidR="00544938" w:rsidRPr="00545D2B" w:rsidRDefault="00544938" w:rsidP="00544938">
            <w:pPr>
              <w:pStyle w:val="Tabletext"/>
              <w:jc w:val="right"/>
            </w:pPr>
            <w:r>
              <w:t>18%</w:t>
            </w:r>
          </w:p>
        </w:tc>
        <w:tc>
          <w:tcPr>
            <w:tcW w:w="1417" w:type="dxa"/>
            <w:vAlign w:val="center"/>
          </w:tcPr>
          <w:p w:rsidR="00544938" w:rsidRPr="00545D2B" w:rsidRDefault="00544938" w:rsidP="00544938">
            <w:pPr>
              <w:pStyle w:val="Tabletext"/>
              <w:jc w:val="right"/>
            </w:pPr>
            <w:r>
              <w:t>6%</w:t>
            </w:r>
          </w:p>
        </w:tc>
        <w:tc>
          <w:tcPr>
            <w:tcW w:w="1417" w:type="dxa"/>
            <w:vAlign w:val="center"/>
          </w:tcPr>
          <w:p w:rsidR="00544938" w:rsidRPr="00545D2B" w:rsidRDefault="00544938" w:rsidP="00544938">
            <w:pPr>
              <w:pStyle w:val="Tabletext"/>
              <w:jc w:val="right"/>
            </w:pPr>
            <w:r>
              <w:t>7%</w:t>
            </w:r>
          </w:p>
        </w:tc>
        <w:tc>
          <w:tcPr>
            <w:tcW w:w="1417" w:type="dxa"/>
            <w:vAlign w:val="center"/>
          </w:tcPr>
          <w:p w:rsidR="00544938" w:rsidRPr="00545D2B" w:rsidRDefault="00544938" w:rsidP="00544938">
            <w:pPr>
              <w:pStyle w:val="Tabletext"/>
              <w:jc w:val="right"/>
            </w:pPr>
            <w:r w:rsidRPr="00545D2B">
              <w:t>100%</w:t>
            </w:r>
          </w:p>
        </w:tc>
      </w:tr>
      <w:tr w:rsidR="00544938" w:rsidTr="00544938">
        <w:tc>
          <w:tcPr>
            <w:tcW w:w="2041" w:type="dxa"/>
          </w:tcPr>
          <w:p w:rsidR="00544938" w:rsidRPr="00545D2B" w:rsidRDefault="00544938" w:rsidP="00544938">
            <w:pPr>
              <w:pStyle w:val="Tabletext"/>
            </w:pPr>
            <w:r w:rsidRPr="00545D2B">
              <w:t>Western Australia</w:t>
            </w:r>
          </w:p>
        </w:tc>
        <w:tc>
          <w:tcPr>
            <w:tcW w:w="1417" w:type="dxa"/>
            <w:vAlign w:val="center"/>
          </w:tcPr>
          <w:p w:rsidR="00544938" w:rsidRPr="00545D2B" w:rsidRDefault="00544938" w:rsidP="00544938">
            <w:pPr>
              <w:pStyle w:val="Tabletext"/>
              <w:jc w:val="right"/>
            </w:pPr>
            <w:r w:rsidRPr="00545D2B">
              <w:t>37%</w:t>
            </w:r>
          </w:p>
        </w:tc>
        <w:tc>
          <w:tcPr>
            <w:tcW w:w="1417" w:type="dxa"/>
            <w:vAlign w:val="center"/>
          </w:tcPr>
          <w:p w:rsidR="00544938" w:rsidRPr="00545D2B" w:rsidRDefault="00544938" w:rsidP="00544938">
            <w:pPr>
              <w:pStyle w:val="Tabletext"/>
              <w:jc w:val="right"/>
            </w:pPr>
            <w:r>
              <w:t>28</w:t>
            </w:r>
            <w:r w:rsidRPr="00545D2B">
              <w:t>%</w:t>
            </w:r>
          </w:p>
        </w:tc>
        <w:tc>
          <w:tcPr>
            <w:tcW w:w="1417" w:type="dxa"/>
            <w:vAlign w:val="center"/>
          </w:tcPr>
          <w:p w:rsidR="00544938" w:rsidRPr="00545D2B" w:rsidRDefault="00544938" w:rsidP="00544938">
            <w:pPr>
              <w:pStyle w:val="Tabletext"/>
              <w:jc w:val="right"/>
            </w:pPr>
            <w:r w:rsidRPr="00545D2B">
              <w:t>21%</w:t>
            </w:r>
          </w:p>
        </w:tc>
        <w:tc>
          <w:tcPr>
            <w:tcW w:w="1417" w:type="dxa"/>
            <w:vAlign w:val="center"/>
          </w:tcPr>
          <w:p w:rsidR="00544938" w:rsidRPr="00545D2B" w:rsidRDefault="00544938" w:rsidP="00544938">
            <w:pPr>
              <w:pStyle w:val="Tabletext"/>
              <w:jc w:val="right"/>
            </w:pPr>
            <w:r w:rsidRPr="00545D2B">
              <w:t>9%</w:t>
            </w:r>
          </w:p>
        </w:tc>
        <w:tc>
          <w:tcPr>
            <w:tcW w:w="1417" w:type="dxa"/>
            <w:vAlign w:val="center"/>
          </w:tcPr>
          <w:p w:rsidR="00544938" w:rsidRPr="00545D2B" w:rsidRDefault="00544938" w:rsidP="00544938">
            <w:pPr>
              <w:pStyle w:val="Tabletext"/>
              <w:jc w:val="right"/>
            </w:pPr>
            <w:r w:rsidRPr="00545D2B">
              <w:t>5%</w:t>
            </w:r>
          </w:p>
        </w:tc>
        <w:tc>
          <w:tcPr>
            <w:tcW w:w="1417" w:type="dxa"/>
            <w:vAlign w:val="center"/>
          </w:tcPr>
          <w:p w:rsidR="00544938" w:rsidRPr="00545D2B" w:rsidRDefault="00544938" w:rsidP="00544938">
            <w:pPr>
              <w:pStyle w:val="Tabletext"/>
              <w:jc w:val="right"/>
            </w:pPr>
            <w:r w:rsidRPr="00545D2B">
              <w:t>100%</w:t>
            </w:r>
          </w:p>
        </w:tc>
      </w:tr>
      <w:tr w:rsidR="00544938" w:rsidTr="00544938">
        <w:tc>
          <w:tcPr>
            <w:tcW w:w="2041" w:type="dxa"/>
          </w:tcPr>
          <w:p w:rsidR="00544938" w:rsidRPr="00545D2B" w:rsidRDefault="00544938" w:rsidP="00544938">
            <w:pPr>
              <w:pStyle w:val="Tabletext"/>
            </w:pPr>
            <w:r w:rsidRPr="00545D2B">
              <w:t>South Australia</w:t>
            </w:r>
          </w:p>
        </w:tc>
        <w:tc>
          <w:tcPr>
            <w:tcW w:w="1417" w:type="dxa"/>
            <w:vAlign w:val="center"/>
          </w:tcPr>
          <w:p w:rsidR="00544938" w:rsidRPr="00545D2B" w:rsidRDefault="00544938" w:rsidP="00544938">
            <w:pPr>
              <w:pStyle w:val="Tabletext"/>
              <w:jc w:val="right"/>
            </w:pPr>
            <w:r w:rsidRPr="00545D2B">
              <w:t>42%</w:t>
            </w:r>
          </w:p>
        </w:tc>
        <w:tc>
          <w:tcPr>
            <w:tcW w:w="1417" w:type="dxa"/>
            <w:vAlign w:val="center"/>
          </w:tcPr>
          <w:p w:rsidR="00544938" w:rsidRPr="00545D2B" w:rsidRDefault="00544938" w:rsidP="00544938">
            <w:pPr>
              <w:pStyle w:val="Tabletext"/>
              <w:jc w:val="right"/>
            </w:pPr>
            <w:r>
              <w:t>26</w:t>
            </w:r>
            <w:r w:rsidRPr="00545D2B">
              <w:t>%</w:t>
            </w:r>
          </w:p>
        </w:tc>
        <w:tc>
          <w:tcPr>
            <w:tcW w:w="1417" w:type="dxa"/>
            <w:vAlign w:val="center"/>
          </w:tcPr>
          <w:p w:rsidR="00544938" w:rsidRPr="00545D2B" w:rsidRDefault="00544938" w:rsidP="00544938">
            <w:pPr>
              <w:pStyle w:val="Tabletext"/>
              <w:jc w:val="right"/>
            </w:pPr>
            <w:r w:rsidRPr="00545D2B">
              <w:t>15%</w:t>
            </w:r>
          </w:p>
        </w:tc>
        <w:tc>
          <w:tcPr>
            <w:tcW w:w="1417" w:type="dxa"/>
            <w:vAlign w:val="center"/>
          </w:tcPr>
          <w:p w:rsidR="00544938" w:rsidRPr="00545D2B" w:rsidRDefault="00544938" w:rsidP="00544938">
            <w:pPr>
              <w:pStyle w:val="Tabletext"/>
              <w:jc w:val="right"/>
            </w:pPr>
            <w:r>
              <w:t>6</w:t>
            </w:r>
            <w:r w:rsidRPr="00545D2B">
              <w:t>%</w:t>
            </w:r>
          </w:p>
        </w:tc>
        <w:tc>
          <w:tcPr>
            <w:tcW w:w="1417" w:type="dxa"/>
            <w:vAlign w:val="center"/>
          </w:tcPr>
          <w:p w:rsidR="00544938" w:rsidRPr="00545D2B" w:rsidRDefault="00544938" w:rsidP="00544938">
            <w:pPr>
              <w:pStyle w:val="Tabletext"/>
              <w:jc w:val="right"/>
            </w:pPr>
            <w:r>
              <w:t>10</w:t>
            </w:r>
            <w:r w:rsidRPr="00545D2B">
              <w:t>%</w:t>
            </w:r>
          </w:p>
        </w:tc>
        <w:tc>
          <w:tcPr>
            <w:tcW w:w="1417" w:type="dxa"/>
            <w:vAlign w:val="center"/>
          </w:tcPr>
          <w:p w:rsidR="00544938" w:rsidRPr="00545D2B" w:rsidRDefault="00544938" w:rsidP="00544938">
            <w:pPr>
              <w:pStyle w:val="Tabletext"/>
              <w:jc w:val="right"/>
            </w:pPr>
            <w:r w:rsidRPr="00545D2B">
              <w:t>100%</w:t>
            </w:r>
          </w:p>
        </w:tc>
      </w:tr>
      <w:tr w:rsidR="00544938" w:rsidTr="00544938">
        <w:tc>
          <w:tcPr>
            <w:tcW w:w="2041" w:type="dxa"/>
          </w:tcPr>
          <w:p w:rsidR="00544938" w:rsidRPr="00545D2B" w:rsidRDefault="00544938" w:rsidP="00544938">
            <w:pPr>
              <w:pStyle w:val="Tabletext"/>
            </w:pPr>
            <w:r w:rsidRPr="00545D2B">
              <w:t>Tasmania</w:t>
            </w:r>
          </w:p>
        </w:tc>
        <w:tc>
          <w:tcPr>
            <w:tcW w:w="1417" w:type="dxa"/>
            <w:vAlign w:val="center"/>
          </w:tcPr>
          <w:p w:rsidR="00544938" w:rsidRPr="00545D2B" w:rsidRDefault="00544938" w:rsidP="00544938">
            <w:pPr>
              <w:pStyle w:val="Tabletext"/>
              <w:jc w:val="right"/>
            </w:pPr>
            <w:r w:rsidRPr="00545D2B">
              <w:t>36%</w:t>
            </w:r>
          </w:p>
        </w:tc>
        <w:tc>
          <w:tcPr>
            <w:tcW w:w="1417" w:type="dxa"/>
            <w:vAlign w:val="center"/>
          </w:tcPr>
          <w:p w:rsidR="00544938" w:rsidRPr="00545D2B" w:rsidRDefault="00544938" w:rsidP="00544938">
            <w:pPr>
              <w:pStyle w:val="Tabletext"/>
              <w:jc w:val="right"/>
            </w:pPr>
            <w:r>
              <w:t>27%</w:t>
            </w:r>
          </w:p>
        </w:tc>
        <w:tc>
          <w:tcPr>
            <w:tcW w:w="1417" w:type="dxa"/>
            <w:vAlign w:val="center"/>
          </w:tcPr>
          <w:p w:rsidR="00544938" w:rsidRPr="00545D2B" w:rsidRDefault="00544938" w:rsidP="00544938">
            <w:pPr>
              <w:pStyle w:val="Tabletext"/>
              <w:jc w:val="right"/>
            </w:pPr>
            <w:r>
              <w:t>18</w:t>
            </w:r>
            <w:r w:rsidRPr="00545D2B">
              <w:t>%</w:t>
            </w:r>
          </w:p>
        </w:tc>
        <w:tc>
          <w:tcPr>
            <w:tcW w:w="1417" w:type="dxa"/>
            <w:vAlign w:val="center"/>
          </w:tcPr>
          <w:p w:rsidR="00544938" w:rsidRPr="00545D2B" w:rsidRDefault="00544938" w:rsidP="00544938">
            <w:pPr>
              <w:pStyle w:val="Tabletext"/>
              <w:jc w:val="right"/>
            </w:pPr>
            <w:r>
              <w:t>12</w:t>
            </w:r>
            <w:r w:rsidRPr="00545D2B">
              <w:t>%</w:t>
            </w:r>
          </w:p>
        </w:tc>
        <w:tc>
          <w:tcPr>
            <w:tcW w:w="1417" w:type="dxa"/>
            <w:vAlign w:val="center"/>
          </w:tcPr>
          <w:p w:rsidR="00544938" w:rsidRPr="00545D2B" w:rsidRDefault="00544938" w:rsidP="00544938">
            <w:pPr>
              <w:pStyle w:val="Tabletext"/>
              <w:jc w:val="right"/>
            </w:pPr>
            <w:r>
              <w:t>6%</w:t>
            </w:r>
          </w:p>
        </w:tc>
        <w:tc>
          <w:tcPr>
            <w:tcW w:w="1417" w:type="dxa"/>
            <w:vAlign w:val="center"/>
          </w:tcPr>
          <w:p w:rsidR="00544938" w:rsidRPr="00545D2B" w:rsidRDefault="00544938" w:rsidP="00544938">
            <w:pPr>
              <w:pStyle w:val="Tabletext"/>
              <w:jc w:val="right"/>
            </w:pPr>
            <w:r>
              <w:t>100</w:t>
            </w:r>
            <w:r w:rsidRPr="00545D2B">
              <w:t>%</w:t>
            </w:r>
          </w:p>
        </w:tc>
      </w:tr>
      <w:tr w:rsidR="00544938" w:rsidTr="00544938">
        <w:tc>
          <w:tcPr>
            <w:tcW w:w="2041" w:type="dxa"/>
          </w:tcPr>
          <w:p w:rsidR="00544938" w:rsidRPr="00545D2B" w:rsidRDefault="00544938" w:rsidP="00544938">
            <w:pPr>
              <w:pStyle w:val="Tabletext"/>
            </w:pPr>
            <w:r w:rsidRPr="00545D2B">
              <w:t>ACT Private Sector</w:t>
            </w:r>
          </w:p>
        </w:tc>
        <w:tc>
          <w:tcPr>
            <w:tcW w:w="1417" w:type="dxa"/>
            <w:vAlign w:val="center"/>
          </w:tcPr>
          <w:p w:rsidR="00544938" w:rsidRPr="00545D2B" w:rsidRDefault="00544938" w:rsidP="00544938">
            <w:pPr>
              <w:pStyle w:val="Tabletext"/>
              <w:jc w:val="right"/>
            </w:pPr>
            <w:r>
              <w:t>37</w:t>
            </w:r>
            <w:r w:rsidRPr="00545D2B">
              <w:t>%</w:t>
            </w:r>
          </w:p>
        </w:tc>
        <w:tc>
          <w:tcPr>
            <w:tcW w:w="1417" w:type="dxa"/>
            <w:vAlign w:val="center"/>
          </w:tcPr>
          <w:p w:rsidR="00544938" w:rsidRPr="00545D2B" w:rsidRDefault="00544938" w:rsidP="00544938">
            <w:pPr>
              <w:pStyle w:val="Tabletext"/>
              <w:jc w:val="right"/>
            </w:pPr>
            <w:r>
              <w:t>30%</w:t>
            </w:r>
          </w:p>
        </w:tc>
        <w:tc>
          <w:tcPr>
            <w:tcW w:w="1417" w:type="dxa"/>
            <w:vAlign w:val="center"/>
          </w:tcPr>
          <w:p w:rsidR="00544938" w:rsidRPr="00545D2B" w:rsidRDefault="00544938" w:rsidP="00544938">
            <w:pPr>
              <w:pStyle w:val="Tabletext"/>
              <w:jc w:val="right"/>
            </w:pPr>
            <w:r>
              <w:t>16</w:t>
            </w:r>
            <w:r w:rsidRPr="00545D2B">
              <w:t>%</w:t>
            </w:r>
          </w:p>
        </w:tc>
        <w:tc>
          <w:tcPr>
            <w:tcW w:w="1417" w:type="dxa"/>
            <w:vAlign w:val="center"/>
          </w:tcPr>
          <w:p w:rsidR="00544938" w:rsidRPr="00545D2B" w:rsidRDefault="00544938" w:rsidP="00544938">
            <w:pPr>
              <w:pStyle w:val="Tabletext"/>
              <w:jc w:val="right"/>
            </w:pPr>
            <w:r>
              <w:t>11</w:t>
            </w:r>
            <w:r w:rsidRPr="00545D2B">
              <w:t>%</w:t>
            </w:r>
          </w:p>
        </w:tc>
        <w:tc>
          <w:tcPr>
            <w:tcW w:w="1417" w:type="dxa"/>
            <w:vAlign w:val="center"/>
          </w:tcPr>
          <w:p w:rsidR="00544938" w:rsidRPr="00545D2B" w:rsidRDefault="00544938" w:rsidP="00544938">
            <w:pPr>
              <w:pStyle w:val="Tabletext"/>
              <w:jc w:val="right"/>
            </w:pPr>
            <w:r>
              <w:t>6%</w:t>
            </w:r>
          </w:p>
        </w:tc>
        <w:tc>
          <w:tcPr>
            <w:tcW w:w="1417" w:type="dxa"/>
            <w:vAlign w:val="center"/>
          </w:tcPr>
          <w:p w:rsidR="00544938" w:rsidRPr="00545D2B" w:rsidRDefault="00544938" w:rsidP="00544938">
            <w:pPr>
              <w:pStyle w:val="Tabletext"/>
              <w:jc w:val="right"/>
            </w:pPr>
            <w:r w:rsidRPr="00545D2B">
              <w:t>100%</w:t>
            </w:r>
          </w:p>
        </w:tc>
      </w:tr>
      <w:tr w:rsidR="00544938" w:rsidTr="00544938">
        <w:tc>
          <w:tcPr>
            <w:tcW w:w="2041" w:type="dxa"/>
          </w:tcPr>
          <w:p w:rsidR="00544938" w:rsidRPr="00545D2B" w:rsidRDefault="00544938" w:rsidP="00544938">
            <w:pPr>
              <w:pStyle w:val="Tabletext"/>
            </w:pPr>
            <w:r w:rsidRPr="00545D2B">
              <w:t>Northern Territory</w:t>
            </w:r>
          </w:p>
        </w:tc>
        <w:tc>
          <w:tcPr>
            <w:tcW w:w="1417" w:type="dxa"/>
            <w:vAlign w:val="center"/>
          </w:tcPr>
          <w:p w:rsidR="00544938" w:rsidRPr="00545D2B" w:rsidRDefault="00544938" w:rsidP="00544938">
            <w:pPr>
              <w:pStyle w:val="Tabletext"/>
              <w:jc w:val="right"/>
            </w:pPr>
            <w:r>
              <w:t>32</w:t>
            </w:r>
            <w:r w:rsidRPr="00545D2B">
              <w:t>%</w:t>
            </w:r>
          </w:p>
        </w:tc>
        <w:tc>
          <w:tcPr>
            <w:tcW w:w="1417" w:type="dxa"/>
            <w:vAlign w:val="center"/>
          </w:tcPr>
          <w:p w:rsidR="00544938" w:rsidRPr="00545D2B" w:rsidRDefault="00544938" w:rsidP="00544938">
            <w:pPr>
              <w:pStyle w:val="Tabletext"/>
              <w:jc w:val="right"/>
            </w:pPr>
            <w:r>
              <w:t>21</w:t>
            </w:r>
            <w:r w:rsidRPr="00545D2B">
              <w:t>%</w:t>
            </w:r>
          </w:p>
        </w:tc>
        <w:tc>
          <w:tcPr>
            <w:tcW w:w="1417" w:type="dxa"/>
            <w:vAlign w:val="center"/>
          </w:tcPr>
          <w:p w:rsidR="00544938" w:rsidRPr="00545D2B" w:rsidRDefault="00544938" w:rsidP="00544938">
            <w:pPr>
              <w:pStyle w:val="Tabletext"/>
              <w:jc w:val="right"/>
            </w:pPr>
            <w:r>
              <w:t>23</w:t>
            </w:r>
            <w:r w:rsidRPr="00545D2B">
              <w:t>%</w:t>
            </w:r>
          </w:p>
        </w:tc>
        <w:tc>
          <w:tcPr>
            <w:tcW w:w="1417" w:type="dxa"/>
            <w:vAlign w:val="center"/>
          </w:tcPr>
          <w:p w:rsidR="00544938" w:rsidRPr="00545D2B" w:rsidRDefault="00544938" w:rsidP="00544938">
            <w:pPr>
              <w:pStyle w:val="Tabletext"/>
              <w:jc w:val="right"/>
            </w:pPr>
            <w:r>
              <w:t>13%</w:t>
            </w:r>
          </w:p>
        </w:tc>
        <w:tc>
          <w:tcPr>
            <w:tcW w:w="1417" w:type="dxa"/>
            <w:vAlign w:val="center"/>
          </w:tcPr>
          <w:p w:rsidR="00544938" w:rsidRPr="00545D2B" w:rsidRDefault="00544938" w:rsidP="00544938">
            <w:pPr>
              <w:pStyle w:val="Tabletext"/>
              <w:jc w:val="right"/>
            </w:pPr>
            <w:r>
              <w:t>11%</w:t>
            </w:r>
          </w:p>
        </w:tc>
        <w:tc>
          <w:tcPr>
            <w:tcW w:w="1417" w:type="dxa"/>
            <w:vAlign w:val="center"/>
          </w:tcPr>
          <w:p w:rsidR="00544938" w:rsidRPr="00545D2B" w:rsidRDefault="00544938" w:rsidP="00544938">
            <w:pPr>
              <w:pStyle w:val="Tabletext"/>
              <w:jc w:val="right"/>
            </w:pPr>
            <w:r>
              <w:t>100</w:t>
            </w:r>
            <w:r w:rsidRPr="00545D2B">
              <w:t>%</w:t>
            </w:r>
          </w:p>
        </w:tc>
      </w:tr>
      <w:tr w:rsidR="00544938" w:rsidTr="00544938">
        <w:tc>
          <w:tcPr>
            <w:tcW w:w="2041" w:type="dxa"/>
          </w:tcPr>
          <w:p w:rsidR="00544938" w:rsidRPr="00545D2B" w:rsidRDefault="00544938" w:rsidP="00544938">
            <w:pPr>
              <w:pStyle w:val="Tabletext"/>
            </w:pPr>
            <w:r w:rsidRPr="00545D2B">
              <w:t>Commonwealth</w:t>
            </w:r>
          </w:p>
        </w:tc>
        <w:tc>
          <w:tcPr>
            <w:tcW w:w="1417" w:type="dxa"/>
            <w:vAlign w:val="center"/>
          </w:tcPr>
          <w:p w:rsidR="00544938" w:rsidRPr="00545D2B" w:rsidRDefault="00544938" w:rsidP="00544938">
            <w:pPr>
              <w:pStyle w:val="Tabletext"/>
              <w:jc w:val="right"/>
            </w:pPr>
            <w:r>
              <w:t>38</w:t>
            </w:r>
            <w:r w:rsidRPr="00545D2B">
              <w:t>%</w:t>
            </w:r>
          </w:p>
        </w:tc>
        <w:tc>
          <w:tcPr>
            <w:tcW w:w="1417" w:type="dxa"/>
            <w:vAlign w:val="center"/>
          </w:tcPr>
          <w:p w:rsidR="00544938" w:rsidRPr="00545D2B" w:rsidRDefault="00544938" w:rsidP="00544938">
            <w:pPr>
              <w:pStyle w:val="Tabletext"/>
              <w:jc w:val="right"/>
            </w:pPr>
            <w:r>
              <w:t>29</w:t>
            </w:r>
            <w:r w:rsidRPr="00545D2B">
              <w:t>%</w:t>
            </w:r>
          </w:p>
        </w:tc>
        <w:tc>
          <w:tcPr>
            <w:tcW w:w="1417" w:type="dxa"/>
            <w:vAlign w:val="center"/>
          </w:tcPr>
          <w:p w:rsidR="00544938" w:rsidRPr="00545D2B" w:rsidRDefault="00544938" w:rsidP="00544938">
            <w:pPr>
              <w:pStyle w:val="Tabletext"/>
              <w:jc w:val="right"/>
            </w:pPr>
            <w:r w:rsidRPr="00545D2B">
              <w:t>17%</w:t>
            </w:r>
          </w:p>
        </w:tc>
        <w:tc>
          <w:tcPr>
            <w:tcW w:w="1417" w:type="dxa"/>
            <w:vAlign w:val="center"/>
          </w:tcPr>
          <w:p w:rsidR="00544938" w:rsidRPr="00545D2B" w:rsidRDefault="00544938" w:rsidP="00544938">
            <w:pPr>
              <w:pStyle w:val="Tabletext"/>
              <w:jc w:val="right"/>
            </w:pPr>
            <w:r>
              <w:t>6</w:t>
            </w:r>
            <w:r w:rsidRPr="00545D2B">
              <w:t>%</w:t>
            </w:r>
          </w:p>
        </w:tc>
        <w:tc>
          <w:tcPr>
            <w:tcW w:w="1417" w:type="dxa"/>
            <w:vAlign w:val="center"/>
          </w:tcPr>
          <w:p w:rsidR="00544938" w:rsidRPr="00545D2B" w:rsidRDefault="00544938" w:rsidP="00544938">
            <w:pPr>
              <w:pStyle w:val="Tabletext"/>
              <w:jc w:val="right"/>
            </w:pPr>
            <w:r>
              <w:t>6</w:t>
            </w:r>
            <w:r w:rsidRPr="00545D2B">
              <w:t>%</w:t>
            </w:r>
          </w:p>
        </w:tc>
        <w:tc>
          <w:tcPr>
            <w:tcW w:w="1417" w:type="dxa"/>
            <w:vAlign w:val="center"/>
          </w:tcPr>
          <w:p w:rsidR="00544938" w:rsidRPr="00545D2B" w:rsidRDefault="00544938" w:rsidP="00544938">
            <w:pPr>
              <w:pStyle w:val="Tabletext"/>
              <w:jc w:val="right"/>
            </w:pPr>
            <w:r w:rsidRPr="00545D2B">
              <w:t>100%</w:t>
            </w:r>
          </w:p>
        </w:tc>
      </w:tr>
      <w:tr w:rsidR="00544938" w:rsidTr="00544938">
        <w:tc>
          <w:tcPr>
            <w:tcW w:w="2041" w:type="dxa"/>
          </w:tcPr>
          <w:p w:rsidR="00544938" w:rsidRPr="00545D2B" w:rsidRDefault="00544938" w:rsidP="00544938">
            <w:pPr>
              <w:pStyle w:val="Tabletext"/>
            </w:pPr>
            <w:r w:rsidRPr="00545D2B">
              <w:t>Total</w:t>
            </w:r>
          </w:p>
        </w:tc>
        <w:tc>
          <w:tcPr>
            <w:tcW w:w="1417" w:type="dxa"/>
            <w:vAlign w:val="center"/>
          </w:tcPr>
          <w:p w:rsidR="00544938" w:rsidRPr="00545D2B" w:rsidRDefault="00544938" w:rsidP="00544938">
            <w:pPr>
              <w:pStyle w:val="Tabletext"/>
              <w:jc w:val="right"/>
            </w:pPr>
            <w:r>
              <w:t>36%</w:t>
            </w:r>
          </w:p>
        </w:tc>
        <w:tc>
          <w:tcPr>
            <w:tcW w:w="1417" w:type="dxa"/>
            <w:vAlign w:val="center"/>
          </w:tcPr>
          <w:p w:rsidR="00544938" w:rsidRPr="00545D2B" w:rsidRDefault="00544938" w:rsidP="00544938">
            <w:pPr>
              <w:pStyle w:val="Tabletext"/>
              <w:jc w:val="right"/>
            </w:pPr>
            <w:r>
              <w:t>28%</w:t>
            </w:r>
          </w:p>
        </w:tc>
        <w:tc>
          <w:tcPr>
            <w:tcW w:w="1417" w:type="dxa"/>
            <w:vAlign w:val="center"/>
          </w:tcPr>
          <w:p w:rsidR="00544938" w:rsidRPr="00545D2B" w:rsidRDefault="00544938" w:rsidP="00544938">
            <w:pPr>
              <w:pStyle w:val="Tabletext"/>
              <w:jc w:val="right"/>
            </w:pPr>
            <w:r>
              <w:t>17%</w:t>
            </w:r>
          </w:p>
        </w:tc>
        <w:tc>
          <w:tcPr>
            <w:tcW w:w="1417" w:type="dxa"/>
            <w:vAlign w:val="center"/>
          </w:tcPr>
          <w:p w:rsidR="00544938" w:rsidRPr="00545D2B" w:rsidRDefault="00544938" w:rsidP="00544938">
            <w:pPr>
              <w:pStyle w:val="Tabletext"/>
              <w:jc w:val="right"/>
            </w:pPr>
            <w:r>
              <w:t>10%</w:t>
            </w:r>
          </w:p>
        </w:tc>
        <w:tc>
          <w:tcPr>
            <w:tcW w:w="1417" w:type="dxa"/>
            <w:vAlign w:val="center"/>
          </w:tcPr>
          <w:p w:rsidR="00544938" w:rsidRPr="00545D2B" w:rsidRDefault="00544938" w:rsidP="00544938">
            <w:pPr>
              <w:pStyle w:val="Tabletext"/>
              <w:jc w:val="right"/>
            </w:pPr>
            <w:r>
              <w:t>9%</w:t>
            </w:r>
          </w:p>
        </w:tc>
        <w:tc>
          <w:tcPr>
            <w:tcW w:w="1417" w:type="dxa"/>
            <w:vAlign w:val="center"/>
          </w:tcPr>
          <w:p w:rsidR="00544938" w:rsidRDefault="00544938" w:rsidP="00544938">
            <w:pPr>
              <w:pStyle w:val="Tabletext"/>
              <w:jc w:val="right"/>
            </w:pPr>
            <w:r w:rsidRPr="00545D2B">
              <w:t>100%</w:t>
            </w:r>
          </w:p>
        </w:tc>
      </w:tr>
    </w:tbl>
    <w:p w:rsidR="00900086" w:rsidRDefault="00900086">
      <w:r>
        <w:br w:type="page"/>
      </w:r>
    </w:p>
    <w:p w:rsidR="00900086" w:rsidRDefault="005F7B95" w:rsidP="001F42A8">
      <w:pPr>
        <w:pStyle w:val="Heading1"/>
      </w:pPr>
      <w:bookmarkStart w:id="48" w:name="_Toc427590879"/>
      <w:r>
        <w:t>Hospitalisation of construction workers</w:t>
      </w:r>
      <w:bookmarkEnd w:id="48"/>
    </w:p>
    <w:p w:rsidR="00900086" w:rsidRDefault="00900086" w:rsidP="00513A50">
      <w:pPr>
        <w:pStyle w:val="BodyText1"/>
      </w:pPr>
      <w:r w:rsidRPr="00900086">
        <w:t xml:space="preserve">Over the three-year period July 2006 to June 2009, there were 8300 work-related </w:t>
      </w:r>
      <w:proofErr w:type="spellStart"/>
      <w:r w:rsidRPr="00900086">
        <w:t>hospitalisations</w:t>
      </w:r>
      <w:proofErr w:type="spellEnd"/>
      <w:r w:rsidRPr="00900086">
        <w:t xml:space="preserve"> where the industry sector of the worker was recorded as construction. However, since industry sector was not recorded for 39% of </w:t>
      </w:r>
      <w:proofErr w:type="spellStart"/>
      <w:r w:rsidRPr="00900086">
        <w:t>hospitalisations</w:t>
      </w:r>
      <w:proofErr w:type="spellEnd"/>
      <w:r w:rsidRPr="00900086">
        <w:t xml:space="preserve"> for a work-related injury, the number of </w:t>
      </w:r>
      <w:proofErr w:type="spellStart"/>
      <w:r w:rsidRPr="00900086">
        <w:t>hospitalisations</w:t>
      </w:r>
      <w:proofErr w:type="spellEnd"/>
      <w:r w:rsidRPr="00900086">
        <w:t xml:space="preserve"> recorded against the construction industry may be understated.</w:t>
      </w:r>
    </w:p>
    <w:p w:rsidR="00900086" w:rsidRPr="00900086" w:rsidRDefault="00900086" w:rsidP="00513A50">
      <w:pPr>
        <w:pStyle w:val="BodyText1"/>
      </w:pPr>
      <w:r w:rsidRPr="00900086">
        <w:t xml:space="preserve">The following section reproduces data shown in the publication </w:t>
      </w:r>
      <w:r w:rsidRPr="00900086">
        <w:rPr>
          <w:i/>
          <w:iCs/>
        </w:rPr>
        <w:t xml:space="preserve">Work-related injuries resulting in </w:t>
      </w:r>
      <w:proofErr w:type="spellStart"/>
      <w:r w:rsidRPr="00900086">
        <w:rPr>
          <w:i/>
          <w:iCs/>
        </w:rPr>
        <w:t>hospitalisation</w:t>
      </w:r>
      <w:proofErr w:type="spellEnd"/>
      <w:r w:rsidRPr="00900086">
        <w:rPr>
          <w:i/>
          <w:iCs/>
        </w:rPr>
        <w:t>, July 2006 to June 2009</w:t>
      </w:r>
      <w:r w:rsidRPr="00900086">
        <w:t xml:space="preserve"> published in February 2013.</w:t>
      </w:r>
    </w:p>
    <w:p w:rsidR="00900086" w:rsidRPr="00900086" w:rsidRDefault="00900086" w:rsidP="00513A50">
      <w:pPr>
        <w:pStyle w:val="BodyText1"/>
      </w:pPr>
      <w:r w:rsidRPr="00900086">
        <w:t xml:space="preserve">These data are of people that were known to be </w:t>
      </w:r>
      <w:proofErr w:type="spellStart"/>
      <w:r w:rsidRPr="00900086">
        <w:t>hospitalised</w:t>
      </w:r>
      <w:proofErr w:type="spellEnd"/>
      <w:r w:rsidRPr="00900086">
        <w:t xml:space="preserve"> for an injury sustained while working for income in the construction sector. For brevity this group is referred to as ‘construction </w:t>
      </w:r>
      <w:proofErr w:type="spellStart"/>
      <w:r w:rsidRPr="00900086">
        <w:t>hospitalisations’</w:t>
      </w:r>
      <w:proofErr w:type="spellEnd"/>
      <w:r w:rsidRPr="00900086">
        <w:t xml:space="preserve"> in the following discussion.</w:t>
      </w:r>
    </w:p>
    <w:p w:rsidR="00900086" w:rsidRDefault="005F7B95" w:rsidP="00257F90">
      <w:pPr>
        <w:pStyle w:val="Heading2"/>
      </w:pPr>
      <w:bookmarkStart w:id="49" w:name="_Toc427590880"/>
      <w:r>
        <w:t>Causes of injury</w:t>
      </w:r>
      <w:bookmarkEnd w:id="49"/>
    </w:p>
    <w:p w:rsidR="00900086" w:rsidRPr="00900086" w:rsidRDefault="00900086" w:rsidP="00513A50">
      <w:pPr>
        <w:pStyle w:val="BodyText1"/>
      </w:pPr>
      <w:r w:rsidRPr="00900086">
        <w:t xml:space="preserve">Table 37 shows the broad causes of injury among construction </w:t>
      </w:r>
      <w:proofErr w:type="spellStart"/>
      <w:r w:rsidRPr="00900086">
        <w:t>hospitalisations</w:t>
      </w:r>
      <w:proofErr w:type="spellEnd"/>
      <w:r w:rsidRPr="00900086">
        <w:t xml:space="preserve"> and the more common underlying categories. Nearly two-thirds (62%) of construction </w:t>
      </w:r>
      <w:proofErr w:type="spellStart"/>
      <w:r w:rsidRPr="00900086">
        <w:t>hospitalisations</w:t>
      </w:r>
      <w:proofErr w:type="spellEnd"/>
      <w:r w:rsidRPr="00900086">
        <w:t xml:space="preserve"> were the result of exposure to inanimate mechanical forces: a broad group covering a variety of causes.</w:t>
      </w:r>
    </w:p>
    <w:p w:rsidR="00900086" w:rsidRDefault="00900086" w:rsidP="000463B7">
      <w:pPr>
        <w:pStyle w:val="Tableheading"/>
      </w:pPr>
      <w:r>
        <w:t xml:space="preserve">Table 37: Construction work-related </w:t>
      </w:r>
      <w:proofErr w:type="spellStart"/>
      <w:r>
        <w:t>hospitalisations</w:t>
      </w:r>
      <w:proofErr w:type="spellEnd"/>
      <w:r>
        <w:t xml:space="preserve"> July 2006 to June 2009: percentage of </w:t>
      </w:r>
      <w:proofErr w:type="spellStart"/>
      <w:r>
        <w:t>hospitalisations</w:t>
      </w:r>
      <w:proofErr w:type="spellEnd"/>
      <w:r>
        <w:t xml:space="preserve"> by cause of injury</w:t>
      </w:r>
    </w:p>
    <w:tbl>
      <w:tblPr>
        <w:tblStyle w:val="TableGrid"/>
        <w:tblW w:w="0" w:type="auto"/>
        <w:tblLook w:val="04A0" w:firstRow="1" w:lastRow="0" w:firstColumn="1" w:lastColumn="0" w:noHBand="0" w:noVBand="1"/>
        <w:tblCaption w:val="Table 37: Construction work-related hospitalisations July 2006 to June 2009: percentage of hospitalisations by cause of injury"/>
        <w:tblDescription w:val="Table shows the percentage of work-related hospitalisations in the construction injury by the cause of injury."/>
      </w:tblPr>
      <w:tblGrid>
        <w:gridCol w:w="8844"/>
        <w:gridCol w:w="1701"/>
      </w:tblGrid>
      <w:tr w:rsidR="005F7B95" w:rsidTr="00715413">
        <w:trPr>
          <w:trHeight w:val="283"/>
          <w:tblHeader/>
        </w:trPr>
        <w:tc>
          <w:tcPr>
            <w:tcW w:w="8844" w:type="dxa"/>
            <w:shd w:val="clear" w:color="auto" w:fill="D9D9D9" w:themeFill="background1" w:themeFillShade="D9"/>
            <w:vAlign w:val="center"/>
          </w:tcPr>
          <w:p w:rsidR="005F7B95" w:rsidRDefault="005F7B95" w:rsidP="005F7B95">
            <w:pPr>
              <w:pStyle w:val="Tableheaderrow"/>
              <w:jc w:val="left"/>
            </w:pPr>
            <w:r>
              <w:t>Cause of injury</w:t>
            </w:r>
          </w:p>
        </w:tc>
        <w:tc>
          <w:tcPr>
            <w:tcW w:w="1701" w:type="dxa"/>
            <w:shd w:val="clear" w:color="auto" w:fill="D9D9D9" w:themeFill="background1" w:themeFillShade="D9"/>
            <w:vAlign w:val="center"/>
          </w:tcPr>
          <w:p w:rsidR="005F7B95" w:rsidRDefault="005F7B95" w:rsidP="005F7B95">
            <w:pPr>
              <w:pStyle w:val="Tableheaderrow"/>
              <w:jc w:val="right"/>
            </w:pPr>
            <w:r>
              <w:t>Percentage</w:t>
            </w:r>
          </w:p>
        </w:tc>
      </w:tr>
      <w:tr w:rsidR="005F7B95" w:rsidTr="005F7B95">
        <w:tc>
          <w:tcPr>
            <w:tcW w:w="8844" w:type="dxa"/>
          </w:tcPr>
          <w:p w:rsidR="005F7B95" w:rsidRDefault="005F7B95" w:rsidP="005F7B95">
            <w:pPr>
              <w:pStyle w:val="Tablerowheadings"/>
            </w:pPr>
            <w:r>
              <w:t>Exposure to inanimate mechanical forces</w:t>
            </w:r>
          </w:p>
        </w:tc>
        <w:tc>
          <w:tcPr>
            <w:tcW w:w="1701" w:type="dxa"/>
            <w:vAlign w:val="center"/>
          </w:tcPr>
          <w:p w:rsidR="005F7B95" w:rsidRDefault="005F7B95" w:rsidP="005F7B95">
            <w:pPr>
              <w:pStyle w:val="Tablerowheadings"/>
              <w:jc w:val="right"/>
            </w:pPr>
            <w:r>
              <w:t>62%</w:t>
            </w:r>
          </w:p>
        </w:tc>
      </w:tr>
      <w:tr w:rsidR="005F7B95" w:rsidTr="005F7B95">
        <w:tc>
          <w:tcPr>
            <w:tcW w:w="8844" w:type="dxa"/>
          </w:tcPr>
          <w:p w:rsidR="005F7B95" w:rsidRDefault="005F7B95" w:rsidP="005F7B95">
            <w:pPr>
              <w:pStyle w:val="Tabletext"/>
            </w:pPr>
            <w:r>
              <w:t>Contact with other &amp; unspecified machinery</w:t>
            </w:r>
          </w:p>
        </w:tc>
        <w:tc>
          <w:tcPr>
            <w:tcW w:w="1701" w:type="dxa"/>
            <w:vAlign w:val="center"/>
          </w:tcPr>
          <w:p w:rsidR="005F7B95" w:rsidRDefault="005F7B95" w:rsidP="005F7B95">
            <w:pPr>
              <w:pStyle w:val="Tabletext"/>
              <w:jc w:val="right"/>
            </w:pPr>
            <w:r>
              <w:t>15%</w:t>
            </w:r>
          </w:p>
        </w:tc>
      </w:tr>
      <w:tr w:rsidR="005F7B95" w:rsidTr="005F7B95">
        <w:tc>
          <w:tcPr>
            <w:tcW w:w="8844" w:type="dxa"/>
          </w:tcPr>
          <w:p w:rsidR="005F7B95" w:rsidRDefault="005F7B95" w:rsidP="005F7B95">
            <w:pPr>
              <w:pStyle w:val="Tabletext"/>
            </w:pPr>
            <w:r>
              <w:t>Contact with woodworking &amp; forming machinery</w:t>
            </w:r>
          </w:p>
        </w:tc>
        <w:tc>
          <w:tcPr>
            <w:tcW w:w="1701" w:type="dxa"/>
            <w:vAlign w:val="center"/>
          </w:tcPr>
          <w:p w:rsidR="005F7B95" w:rsidRDefault="005F7B95" w:rsidP="005F7B95">
            <w:pPr>
              <w:pStyle w:val="Tabletext"/>
              <w:jc w:val="right"/>
            </w:pPr>
            <w:r>
              <w:t>8%</w:t>
            </w:r>
          </w:p>
        </w:tc>
      </w:tr>
      <w:tr w:rsidR="005F7B95" w:rsidTr="005F7B95">
        <w:tc>
          <w:tcPr>
            <w:tcW w:w="8844" w:type="dxa"/>
          </w:tcPr>
          <w:p w:rsidR="005F7B95" w:rsidRDefault="005F7B95" w:rsidP="005F7B95">
            <w:pPr>
              <w:pStyle w:val="Tabletext"/>
            </w:pPr>
            <w:r>
              <w:t>Contact with metalworking machinery</w:t>
            </w:r>
          </w:p>
        </w:tc>
        <w:tc>
          <w:tcPr>
            <w:tcW w:w="1701" w:type="dxa"/>
            <w:vAlign w:val="center"/>
          </w:tcPr>
          <w:p w:rsidR="005F7B95" w:rsidRDefault="005F7B95" w:rsidP="005F7B95">
            <w:pPr>
              <w:pStyle w:val="Tabletext"/>
              <w:jc w:val="right"/>
            </w:pPr>
            <w:r>
              <w:t>3%</w:t>
            </w:r>
          </w:p>
        </w:tc>
      </w:tr>
      <w:tr w:rsidR="005F7B95" w:rsidTr="005F7B95">
        <w:tc>
          <w:tcPr>
            <w:tcW w:w="8844" w:type="dxa"/>
          </w:tcPr>
          <w:p w:rsidR="005F7B95" w:rsidRDefault="005F7B95" w:rsidP="005F7B95">
            <w:pPr>
              <w:pStyle w:val="Tabletext"/>
            </w:pPr>
            <w:r>
              <w:t>Contact with earthmoving, scraping &amp; other excavating machinery</w:t>
            </w:r>
          </w:p>
        </w:tc>
        <w:tc>
          <w:tcPr>
            <w:tcW w:w="1701" w:type="dxa"/>
            <w:vAlign w:val="center"/>
          </w:tcPr>
          <w:p w:rsidR="005F7B95" w:rsidRDefault="005F7B95" w:rsidP="005F7B95">
            <w:pPr>
              <w:pStyle w:val="Tabletext"/>
              <w:jc w:val="right"/>
            </w:pPr>
            <w:r>
              <w:t>1%</w:t>
            </w:r>
          </w:p>
        </w:tc>
      </w:tr>
      <w:tr w:rsidR="005F7B95" w:rsidTr="005F7B95">
        <w:tc>
          <w:tcPr>
            <w:tcW w:w="8844" w:type="dxa"/>
          </w:tcPr>
          <w:p w:rsidR="005F7B95" w:rsidRDefault="005F7B95" w:rsidP="005F7B95">
            <w:pPr>
              <w:pStyle w:val="Tabletext"/>
            </w:pPr>
            <w:r>
              <w:t>Contact with other powered hand tools &amp; household machinery</w:t>
            </w:r>
          </w:p>
        </w:tc>
        <w:tc>
          <w:tcPr>
            <w:tcW w:w="1701" w:type="dxa"/>
            <w:vAlign w:val="center"/>
          </w:tcPr>
          <w:p w:rsidR="005F7B95" w:rsidRDefault="005F7B95" w:rsidP="005F7B95">
            <w:pPr>
              <w:pStyle w:val="Tabletext"/>
              <w:jc w:val="right"/>
            </w:pPr>
            <w:r>
              <w:t>10%</w:t>
            </w:r>
          </w:p>
        </w:tc>
      </w:tr>
      <w:tr w:rsidR="005F7B95" w:rsidTr="005F7B95">
        <w:tc>
          <w:tcPr>
            <w:tcW w:w="8844" w:type="dxa"/>
          </w:tcPr>
          <w:p w:rsidR="005F7B95" w:rsidRDefault="005F7B95" w:rsidP="005F7B95">
            <w:pPr>
              <w:pStyle w:val="Tabletext"/>
            </w:pPr>
            <w:r>
              <w:t>Struck by thrown, projected or falling object</w:t>
            </w:r>
          </w:p>
        </w:tc>
        <w:tc>
          <w:tcPr>
            <w:tcW w:w="1701" w:type="dxa"/>
            <w:vAlign w:val="center"/>
          </w:tcPr>
          <w:p w:rsidR="005F7B95" w:rsidRDefault="005F7B95" w:rsidP="005F7B95">
            <w:pPr>
              <w:pStyle w:val="Tabletext"/>
              <w:jc w:val="right"/>
            </w:pPr>
            <w:r>
              <w:t>9%</w:t>
            </w:r>
          </w:p>
        </w:tc>
      </w:tr>
      <w:tr w:rsidR="005F7B95" w:rsidTr="005F7B95">
        <w:tc>
          <w:tcPr>
            <w:tcW w:w="8844" w:type="dxa"/>
          </w:tcPr>
          <w:p w:rsidR="005F7B95" w:rsidRDefault="005F7B95" w:rsidP="005F7B95">
            <w:pPr>
              <w:pStyle w:val="Tabletext"/>
            </w:pPr>
            <w:r>
              <w:t>Foreign body or object entering through skin</w:t>
            </w:r>
          </w:p>
        </w:tc>
        <w:tc>
          <w:tcPr>
            <w:tcW w:w="1701" w:type="dxa"/>
            <w:vAlign w:val="center"/>
          </w:tcPr>
          <w:p w:rsidR="005F7B95" w:rsidRDefault="005F7B95" w:rsidP="005F7B95">
            <w:pPr>
              <w:pStyle w:val="Tabletext"/>
              <w:jc w:val="right"/>
            </w:pPr>
            <w:r>
              <w:t>7%</w:t>
            </w:r>
          </w:p>
        </w:tc>
      </w:tr>
      <w:tr w:rsidR="005F7B95" w:rsidTr="005F7B95">
        <w:tc>
          <w:tcPr>
            <w:tcW w:w="8844" w:type="dxa"/>
          </w:tcPr>
          <w:p w:rsidR="005F7B95" w:rsidRDefault="005F7B95" w:rsidP="005F7B95">
            <w:pPr>
              <w:pStyle w:val="Tabletext"/>
            </w:pPr>
            <w:r>
              <w:t>Caught, crushed, jammed or pinched in or between objects</w:t>
            </w:r>
          </w:p>
        </w:tc>
        <w:tc>
          <w:tcPr>
            <w:tcW w:w="1701" w:type="dxa"/>
            <w:vAlign w:val="center"/>
          </w:tcPr>
          <w:p w:rsidR="005F7B95" w:rsidRDefault="005F7B95" w:rsidP="005F7B95">
            <w:pPr>
              <w:pStyle w:val="Tabletext"/>
              <w:jc w:val="right"/>
            </w:pPr>
            <w:r>
              <w:t>6%</w:t>
            </w:r>
          </w:p>
        </w:tc>
      </w:tr>
      <w:tr w:rsidR="005F7B95" w:rsidTr="00B8697E">
        <w:tc>
          <w:tcPr>
            <w:tcW w:w="8844" w:type="dxa"/>
          </w:tcPr>
          <w:p w:rsidR="005F7B95" w:rsidRDefault="00210C69" w:rsidP="005F7B95">
            <w:pPr>
              <w:pStyle w:val="Tabletext"/>
            </w:pPr>
            <w:r>
              <w:t>Striking against or struck by other objects</w:t>
            </w:r>
          </w:p>
        </w:tc>
        <w:tc>
          <w:tcPr>
            <w:tcW w:w="1701" w:type="dxa"/>
            <w:vAlign w:val="center"/>
          </w:tcPr>
          <w:p w:rsidR="005F7B95" w:rsidRDefault="00210C69" w:rsidP="00B8697E">
            <w:pPr>
              <w:pStyle w:val="Tabletext"/>
              <w:jc w:val="right"/>
            </w:pPr>
            <w:r>
              <w:t>3%</w:t>
            </w:r>
          </w:p>
        </w:tc>
      </w:tr>
      <w:tr w:rsidR="00210C69" w:rsidTr="00B8697E">
        <w:tc>
          <w:tcPr>
            <w:tcW w:w="8844" w:type="dxa"/>
          </w:tcPr>
          <w:p w:rsidR="00210C69" w:rsidRDefault="00210C69" w:rsidP="005F7B95">
            <w:pPr>
              <w:pStyle w:val="Tabletext"/>
            </w:pPr>
            <w:r>
              <w:t>Contact with non-powered hand tool</w:t>
            </w:r>
          </w:p>
        </w:tc>
        <w:tc>
          <w:tcPr>
            <w:tcW w:w="1701" w:type="dxa"/>
            <w:vAlign w:val="center"/>
          </w:tcPr>
          <w:p w:rsidR="00210C69" w:rsidRDefault="00210C69" w:rsidP="00B8697E">
            <w:pPr>
              <w:pStyle w:val="Tabletext"/>
              <w:jc w:val="right"/>
            </w:pPr>
            <w:r>
              <w:t>3%</w:t>
            </w:r>
          </w:p>
        </w:tc>
      </w:tr>
      <w:tr w:rsidR="00210C69" w:rsidRPr="00B8697E" w:rsidTr="00B8697E">
        <w:tc>
          <w:tcPr>
            <w:tcW w:w="8844" w:type="dxa"/>
          </w:tcPr>
          <w:p w:rsidR="00210C69" w:rsidRPr="00B8697E" w:rsidRDefault="00210C69" w:rsidP="00B8697E">
            <w:pPr>
              <w:pStyle w:val="Tablerowheadings"/>
            </w:pPr>
            <w:r w:rsidRPr="00B8697E">
              <w:t>Falls</w:t>
            </w:r>
          </w:p>
        </w:tc>
        <w:tc>
          <w:tcPr>
            <w:tcW w:w="1701" w:type="dxa"/>
            <w:vAlign w:val="center"/>
          </w:tcPr>
          <w:p w:rsidR="00210C69" w:rsidRPr="00B8697E" w:rsidRDefault="00210C69" w:rsidP="00B8697E">
            <w:pPr>
              <w:pStyle w:val="Tablerowheadings"/>
              <w:jc w:val="right"/>
            </w:pPr>
            <w:r w:rsidRPr="00B8697E">
              <w:t>24%</w:t>
            </w:r>
          </w:p>
        </w:tc>
      </w:tr>
      <w:tr w:rsidR="00210C69" w:rsidTr="00B8697E">
        <w:tc>
          <w:tcPr>
            <w:tcW w:w="8844" w:type="dxa"/>
          </w:tcPr>
          <w:p w:rsidR="00210C69" w:rsidRDefault="00210C69" w:rsidP="005F7B95">
            <w:pPr>
              <w:pStyle w:val="Tabletext"/>
            </w:pPr>
            <w:r>
              <w:t>Fall from, out of or through building or structure</w:t>
            </w:r>
          </w:p>
        </w:tc>
        <w:tc>
          <w:tcPr>
            <w:tcW w:w="1701" w:type="dxa"/>
            <w:vAlign w:val="center"/>
          </w:tcPr>
          <w:p w:rsidR="00210C69" w:rsidRDefault="00210C69" w:rsidP="00B8697E">
            <w:pPr>
              <w:pStyle w:val="Tabletext"/>
              <w:jc w:val="right"/>
            </w:pPr>
            <w:r>
              <w:t>8%</w:t>
            </w:r>
          </w:p>
        </w:tc>
      </w:tr>
      <w:tr w:rsidR="00210C69" w:rsidTr="00B8697E">
        <w:tc>
          <w:tcPr>
            <w:tcW w:w="8844" w:type="dxa"/>
          </w:tcPr>
          <w:p w:rsidR="00210C69" w:rsidRDefault="00210C69" w:rsidP="005F7B95">
            <w:pPr>
              <w:pStyle w:val="Tabletext"/>
            </w:pPr>
            <w:r>
              <w:t>Fall from roof</w:t>
            </w:r>
          </w:p>
        </w:tc>
        <w:tc>
          <w:tcPr>
            <w:tcW w:w="1701" w:type="dxa"/>
            <w:vAlign w:val="center"/>
          </w:tcPr>
          <w:p w:rsidR="00210C69" w:rsidRDefault="00210C69" w:rsidP="00B8697E">
            <w:pPr>
              <w:pStyle w:val="Tabletext"/>
              <w:jc w:val="right"/>
            </w:pPr>
            <w:r>
              <w:t>4%</w:t>
            </w:r>
          </w:p>
        </w:tc>
      </w:tr>
      <w:tr w:rsidR="00210C69" w:rsidTr="00B8697E">
        <w:tc>
          <w:tcPr>
            <w:tcW w:w="8844" w:type="dxa"/>
          </w:tcPr>
          <w:p w:rsidR="00210C69" w:rsidRDefault="00210C69" w:rsidP="005F7B95">
            <w:pPr>
              <w:pStyle w:val="Tabletext"/>
            </w:pPr>
            <w:r>
              <w:t>Fall from, out of or through other specified building or structure</w:t>
            </w:r>
          </w:p>
        </w:tc>
        <w:tc>
          <w:tcPr>
            <w:tcW w:w="1701" w:type="dxa"/>
            <w:vAlign w:val="center"/>
          </w:tcPr>
          <w:p w:rsidR="00210C69" w:rsidRDefault="00210C69" w:rsidP="00B8697E">
            <w:pPr>
              <w:pStyle w:val="Tabletext"/>
              <w:jc w:val="right"/>
            </w:pPr>
            <w:r>
              <w:t>2%</w:t>
            </w:r>
          </w:p>
        </w:tc>
      </w:tr>
      <w:tr w:rsidR="00210C69" w:rsidTr="00B8697E">
        <w:tc>
          <w:tcPr>
            <w:tcW w:w="8844" w:type="dxa"/>
          </w:tcPr>
          <w:p w:rsidR="00210C69" w:rsidRDefault="00210C69" w:rsidP="005F7B95">
            <w:pPr>
              <w:pStyle w:val="Tabletext"/>
            </w:pPr>
            <w:r>
              <w:t>Fall through roof</w:t>
            </w:r>
          </w:p>
        </w:tc>
        <w:tc>
          <w:tcPr>
            <w:tcW w:w="1701" w:type="dxa"/>
            <w:vAlign w:val="center"/>
          </w:tcPr>
          <w:p w:rsidR="00210C69" w:rsidRDefault="00210C69" w:rsidP="00B8697E">
            <w:pPr>
              <w:pStyle w:val="Tabletext"/>
              <w:jc w:val="right"/>
            </w:pPr>
            <w:r>
              <w:t>1%</w:t>
            </w:r>
          </w:p>
        </w:tc>
      </w:tr>
      <w:tr w:rsidR="00210C69" w:rsidTr="00B8697E">
        <w:tc>
          <w:tcPr>
            <w:tcW w:w="8844" w:type="dxa"/>
          </w:tcPr>
          <w:p w:rsidR="00210C69" w:rsidRDefault="00210C69" w:rsidP="005F7B95">
            <w:pPr>
              <w:pStyle w:val="Tabletext"/>
            </w:pPr>
            <w:r>
              <w:t>Fall from, out of or through unspecified building or structure</w:t>
            </w:r>
          </w:p>
        </w:tc>
        <w:tc>
          <w:tcPr>
            <w:tcW w:w="1701" w:type="dxa"/>
            <w:vAlign w:val="center"/>
          </w:tcPr>
          <w:p w:rsidR="00210C69" w:rsidRDefault="00210C69" w:rsidP="00B8697E">
            <w:pPr>
              <w:pStyle w:val="Tabletext"/>
              <w:jc w:val="right"/>
            </w:pPr>
            <w:r>
              <w:t>1%</w:t>
            </w:r>
          </w:p>
        </w:tc>
      </w:tr>
      <w:tr w:rsidR="00210C69" w:rsidTr="00B8697E">
        <w:tc>
          <w:tcPr>
            <w:tcW w:w="8844" w:type="dxa"/>
          </w:tcPr>
          <w:p w:rsidR="00210C69" w:rsidRDefault="00210C69" w:rsidP="005F7B95">
            <w:pPr>
              <w:pStyle w:val="Tabletext"/>
            </w:pPr>
            <w:r>
              <w:t>Fall on &amp; from ladder</w:t>
            </w:r>
          </w:p>
        </w:tc>
        <w:tc>
          <w:tcPr>
            <w:tcW w:w="1701" w:type="dxa"/>
            <w:vAlign w:val="center"/>
          </w:tcPr>
          <w:p w:rsidR="00210C69" w:rsidRDefault="00210C69" w:rsidP="00B8697E">
            <w:pPr>
              <w:pStyle w:val="Tabletext"/>
              <w:jc w:val="right"/>
            </w:pPr>
            <w:r>
              <w:t>6%</w:t>
            </w:r>
          </w:p>
        </w:tc>
      </w:tr>
      <w:tr w:rsidR="00210C69" w:rsidTr="00B8697E">
        <w:tc>
          <w:tcPr>
            <w:tcW w:w="8844" w:type="dxa"/>
          </w:tcPr>
          <w:p w:rsidR="00210C69" w:rsidRDefault="00210C69" w:rsidP="005F7B95">
            <w:pPr>
              <w:pStyle w:val="Tabletext"/>
            </w:pPr>
            <w:r>
              <w:t>Fall on &amp; from scaffolding</w:t>
            </w:r>
          </w:p>
        </w:tc>
        <w:tc>
          <w:tcPr>
            <w:tcW w:w="1701" w:type="dxa"/>
            <w:vAlign w:val="center"/>
          </w:tcPr>
          <w:p w:rsidR="00210C69" w:rsidRDefault="00210C69" w:rsidP="00B8697E">
            <w:pPr>
              <w:pStyle w:val="Tabletext"/>
              <w:jc w:val="right"/>
            </w:pPr>
            <w:r>
              <w:t>4%</w:t>
            </w:r>
          </w:p>
        </w:tc>
      </w:tr>
      <w:tr w:rsidR="00210C69" w:rsidTr="00B8697E">
        <w:tc>
          <w:tcPr>
            <w:tcW w:w="8844" w:type="dxa"/>
          </w:tcPr>
          <w:p w:rsidR="00210C69" w:rsidRDefault="00210C69" w:rsidP="005F7B95">
            <w:pPr>
              <w:pStyle w:val="Tabletext"/>
            </w:pPr>
            <w:r>
              <w:t>Other fall from one level to another</w:t>
            </w:r>
          </w:p>
        </w:tc>
        <w:tc>
          <w:tcPr>
            <w:tcW w:w="1701" w:type="dxa"/>
            <w:vAlign w:val="center"/>
          </w:tcPr>
          <w:p w:rsidR="00210C69" w:rsidRDefault="00210C69" w:rsidP="00B8697E">
            <w:pPr>
              <w:pStyle w:val="Tabletext"/>
              <w:jc w:val="right"/>
            </w:pPr>
            <w:r>
              <w:t>3%</w:t>
            </w:r>
          </w:p>
        </w:tc>
      </w:tr>
      <w:tr w:rsidR="0074670E" w:rsidTr="00B8697E">
        <w:tc>
          <w:tcPr>
            <w:tcW w:w="8844" w:type="dxa"/>
          </w:tcPr>
          <w:p w:rsidR="0074670E" w:rsidRDefault="0074670E" w:rsidP="005F7B95">
            <w:pPr>
              <w:pStyle w:val="Tabletext"/>
            </w:pPr>
            <w:r>
              <w:t>Fall on same level</w:t>
            </w:r>
          </w:p>
        </w:tc>
        <w:tc>
          <w:tcPr>
            <w:tcW w:w="1701" w:type="dxa"/>
            <w:vAlign w:val="center"/>
          </w:tcPr>
          <w:p w:rsidR="0074670E" w:rsidRDefault="0074670E" w:rsidP="00B8697E">
            <w:pPr>
              <w:pStyle w:val="Tabletext"/>
              <w:jc w:val="right"/>
            </w:pPr>
            <w:r>
              <w:t>3%</w:t>
            </w:r>
          </w:p>
        </w:tc>
      </w:tr>
      <w:tr w:rsidR="0074670E" w:rsidTr="00B8697E">
        <w:tc>
          <w:tcPr>
            <w:tcW w:w="8844" w:type="dxa"/>
          </w:tcPr>
          <w:p w:rsidR="0074670E" w:rsidRDefault="0074670E" w:rsidP="005F7B95">
            <w:pPr>
              <w:pStyle w:val="Tabletext"/>
            </w:pPr>
            <w:r>
              <w:t>Fall on &amp; from stairs &amp; steps</w:t>
            </w:r>
          </w:p>
        </w:tc>
        <w:tc>
          <w:tcPr>
            <w:tcW w:w="1701" w:type="dxa"/>
            <w:vAlign w:val="center"/>
          </w:tcPr>
          <w:p w:rsidR="0074670E" w:rsidRDefault="00B8697E" w:rsidP="00B8697E">
            <w:pPr>
              <w:pStyle w:val="Tabletext"/>
              <w:jc w:val="right"/>
            </w:pPr>
            <w:r>
              <w:t>1%</w:t>
            </w:r>
          </w:p>
        </w:tc>
      </w:tr>
      <w:tr w:rsidR="00B8697E" w:rsidTr="00B8697E">
        <w:tc>
          <w:tcPr>
            <w:tcW w:w="8844" w:type="dxa"/>
          </w:tcPr>
          <w:p w:rsidR="00B8697E" w:rsidRDefault="00B8697E" w:rsidP="00B8697E">
            <w:pPr>
              <w:pStyle w:val="Tablerowheadings"/>
            </w:pPr>
            <w:r>
              <w:t>Over-exertion, travel &amp; privation</w:t>
            </w:r>
          </w:p>
        </w:tc>
        <w:tc>
          <w:tcPr>
            <w:tcW w:w="1701" w:type="dxa"/>
            <w:vAlign w:val="center"/>
          </w:tcPr>
          <w:p w:rsidR="00B8697E" w:rsidRDefault="00B8697E" w:rsidP="00B8697E">
            <w:pPr>
              <w:pStyle w:val="Tablerowheadings"/>
              <w:jc w:val="right"/>
            </w:pPr>
            <w:r>
              <w:t>3%</w:t>
            </w:r>
          </w:p>
        </w:tc>
      </w:tr>
      <w:tr w:rsidR="00B8697E" w:rsidTr="00B8697E">
        <w:tc>
          <w:tcPr>
            <w:tcW w:w="8844" w:type="dxa"/>
          </w:tcPr>
          <w:p w:rsidR="00B8697E" w:rsidRDefault="00B8697E" w:rsidP="00B8697E">
            <w:pPr>
              <w:pStyle w:val="Tablerowheadings"/>
            </w:pPr>
            <w:r>
              <w:t>Transport accidents</w:t>
            </w:r>
          </w:p>
        </w:tc>
        <w:tc>
          <w:tcPr>
            <w:tcW w:w="1701" w:type="dxa"/>
            <w:vAlign w:val="center"/>
          </w:tcPr>
          <w:p w:rsidR="00B8697E" w:rsidRDefault="00B8697E" w:rsidP="00B8697E">
            <w:pPr>
              <w:pStyle w:val="Tablerowheadings"/>
              <w:jc w:val="right"/>
            </w:pPr>
            <w:r>
              <w:t>3%</w:t>
            </w:r>
          </w:p>
        </w:tc>
      </w:tr>
      <w:tr w:rsidR="00B8697E" w:rsidTr="00B8697E">
        <w:tc>
          <w:tcPr>
            <w:tcW w:w="8844" w:type="dxa"/>
          </w:tcPr>
          <w:p w:rsidR="00B8697E" w:rsidRDefault="00B8697E" w:rsidP="00B8697E">
            <w:pPr>
              <w:pStyle w:val="Tablerowheadings"/>
            </w:pPr>
            <w:r>
              <w:t>Other causes of injury</w:t>
            </w:r>
          </w:p>
        </w:tc>
        <w:tc>
          <w:tcPr>
            <w:tcW w:w="1701" w:type="dxa"/>
            <w:vAlign w:val="center"/>
          </w:tcPr>
          <w:p w:rsidR="00B8697E" w:rsidRDefault="00B8697E" w:rsidP="00B8697E">
            <w:pPr>
              <w:pStyle w:val="Tablerowheadings"/>
              <w:jc w:val="right"/>
            </w:pPr>
            <w:r>
              <w:t>8%</w:t>
            </w:r>
          </w:p>
        </w:tc>
      </w:tr>
      <w:tr w:rsidR="00B8697E" w:rsidTr="00B8697E">
        <w:tc>
          <w:tcPr>
            <w:tcW w:w="8844" w:type="dxa"/>
          </w:tcPr>
          <w:p w:rsidR="00B8697E" w:rsidRDefault="00B8697E" w:rsidP="00B8697E">
            <w:pPr>
              <w:pStyle w:val="Tablerowheadings"/>
            </w:pPr>
            <w:r>
              <w:t>Total</w:t>
            </w:r>
          </w:p>
        </w:tc>
        <w:tc>
          <w:tcPr>
            <w:tcW w:w="1701" w:type="dxa"/>
            <w:vAlign w:val="center"/>
          </w:tcPr>
          <w:p w:rsidR="00B8697E" w:rsidRDefault="00B8697E" w:rsidP="00B8697E">
            <w:pPr>
              <w:pStyle w:val="Tablerowheadings"/>
              <w:jc w:val="right"/>
            </w:pPr>
            <w:r>
              <w:t>100%</w:t>
            </w:r>
          </w:p>
        </w:tc>
      </w:tr>
    </w:tbl>
    <w:p w:rsidR="00257F90" w:rsidRPr="00257F90" w:rsidRDefault="00257F90" w:rsidP="00257F90">
      <w:pPr>
        <w:pStyle w:val="footnotes"/>
        <w:rPr>
          <w:vertAlign w:val="baseline"/>
        </w:rPr>
      </w:pPr>
      <w:r>
        <w:rPr>
          <w:vertAlign w:val="baseline"/>
        </w:rPr>
        <w:t>Note: Detailed</w:t>
      </w:r>
      <w:r w:rsidRPr="00257F90">
        <w:rPr>
          <w:vertAlign w:val="baseline"/>
        </w:rPr>
        <w:t xml:space="preserve"> sub-categories are </w:t>
      </w:r>
      <w:r>
        <w:rPr>
          <w:vertAlign w:val="baseline"/>
        </w:rPr>
        <w:t>only shown for the largest groups so the sub-categories do not necessarily sum to the percentage shown at the broad level.</w:t>
      </w:r>
    </w:p>
    <w:p w:rsidR="008D72B2" w:rsidRDefault="008D72B2">
      <w:pPr>
        <w:rPr>
          <w:rFonts w:ascii="Arial" w:eastAsiaTheme="majorEastAsia" w:hAnsi="Arial" w:cs="Arial"/>
          <w:b/>
          <w:bCs/>
          <w:color w:val="0070C0"/>
          <w:sz w:val="36"/>
          <w:szCs w:val="26"/>
          <w:lang w:val="en-US"/>
        </w:rPr>
      </w:pPr>
      <w:r>
        <w:br w:type="page"/>
      </w:r>
    </w:p>
    <w:p w:rsidR="00900086" w:rsidRPr="005F7B95" w:rsidRDefault="005F7B95" w:rsidP="00257F90">
      <w:pPr>
        <w:pStyle w:val="Heading2"/>
      </w:pPr>
      <w:bookmarkStart w:id="50" w:name="_Toc427590881"/>
      <w:r w:rsidRPr="005F7B95">
        <w:t>Type of injury and bodily location</w:t>
      </w:r>
      <w:bookmarkEnd w:id="50"/>
    </w:p>
    <w:p w:rsidR="00900086" w:rsidRPr="00900086" w:rsidRDefault="00900086" w:rsidP="00513A50">
      <w:pPr>
        <w:pStyle w:val="BodyText1"/>
      </w:pPr>
      <w:r w:rsidRPr="00900086">
        <w:t xml:space="preserve">The most commonly specified type of injury sustained by construction workers </w:t>
      </w:r>
      <w:proofErr w:type="spellStart"/>
      <w:r w:rsidRPr="00900086">
        <w:t>hospitalised</w:t>
      </w:r>
      <w:proofErr w:type="spellEnd"/>
      <w:r w:rsidRPr="00900086">
        <w:t xml:space="preserve"> because of a work-related injury was </w:t>
      </w:r>
      <w:proofErr w:type="gramStart"/>
      <w:r w:rsidRPr="00900086">
        <w:t>fracture, which were</w:t>
      </w:r>
      <w:proofErr w:type="gramEnd"/>
      <w:r w:rsidRPr="00900086">
        <w:t xml:space="preserve"> responsible for 30% of construction </w:t>
      </w:r>
      <w:proofErr w:type="spellStart"/>
      <w:r w:rsidRPr="00900086">
        <w:t>hospitalisations</w:t>
      </w:r>
      <w:proofErr w:type="spellEnd"/>
      <w:r w:rsidRPr="00900086">
        <w:t xml:space="preserve"> over the period June 2006 to July 2009. Other common types of injury were open wound (23%) and injuries to muscle &amp; tendons (14%).</w:t>
      </w:r>
    </w:p>
    <w:p w:rsidR="00900086" w:rsidRDefault="00900086" w:rsidP="00513A50">
      <w:pPr>
        <w:pStyle w:val="BodyText1"/>
      </w:pPr>
      <w:r w:rsidRPr="00900086">
        <w:t xml:space="preserve">The most common bodily location of injury was the wrist &amp; hand, which accounted for 43% of construction </w:t>
      </w:r>
      <w:proofErr w:type="spellStart"/>
      <w:r w:rsidRPr="00900086">
        <w:t>hospitalisations</w:t>
      </w:r>
      <w:proofErr w:type="spellEnd"/>
      <w:r w:rsidRPr="00900086">
        <w:t xml:space="preserve">. </w:t>
      </w:r>
    </w:p>
    <w:p w:rsidR="00900086" w:rsidRDefault="00900086" w:rsidP="00513A50">
      <w:pPr>
        <w:pStyle w:val="BodyText1"/>
      </w:pPr>
      <w:r w:rsidRPr="00900086">
        <w:t xml:space="preserve">Table 38 shows a breakdown of the type of injury by the bodily location of the injury. </w:t>
      </w:r>
    </w:p>
    <w:p w:rsidR="00900086" w:rsidRDefault="00900086" w:rsidP="000463B7">
      <w:pPr>
        <w:pStyle w:val="Tableheading"/>
      </w:pPr>
      <w:r>
        <w:t xml:space="preserve">Table 38: </w:t>
      </w:r>
      <w:r w:rsidRPr="00900086">
        <w:t xml:space="preserve">Construction work-related </w:t>
      </w:r>
      <w:proofErr w:type="spellStart"/>
      <w:r w:rsidRPr="00900086">
        <w:t>hospitalisations</w:t>
      </w:r>
      <w:proofErr w:type="spellEnd"/>
      <w:r w:rsidRPr="00900086">
        <w:t xml:space="preserve"> July 2006 to June 2009: percentage of </w:t>
      </w:r>
      <w:proofErr w:type="spellStart"/>
      <w:r w:rsidRPr="00900086">
        <w:t>hospitalisations</w:t>
      </w:r>
      <w:proofErr w:type="spellEnd"/>
      <w:r w:rsidRPr="00900086">
        <w:t xml:space="preserve"> by type of injury and bodily location</w:t>
      </w:r>
    </w:p>
    <w:tbl>
      <w:tblPr>
        <w:tblStyle w:val="TableGrid"/>
        <w:tblW w:w="0" w:type="auto"/>
        <w:tblLook w:val="04A0" w:firstRow="1" w:lastRow="0" w:firstColumn="1" w:lastColumn="0" w:noHBand="0" w:noVBand="1"/>
        <w:tblCaption w:val="Table 38: Construction work-related hospitalisations July 2006 to June 2009: percentage of hospitalisations by type of injury and bodily location"/>
        <w:tblDescription w:val="Table shows the percentage of work-related hospitalisations in the construction industry by type of injury and bodily location of injury."/>
      </w:tblPr>
      <w:tblGrid>
        <w:gridCol w:w="5341"/>
        <w:gridCol w:w="5341"/>
      </w:tblGrid>
      <w:tr w:rsidR="00B8697E" w:rsidTr="00715413">
        <w:trPr>
          <w:tblHeader/>
        </w:trPr>
        <w:tc>
          <w:tcPr>
            <w:tcW w:w="5341" w:type="dxa"/>
            <w:vAlign w:val="center"/>
          </w:tcPr>
          <w:p w:rsidR="00B8697E" w:rsidRDefault="00B8697E" w:rsidP="00B8697E">
            <w:pPr>
              <w:pStyle w:val="Tableheaderrow"/>
              <w:jc w:val="left"/>
            </w:pPr>
            <w:r>
              <w:t>Type of injury and bodily location</w:t>
            </w:r>
          </w:p>
        </w:tc>
        <w:tc>
          <w:tcPr>
            <w:tcW w:w="5341" w:type="dxa"/>
            <w:vAlign w:val="center"/>
          </w:tcPr>
          <w:p w:rsidR="00B8697E" w:rsidRDefault="00B8697E" w:rsidP="00B8697E">
            <w:pPr>
              <w:pStyle w:val="Tableheaderrow"/>
              <w:jc w:val="right"/>
            </w:pPr>
            <w:r>
              <w:t>Total</w:t>
            </w:r>
          </w:p>
        </w:tc>
      </w:tr>
      <w:tr w:rsidR="00B8697E" w:rsidTr="00B8697E">
        <w:tc>
          <w:tcPr>
            <w:tcW w:w="5341" w:type="dxa"/>
          </w:tcPr>
          <w:p w:rsidR="00B8697E" w:rsidRDefault="00B8697E" w:rsidP="00B8697E">
            <w:pPr>
              <w:pStyle w:val="Tablerowheadings"/>
            </w:pPr>
            <w:r>
              <w:t>Fracture</w:t>
            </w:r>
          </w:p>
        </w:tc>
        <w:tc>
          <w:tcPr>
            <w:tcW w:w="5341" w:type="dxa"/>
            <w:vAlign w:val="center"/>
          </w:tcPr>
          <w:p w:rsidR="00B8697E" w:rsidRDefault="00B8697E" w:rsidP="00B8697E">
            <w:pPr>
              <w:pStyle w:val="Tablerowheadings"/>
            </w:pPr>
            <w:r>
              <w:t>30%</w:t>
            </w:r>
          </w:p>
        </w:tc>
      </w:tr>
      <w:tr w:rsidR="00B8697E" w:rsidTr="00B8697E">
        <w:tc>
          <w:tcPr>
            <w:tcW w:w="5341" w:type="dxa"/>
          </w:tcPr>
          <w:p w:rsidR="00B8697E" w:rsidRDefault="00B8697E" w:rsidP="00B8697E">
            <w:pPr>
              <w:pStyle w:val="Tabletext"/>
            </w:pPr>
            <w:r>
              <w:t>Wrist &amp; hand</w:t>
            </w:r>
          </w:p>
        </w:tc>
        <w:tc>
          <w:tcPr>
            <w:tcW w:w="5341" w:type="dxa"/>
            <w:vAlign w:val="center"/>
          </w:tcPr>
          <w:p w:rsidR="00B8697E" w:rsidRDefault="00B8697E" w:rsidP="00B8697E">
            <w:pPr>
              <w:pStyle w:val="Tabletext"/>
              <w:jc w:val="right"/>
            </w:pPr>
            <w:r>
              <w:t>10%</w:t>
            </w:r>
          </w:p>
        </w:tc>
      </w:tr>
      <w:tr w:rsidR="00B8697E" w:rsidTr="00B8697E">
        <w:tc>
          <w:tcPr>
            <w:tcW w:w="5341" w:type="dxa"/>
          </w:tcPr>
          <w:p w:rsidR="00B8697E" w:rsidRDefault="00B8697E" w:rsidP="00B8697E">
            <w:pPr>
              <w:pStyle w:val="Tabletext"/>
            </w:pPr>
            <w:r>
              <w:t>Knee &amp; lower leg</w:t>
            </w:r>
          </w:p>
        </w:tc>
        <w:tc>
          <w:tcPr>
            <w:tcW w:w="5341" w:type="dxa"/>
            <w:vAlign w:val="center"/>
          </w:tcPr>
          <w:p w:rsidR="00B8697E" w:rsidRDefault="00B8697E" w:rsidP="00B8697E">
            <w:pPr>
              <w:pStyle w:val="Tabletext"/>
              <w:jc w:val="right"/>
            </w:pPr>
            <w:r>
              <w:t>5%</w:t>
            </w:r>
          </w:p>
        </w:tc>
      </w:tr>
      <w:tr w:rsidR="00B8697E" w:rsidTr="00B8697E">
        <w:tc>
          <w:tcPr>
            <w:tcW w:w="5341" w:type="dxa"/>
          </w:tcPr>
          <w:p w:rsidR="00B8697E" w:rsidRDefault="00B8697E" w:rsidP="00B8697E">
            <w:pPr>
              <w:pStyle w:val="Tabletext"/>
            </w:pPr>
            <w:r>
              <w:t>Trunk</w:t>
            </w:r>
          </w:p>
        </w:tc>
        <w:tc>
          <w:tcPr>
            <w:tcW w:w="5341" w:type="dxa"/>
            <w:vAlign w:val="center"/>
          </w:tcPr>
          <w:p w:rsidR="00B8697E" w:rsidRDefault="00B8697E" w:rsidP="00B8697E">
            <w:pPr>
              <w:pStyle w:val="Tabletext"/>
              <w:jc w:val="right"/>
            </w:pPr>
            <w:r>
              <w:t>4%</w:t>
            </w:r>
          </w:p>
        </w:tc>
      </w:tr>
      <w:tr w:rsidR="00B8697E" w:rsidTr="00B8697E">
        <w:tc>
          <w:tcPr>
            <w:tcW w:w="5341" w:type="dxa"/>
          </w:tcPr>
          <w:p w:rsidR="00B8697E" w:rsidRDefault="00257F90" w:rsidP="00B8697E">
            <w:pPr>
              <w:pStyle w:val="Tabletext"/>
            </w:pPr>
            <w:r>
              <w:t>E</w:t>
            </w:r>
            <w:r w:rsidR="00B8697E">
              <w:t>lbow &amp; forearm</w:t>
            </w:r>
          </w:p>
        </w:tc>
        <w:tc>
          <w:tcPr>
            <w:tcW w:w="5341" w:type="dxa"/>
            <w:vAlign w:val="center"/>
          </w:tcPr>
          <w:p w:rsidR="00B8697E" w:rsidRDefault="00B8697E" w:rsidP="00B8697E">
            <w:pPr>
              <w:pStyle w:val="Tabletext"/>
              <w:jc w:val="right"/>
            </w:pPr>
            <w:r>
              <w:t>4%</w:t>
            </w:r>
          </w:p>
        </w:tc>
      </w:tr>
      <w:tr w:rsidR="00257F90" w:rsidTr="00B8697E">
        <w:tc>
          <w:tcPr>
            <w:tcW w:w="5341" w:type="dxa"/>
          </w:tcPr>
          <w:p w:rsidR="00257F90" w:rsidRDefault="00257F90" w:rsidP="00B8697E">
            <w:pPr>
              <w:pStyle w:val="Tabletext"/>
            </w:pPr>
            <w:r>
              <w:t>Ankle &amp; foot</w:t>
            </w:r>
          </w:p>
        </w:tc>
        <w:tc>
          <w:tcPr>
            <w:tcW w:w="5341" w:type="dxa"/>
            <w:vAlign w:val="center"/>
          </w:tcPr>
          <w:p w:rsidR="00257F90" w:rsidRDefault="00257F90" w:rsidP="00B8697E">
            <w:pPr>
              <w:pStyle w:val="Tabletext"/>
              <w:jc w:val="right"/>
            </w:pPr>
            <w:r>
              <w:t>3%</w:t>
            </w:r>
          </w:p>
        </w:tc>
      </w:tr>
      <w:tr w:rsidR="00257F90" w:rsidTr="00257F90">
        <w:tc>
          <w:tcPr>
            <w:tcW w:w="5341" w:type="dxa"/>
          </w:tcPr>
          <w:p w:rsidR="00257F90" w:rsidRDefault="00257F90" w:rsidP="00257F90">
            <w:pPr>
              <w:pStyle w:val="Tablerowheadings"/>
            </w:pPr>
            <w:r>
              <w:t>Open wound</w:t>
            </w:r>
          </w:p>
        </w:tc>
        <w:tc>
          <w:tcPr>
            <w:tcW w:w="5341" w:type="dxa"/>
            <w:vAlign w:val="center"/>
          </w:tcPr>
          <w:p w:rsidR="00257F90" w:rsidRDefault="00257F90" w:rsidP="00257F90">
            <w:pPr>
              <w:pStyle w:val="Tablerowheadings"/>
              <w:jc w:val="right"/>
            </w:pPr>
            <w:r>
              <w:t>23%</w:t>
            </w:r>
          </w:p>
        </w:tc>
      </w:tr>
      <w:tr w:rsidR="00257F90" w:rsidTr="00257F90">
        <w:tc>
          <w:tcPr>
            <w:tcW w:w="5341" w:type="dxa"/>
          </w:tcPr>
          <w:p w:rsidR="00257F90" w:rsidRDefault="00257F90" w:rsidP="00B8697E">
            <w:pPr>
              <w:pStyle w:val="Tabletext"/>
            </w:pPr>
            <w:r>
              <w:t>Wrist &amp; hand</w:t>
            </w:r>
          </w:p>
        </w:tc>
        <w:tc>
          <w:tcPr>
            <w:tcW w:w="5341" w:type="dxa"/>
            <w:vAlign w:val="center"/>
          </w:tcPr>
          <w:p w:rsidR="00257F90" w:rsidRDefault="00257F90" w:rsidP="00257F90">
            <w:pPr>
              <w:pStyle w:val="Tabletext"/>
              <w:jc w:val="right"/>
            </w:pPr>
            <w:r>
              <w:t>13%</w:t>
            </w:r>
          </w:p>
        </w:tc>
      </w:tr>
      <w:tr w:rsidR="00257F90" w:rsidTr="00257F90">
        <w:tc>
          <w:tcPr>
            <w:tcW w:w="5341" w:type="dxa"/>
          </w:tcPr>
          <w:p w:rsidR="00257F90" w:rsidRDefault="00257F90" w:rsidP="00B8697E">
            <w:pPr>
              <w:pStyle w:val="Tabletext"/>
            </w:pPr>
            <w:r>
              <w:t>Knee &amp; lower leg</w:t>
            </w:r>
          </w:p>
        </w:tc>
        <w:tc>
          <w:tcPr>
            <w:tcW w:w="5341" w:type="dxa"/>
            <w:vAlign w:val="center"/>
          </w:tcPr>
          <w:p w:rsidR="00257F90" w:rsidRDefault="00257F90" w:rsidP="00257F90">
            <w:pPr>
              <w:pStyle w:val="Tabletext"/>
              <w:jc w:val="right"/>
            </w:pPr>
            <w:r>
              <w:t>4%</w:t>
            </w:r>
          </w:p>
        </w:tc>
      </w:tr>
      <w:tr w:rsidR="00257F90" w:rsidTr="00257F90">
        <w:tc>
          <w:tcPr>
            <w:tcW w:w="5341" w:type="dxa"/>
          </w:tcPr>
          <w:p w:rsidR="00257F90" w:rsidRDefault="00257F90" w:rsidP="00B8697E">
            <w:pPr>
              <w:pStyle w:val="Tabletext"/>
            </w:pPr>
            <w:r>
              <w:t>Head (excluding eye)</w:t>
            </w:r>
          </w:p>
        </w:tc>
        <w:tc>
          <w:tcPr>
            <w:tcW w:w="5341" w:type="dxa"/>
            <w:vAlign w:val="center"/>
          </w:tcPr>
          <w:p w:rsidR="00257F90" w:rsidRDefault="00257F90" w:rsidP="00257F90">
            <w:pPr>
              <w:pStyle w:val="Tabletext"/>
              <w:jc w:val="right"/>
            </w:pPr>
            <w:r>
              <w:t>2%</w:t>
            </w:r>
          </w:p>
        </w:tc>
      </w:tr>
      <w:tr w:rsidR="00257F90" w:rsidTr="00257F90">
        <w:tc>
          <w:tcPr>
            <w:tcW w:w="5341" w:type="dxa"/>
          </w:tcPr>
          <w:p w:rsidR="00257F90" w:rsidRDefault="00257F90" w:rsidP="00257F90">
            <w:pPr>
              <w:pStyle w:val="Tablerowheadings"/>
            </w:pPr>
            <w:r>
              <w:t>Muscle &amp; tendon</w:t>
            </w:r>
          </w:p>
        </w:tc>
        <w:tc>
          <w:tcPr>
            <w:tcW w:w="5341" w:type="dxa"/>
            <w:vAlign w:val="center"/>
          </w:tcPr>
          <w:p w:rsidR="00257F90" w:rsidRDefault="00257F90" w:rsidP="00257F90">
            <w:pPr>
              <w:pStyle w:val="Tablerowheadings"/>
              <w:jc w:val="right"/>
            </w:pPr>
            <w:r>
              <w:t>14%</w:t>
            </w:r>
          </w:p>
        </w:tc>
      </w:tr>
      <w:tr w:rsidR="00257F90" w:rsidTr="00257F90">
        <w:tc>
          <w:tcPr>
            <w:tcW w:w="5341" w:type="dxa"/>
          </w:tcPr>
          <w:p w:rsidR="00257F90" w:rsidRDefault="00257F90" w:rsidP="00B8697E">
            <w:pPr>
              <w:pStyle w:val="Tabletext"/>
            </w:pPr>
            <w:r>
              <w:t>Wrist &amp; hand</w:t>
            </w:r>
          </w:p>
        </w:tc>
        <w:tc>
          <w:tcPr>
            <w:tcW w:w="5341" w:type="dxa"/>
            <w:vAlign w:val="center"/>
          </w:tcPr>
          <w:p w:rsidR="00257F90" w:rsidRDefault="00257F90" w:rsidP="00257F90">
            <w:pPr>
              <w:pStyle w:val="Tabletext"/>
              <w:jc w:val="right"/>
            </w:pPr>
            <w:r>
              <w:t>8%</w:t>
            </w:r>
          </w:p>
        </w:tc>
      </w:tr>
      <w:tr w:rsidR="00257F90" w:rsidTr="00257F90">
        <w:tc>
          <w:tcPr>
            <w:tcW w:w="5341" w:type="dxa"/>
          </w:tcPr>
          <w:p w:rsidR="00257F90" w:rsidRDefault="00257F90" w:rsidP="0066660E">
            <w:pPr>
              <w:pStyle w:val="Tabletext"/>
            </w:pPr>
            <w:r>
              <w:t>Elbow &amp; forearm</w:t>
            </w:r>
          </w:p>
        </w:tc>
        <w:tc>
          <w:tcPr>
            <w:tcW w:w="5341" w:type="dxa"/>
            <w:vAlign w:val="center"/>
          </w:tcPr>
          <w:p w:rsidR="00257F90" w:rsidRDefault="00257F90" w:rsidP="00257F90">
            <w:pPr>
              <w:pStyle w:val="Tabletext"/>
              <w:jc w:val="right"/>
            </w:pPr>
            <w:r>
              <w:t>2%</w:t>
            </w:r>
          </w:p>
        </w:tc>
      </w:tr>
      <w:tr w:rsidR="00257F90" w:rsidTr="00257F90">
        <w:tc>
          <w:tcPr>
            <w:tcW w:w="5341" w:type="dxa"/>
          </w:tcPr>
          <w:p w:rsidR="00257F90" w:rsidRDefault="00257F90" w:rsidP="0066660E">
            <w:pPr>
              <w:pStyle w:val="Tabletext"/>
            </w:pPr>
            <w:r>
              <w:t>Should &amp; arms</w:t>
            </w:r>
          </w:p>
        </w:tc>
        <w:tc>
          <w:tcPr>
            <w:tcW w:w="5341" w:type="dxa"/>
            <w:vAlign w:val="center"/>
          </w:tcPr>
          <w:p w:rsidR="00257F90" w:rsidRDefault="00257F90" w:rsidP="00257F90">
            <w:pPr>
              <w:pStyle w:val="Tabletext"/>
              <w:jc w:val="right"/>
            </w:pPr>
            <w:r>
              <w:t>2%</w:t>
            </w:r>
          </w:p>
        </w:tc>
      </w:tr>
      <w:tr w:rsidR="00257F90" w:rsidTr="00257F90">
        <w:tc>
          <w:tcPr>
            <w:tcW w:w="5341" w:type="dxa"/>
          </w:tcPr>
          <w:p w:rsidR="00257F90" w:rsidRDefault="00257F90" w:rsidP="00257F90">
            <w:pPr>
              <w:pStyle w:val="Tablerowheadings"/>
            </w:pPr>
            <w:r>
              <w:t>Amputation</w:t>
            </w:r>
          </w:p>
        </w:tc>
        <w:tc>
          <w:tcPr>
            <w:tcW w:w="5341" w:type="dxa"/>
            <w:vAlign w:val="center"/>
          </w:tcPr>
          <w:p w:rsidR="00257F90" w:rsidRDefault="00257F90" w:rsidP="00257F90">
            <w:pPr>
              <w:pStyle w:val="Tablerowheadings"/>
              <w:jc w:val="right"/>
            </w:pPr>
            <w:r>
              <w:t>5%</w:t>
            </w:r>
          </w:p>
        </w:tc>
      </w:tr>
      <w:tr w:rsidR="00257F90" w:rsidTr="00257F90">
        <w:tc>
          <w:tcPr>
            <w:tcW w:w="5341" w:type="dxa"/>
          </w:tcPr>
          <w:p w:rsidR="00257F90" w:rsidRDefault="00257F90" w:rsidP="0066660E">
            <w:pPr>
              <w:pStyle w:val="Tabletext"/>
            </w:pPr>
            <w:r>
              <w:t>Wrist &amp; hand</w:t>
            </w:r>
          </w:p>
        </w:tc>
        <w:tc>
          <w:tcPr>
            <w:tcW w:w="5341" w:type="dxa"/>
            <w:vAlign w:val="center"/>
          </w:tcPr>
          <w:p w:rsidR="00257F90" w:rsidRDefault="00257F90" w:rsidP="00257F90">
            <w:pPr>
              <w:pStyle w:val="Tabletext"/>
              <w:jc w:val="right"/>
            </w:pPr>
            <w:r>
              <w:t>5%</w:t>
            </w:r>
          </w:p>
        </w:tc>
      </w:tr>
      <w:tr w:rsidR="00257F90" w:rsidTr="00257F90">
        <w:tc>
          <w:tcPr>
            <w:tcW w:w="5341" w:type="dxa"/>
          </w:tcPr>
          <w:p w:rsidR="00257F90" w:rsidRDefault="00257F90" w:rsidP="00257F90">
            <w:pPr>
              <w:pStyle w:val="Tablerowheadings"/>
            </w:pPr>
            <w:r>
              <w:t>Nerve &amp; spinal cord</w:t>
            </w:r>
          </w:p>
        </w:tc>
        <w:tc>
          <w:tcPr>
            <w:tcW w:w="5341" w:type="dxa"/>
            <w:vAlign w:val="center"/>
          </w:tcPr>
          <w:p w:rsidR="00257F90" w:rsidRDefault="00257F90" w:rsidP="00257F90">
            <w:pPr>
              <w:pStyle w:val="Tablerowheadings"/>
              <w:jc w:val="right"/>
            </w:pPr>
            <w:r>
              <w:t>4%</w:t>
            </w:r>
          </w:p>
        </w:tc>
      </w:tr>
      <w:tr w:rsidR="00257F90" w:rsidTr="00257F90">
        <w:tc>
          <w:tcPr>
            <w:tcW w:w="5341" w:type="dxa"/>
          </w:tcPr>
          <w:p w:rsidR="00257F90" w:rsidRDefault="00257F90" w:rsidP="0066660E">
            <w:pPr>
              <w:pStyle w:val="Tabletext"/>
            </w:pPr>
            <w:r>
              <w:t>Wrist &amp; hand</w:t>
            </w:r>
          </w:p>
        </w:tc>
        <w:tc>
          <w:tcPr>
            <w:tcW w:w="5341" w:type="dxa"/>
            <w:vAlign w:val="center"/>
          </w:tcPr>
          <w:p w:rsidR="00257F90" w:rsidRDefault="00257F90" w:rsidP="00257F90">
            <w:pPr>
              <w:pStyle w:val="Tabletext"/>
              <w:jc w:val="right"/>
            </w:pPr>
            <w:r>
              <w:t>3%</w:t>
            </w:r>
          </w:p>
        </w:tc>
      </w:tr>
      <w:tr w:rsidR="00257F90" w:rsidTr="00257F90">
        <w:tc>
          <w:tcPr>
            <w:tcW w:w="5341" w:type="dxa"/>
          </w:tcPr>
          <w:p w:rsidR="00257F90" w:rsidRDefault="00257F90" w:rsidP="00257F90">
            <w:pPr>
              <w:pStyle w:val="Tablerowheadings"/>
            </w:pPr>
            <w:r>
              <w:t>Superficial</w:t>
            </w:r>
          </w:p>
        </w:tc>
        <w:tc>
          <w:tcPr>
            <w:tcW w:w="5341" w:type="dxa"/>
            <w:vAlign w:val="center"/>
          </w:tcPr>
          <w:p w:rsidR="00257F90" w:rsidRDefault="00257F90" w:rsidP="00257F90">
            <w:pPr>
              <w:pStyle w:val="Tablerowheadings"/>
              <w:jc w:val="right"/>
            </w:pPr>
            <w:r>
              <w:t>3%</w:t>
            </w:r>
          </w:p>
        </w:tc>
      </w:tr>
      <w:tr w:rsidR="00257F90" w:rsidTr="00257F90">
        <w:tc>
          <w:tcPr>
            <w:tcW w:w="5341" w:type="dxa"/>
          </w:tcPr>
          <w:p w:rsidR="00257F90" w:rsidRDefault="00257F90" w:rsidP="00257F90">
            <w:pPr>
              <w:pStyle w:val="Tablerowheadings"/>
            </w:pPr>
            <w:r>
              <w:t>Dislocation</w:t>
            </w:r>
          </w:p>
        </w:tc>
        <w:tc>
          <w:tcPr>
            <w:tcW w:w="5341" w:type="dxa"/>
            <w:vAlign w:val="center"/>
          </w:tcPr>
          <w:p w:rsidR="00257F90" w:rsidRDefault="00257F90" w:rsidP="00257F90">
            <w:pPr>
              <w:pStyle w:val="Tablerowheadings"/>
              <w:jc w:val="right"/>
            </w:pPr>
            <w:r>
              <w:t>3%</w:t>
            </w:r>
          </w:p>
        </w:tc>
      </w:tr>
      <w:tr w:rsidR="00257F90" w:rsidTr="00257F90">
        <w:tc>
          <w:tcPr>
            <w:tcW w:w="5341" w:type="dxa"/>
          </w:tcPr>
          <w:p w:rsidR="00257F90" w:rsidRDefault="00257F90" w:rsidP="0066660E">
            <w:pPr>
              <w:pStyle w:val="Tabletext"/>
            </w:pPr>
            <w:r>
              <w:t>Knee &amp; lower leg</w:t>
            </w:r>
          </w:p>
        </w:tc>
        <w:tc>
          <w:tcPr>
            <w:tcW w:w="5341" w:type="dxa"/>
            <w:vAlign w:val="center"/>
          </w:tcPr>
          <w:p w:rsidR="00257F90" w:rsidRDefault="00257F90" w:rsidP="00257F90">
            <w:pPr>
              <w:pStyle w:val="Tabletext"/>
              <w:jc w:val="right"/>
            </w:pPr>
            <w:r>
              <w:t>2%</w:t>
            </w:r>
          </w:p>
        </w:tc>
      </w:tr>
      <w:tr w:rsidR="00257F90" w:rsidTr="00257F90">
        <w:tc>
          <w:tcPr>
            <w:tcW w:w="5341" w:type="dxa"/>
          </w:tcPr>
          <w:p w:rsidR="00257F90" w:rsidRDefault="00257F90" w:rsidP="00257F90">
            <w:pPr>
              <w:pStyle w:val="Tablerowheadings"/>
            </w:pPr>
            <w:r>
              <w:t>Intracranial</w:t>
            </w:r>
          </w:p>
        </w:tc>
        <w:tc>
          <w:tcPr>
            <w:tcW w:w="5341" w:type="dxa"/>
            <w:vAlign w:val="center"/>
          </w:tcPr>
          <w:p w:rsidR="00257F90" w:rsidRDefault="00257F90" w:rsidP="00257F90">
            <w:pPr>
              <w:pStyle w:val="Tablerowheadings"/>
              <w:jc w:val="right"/>
            </w:pPr>
            <w:r>
              <w:t>3%</w:t>
            </w:r>
          </w:p>
        </w:tc>
      </w:tr>
      <w:tr w:rsidR="00257F90" w:rsidTr="00257F90">
        <w:tc>
          <w:tcPr>
            <w:tcW w:w="5341" w:type="dxa"/>
          </w:tcPr>
          <w:p w:rsidR="00257F90" w:rsidRDefault="00257F90" w:rsidP="0066660E">
            <w:pPr>
              <w:pStyle w:val="Tabletext"/>
            </w:pPr>
            <w:r>
              <w:t>Head (excluding eye)</w:t>
            </w:r>
          </w:p>
        </w:tc>
        <w:tc>
          <w:tcPr>
            <w:tcW w:w="5341" w:type="dxa"/>
            <w:vAlign w:val="center"/>
          </w:tcPr>
          <w:p w:rsidR="00257F90" w:rsidRDefault="00257F90" w:rsidP="00257F90">
            <w:pPr>
              <w:pStyle w:val="Tabletext"/>
              <w:jc w:val="right"/>
            </w:pPr>
            <w:r>
              <w:t>3%</w:t>
            </w:r>
          </w:p>
        </w:tc>
      </w:tr>
      <w:tr w:rsidR="00257F90" w:rsidTr="00257F90">
        <w:tc>
          <w:tcPr>
            <w:tcW w:w="5341" w:type="dxa"/>
          </w:tcPr>
          <w:p w:rsidR="00257F90" w:rsidRDefault="00257F90" w:rsidP="00257F90">
            <w:pPr>
              <w:pStyle w:val="Tablerowheadings"/>
            </w:pPr>
            <w:r>
              <w:t>Eye injury</w:t>
            </w:r>
          </w:p>
        </w:tc>
        <w:tc>
          <w:tcPr>
            <w:tcW w:w="5341" w:type="dxa"/>
            <w:vAlign w:val="center"/>
          </w:tcPr>
          <w:p w:rsidR="00257F90" w:rsidRDefault="00257F90" w:rsidP="00257F90">
            <w:pPr>
              <w:pStyle w:val="Tablerowheadings"/>
              <w:jc w:val="right"/>
            </w:pPr>
            <w:r>
              <w:t>2%</w:t>
            </w:r>
          </w:p>
        </w:tc>
      </w:tr>
      <w:tr w:rsidR="00257F90" w:rsidTr="00257F90">
        <w:tc>
          <w:tcPr>
            <w:tcW w:w="5341" w:type="dxa"/>
          </w:tcPr>
          <w:p w:rsidR="00257F90" w:rsidRDefault="00257F90" w:rsidP="00257F90">
            <w:pPr>
              <w:pStyle w:val="Tablerowheadings"/>
            </w:pPr>
            <w:r>
              <w:t>Other injury</w:t>
            </w:r>
          </w:p>
        </w:tc>
        <w:tc>
          <w:tcPr>
            <w:tcW w:w="5341" w:type="dxa"/>
            <w:vAlign w:val="center"/>
          </w:tcPr>
          <w:p w:rsidR="00257F90" w:rsidRDefault="00257F90" w:rsidP="00257F90">
            <w:pPr>
              <w:pStyle w:val="Tablerowheadings"/>
              <w:jc w:val="right"/>
            </w:pPr>
            <w:r>
              <w:t>13%</w:t>
            </w:r>
          </w:p>
        </w:tc>
      </w:tr>
      <w:tr w:rsidR="00257F90" w:rsidTr="00257F90">
        <w:tc>
          <w:tcPr>
            <w:tcW w:w="5341" w:type="dxa"/>
          </w:tcPr>
          <w:p w:rsidR="00257F90" w:rsidRDefault="00257F90" w:rsidP="0066660E">
            <w:pPr>
              <w:pStyle w:val="Tabletext"/>
            </w:pPr>
            <w:r>
              <w:t>Total</w:t>
            </w:r>
          </w:p>
        </w:tc>
        <w:tc>
          <w:tcPr>
            <w:tcW w:w="5341" w:type="dxa"/>
            <w:vAlign w:val="center"/>
          </w:tcPr>
          <w:p w:rsidR="00257F90" w:rsidRDefault="00257F90" w:rsidP="00257F90">
            <w:pPr>
              <w:pStyle w:val="Tabletext"/>
              <w:jc w:val="right"/>
            </w:pPr>
            <w:r>
              <w:t>100%</w:t>
            </w:r>
          </w:p>
        </w:tc>
      </w:tr>
    </w:tbl>
    <w:p w:rsidR="00B8697E" w:rsidRPr="00257F90" w:rsidRDefault="00257F90" w:rsidP="00257F90">
      <w:pPr>
        <w:pStyle w:val="footnotes"/>
        <w:rPr>
          <w:vertAlign w:val="baseline"/>
        </w:rPr>
      </w:pPr>
      <w:r>
        <w:rPr>
          <w:vertAlign w:val="baseline"/>
        </w:rPr>
        <w:t>Note: Detailed</w:t>
      </w:r>
      <w:r w:rsidRPr="00257F90">
        <w:rPr>
          <w:vertAlign w:val="baseline"/>
        </w:rPr>
        <w:t xml:space="preserve"> sub-categories are </w:t>
      </w:r>
      <w:r>
        <w:rPr>
          <w:vertAlign w:val="baseline"/>
        </w:rPr>
        <w:t>only shown for the largest groups so the sub-categories do not necessarily sum to the percentage shown at the broad level.</w:t>
      </w:r>
    </w:p>
    <w:p w:rsidR="007C5BCC" w:rsidRDefault="007C5BCC" w:rsidP="00513A50">
      <w:pPr>
        <w:pStyle w:val="BodyText1"/>
      </w:pPr>
      <w:r>
        <w:br w:type="page"/>
      </w:r>
    </w:p>
    <w:p w:rsidR="007C5BCC" w:rsidRPr="00257F90" w:rsidRDefault="00257F90" w:rsidP="001F42A8">
      <w:pPr>
        <w:pStyle w:val="Heading1"/>
      </w:pPr>
      <w:bookmarkStart w:id="51" w:name="_Toc427590882"/>
      <w:r w:rsidRPr="00257F90">
        <w:t>Glossary</w:t>
      </w:r>
      <w:bookmarkEnd w:id="51"/>
    </w:p>
    <w:p w:rsidR="007C5BCC" w:rsidRPr="00430606" w:rsidRDefault="00257F90" w:rsidP="00430606">
      <w:pPr>
        <w:spacing w:before="120"/>
        <w:rPr>
          <w:rFonts w:ascii="Arial" w:hAnsi="Arial" w:cs="Arial"/>
          <w:b/>
        </w:rPr>
      </w:pPr>
      <w:r w:rsidRPr="00430606">
        <w:rPr>
          <w:rFonts w:ascii="Arial" w:hAnsi="Arial" w:cs="Arial"/>
          <w:b/>
        </w:rPr>
        <w:t>Age</w:t>
      </w:r>
    </w:p>
    <w:p w:rsidR="007C5BCC" w:rsidRPr="007C5BCC" w:rsidRDefault="007C5BCC" w:rsidP="00513A50">
      <w:pPr>
        <w:pStyle w:val="BodyText1"/>
      </w:pPr>
      <w:r>
        <w:t>For fatalities, the age of the worker is the age at date of death. For workers’ compensation claims, it is the age of the employee at the time of injury or the date when the disease was first reported to their employer.</w:t>
      </w:r>
    </w:p>
    <w:p w:rsidR="007C5BCC" w:rsidRDefault="007C5BCC" w:rsidP="00430606">
      <w:pPr>
        <w:pStyle w:val="Glossary-sub"/>
      </w:pPr>
      <w:r>
        <w:t>Being hit by moving objects</w:t>
      </w:r>
    </w:p>
    <w:p w:rsidR="007C5BCC" w:rsidRDefault="007C5BCC" w:rsidP="00513A50">
      <w:pPr>
        <w:pStyle w:val="BodyText1"/>
      </w:pPr>
      <w:r>
        <w:t>Part of the Mechanism classification used to describe the action of an object hitting a person. This includes pedestrians hit by vehicles as well as being hit by other moving equipment or objects.</w:t>
      </w:r>
    </w:p>
    <w:p w:rsidR="007C5BCC" w:rsidRDefault="007C5BCC" w:rsidP="00430606">
      <w:pPr>
        <w:pStyle w:val="Glossary-sub"/>
      </w:pPr>
      <w:r>
        <w:t>Breakdown agency</w:t>
      </w:r>
    </w:p>
    <w:p w:rsidR="007C5BCC" w:rsidRDefault="007C5BCC" w:rsidP="00513A50">
      <w:pPr>
        <w:pStyle w:val="BodyText1"/>
      </w:pPr>
      <w:r>
        <w:t>The object, substance or circumstance principally involved in, or most closely associated with, the events that culminated in the most serious injury or disease.</w:t>
      </w:r>
    </w:p>
    <w:p w:rsidR="007C5BCC" w:rsidRPr="00430606" w:rsidRDefault="007C5BCC" w:rsidP="00430606">
      <w:pPr>
        <w:pStyle w:val="Glossary-sub"/>
      </w:pPr>
      <w:r w:rsidRPr="00430606">
        <w:t>Bystander fatality</w:t>
      </w:r>
    </w:p>
    <w:p w:rsidR="007C5BCC" w:rsidRDefault="007C5BCC" w:rsidP="00513A50">
      <w:pPr>
        <w:pStyle w:val="BodyText1"/>
      </w:pPr>
      <w:r>
        <w:t>The death of a person who dies from injuries sustained as a result of another person’s work activity and who was not engaged in a work activity of their own at the time of the injury. A traffic incident death is only classified as a bystander fatality when attributable to someone else’s work activity. Typically, this means the driver of a work vehicle is at fault. Cases where fault could not be determined with sufficient confidence are excluded.</w:t>
      </w:r>
    </w:p>
    <w:p w:rsidR="007C5BCC" w:rsidRDefault="007C5BCC" w:rsidP="00430606">
      <w:pPr>
        <w:pStyle w:val="Glossary-sub"/>
      </w:pPr>
      <w:r>
        <w:t>Employee</w:t>
      </w:r>
    </w:p>
    <w:p w:rsidR="007C5BCC" w:rsidRDefault="007C5BCC" w:rsidP="00513A50">
      <w:pPr>
        <w:pStyle w:val="BodyText1"/>
      </w:pPr>
      <w:r>
        <w:t>The ABS defines employee as ‘a person who works for a public or private employer and receives remuneration in wages, salary, a retainer fee from their employer while working on a commission basis, tips, piece-rates, or payment in kind; or a person who operates his or her own incorporated enterprise with or without hiring employees’ (ABS 2007).</w:t>
      </w:r>
    </w:p>
    <w:p w:rsidR="007C5BCC" w:rsidRDefault="007C5BCC" w:rsidP="00513A50">
      <w:pPr>
        <w:pStyle w:val="BodyText1"/>
      </w:pPr>
      <w:r>
        <w:t xml:space="preserve">In calculating incidence rates on workers’ compensation claims, Safe Work Australia uses an estimate of the number of jobs worked by employees. Employees with more than one job (multiple jobholders) face exposures to distinct risks of injury and disease in each separate job.  The ABS therefore supplies Safe Work Australia with derived estimates of employee jobs for use as the denominators in calculating incidence rates. The employee count is an estimate of how many jobs were worked by people classified as an employee in their main job on average over the reference period. </w:t>
      </w:r>
    </w:p>
    <w:p w:rsidR="007C5BCC" w:rsidRDefault="007C5BCC" w:rsidP="00430606">
      <w:pPr>
        <w:pStyle w:val="Glossary-sub"/>
      </w:pPr>
      <w:r>
        <w:t>Incidence rate</w:t>
      </w:r>
    </w:p>
    <w:p w:rsidR="007C5BCC" w:rsidRDefault="007C5BCC" w:rsidP="007C5BCC">
      <w:r>
        <w:t>The number of serious claims per thousand employees calculated using the following formula:</w:t>
      </w:r>
    </w:p>
    <w:p w:rsidR="007C5BCC" w:rsidRDefault="007C5BCC" w:rsidP="007C5BCC">
      <w:r>
        <w:rPr>
          <w:u w:val="thick"/>
        </w:rPr>
        <w:t>Number of serious claims</w:t>
      </w:r>
      <w:r w:rsidR="00430606">
        <w:br/>
        <w:t xml:space="preserve">Number of </w:t>
      </w:r>
      <w:proofErr w:type="gramStart"/>
      <w:r w:rsidR="00430606">
        <w:t xml:space="preserve">employees  </w:t>
      </w:r>
      <w:r>
        <w:t>×</w:t>
      </w:r>
      <w:proofErr w:type="gramEnd"/>
      <w:r w:rsidR="00430606">
        <w:t xml:space="preserve"> </w:t>
      </w:r>
      <w:r>
        <w:t>1000</w:t>
      </w:r>
    </w:p>
    <w:p w:rsidR="007C5BCC" w:rsidRDefault="007C5BCC" w:rsidP="00430606">
      <w:pPr>
        <w:pStyle w:val="Glossary-sub"/>
      </w:pPr>
      <w:r>
        <w:t>Industry</w:t>
      </w:r>
    </w:p>
    <w:p w:rsidR="007C5BCC" w:rsidRDefault="007C5BCC" w:rsidP="00513A50">
      <w:pPr>
        <w:pStyle w:val="BodyText1"/>
      </w:pPr>
      <w:proofErr w:type="gramStart"/>
      <w:r>
        <w:t>A grouping of businesses that carry out similar economic activities.</w:t>
      </w:r>
      <w:proofErr w:type="gramEnd"/>
      <w:r>
        <w:t xml:space="preserve"> Fatalities data in this publication have been coded to the Australian and New Zealand Standard Industrial Classification (</w:t>
      </w:r>
      <w:proofErr w:type="spellStart"/>
      <w:r>
        <w:t>ANZSIC</w:t>
      </w:r>
      <w:proofErr w:type="spellEnd"/>
      <w:r>
        <w:t>) 2006 (ABS cat. no. 1292.0) and unless specified are shown at the industry division level.</w:t>
      </w:r>
    </w:p>
    <w:p w:rsidR="003A4730" w:rsidRDefault="003A4730" w:rsidP="00430606">
      <w:pPr>
        <w:pStyle w:val="Glossary-sub"/>
      </w:pPr>
      <w:r>
        <w:t>Industry of employer</w:t>
      </w:r>
    </w:p>
    <w:p w:rsidR="003A4730" w:rsidRDefault="003A4730" w:rsidP="00513A50">
      <w:pPr>
        <w:pStyle w:val="BodyText1"/>
      </w:pPr>
      <w:proofErr w:type="gramStart"/>
      <w:r>
        <w:t>The industry that directly employed the worker.</w:t>
      </w:r>
      <w:proofErr w:type="gramEnd"/>
    </w:p>
    <w:p w:rsidR="003A4730" w:rsidRDefault="003A4730" w:rsidP="00430606">
      <w:pPr>
        <w:pStyle w:val="Glossary-sub"/>
      </w:pPr>
      <w:r>
        <w:t>Industry of workplace</w:t>
      </w:r>
    </w:p>
    <w:p w:rsidR="003A4730" w:rsidRDefault="003A4730" w:rsidP="00513A50">
      <w:pPr>
        <w:pStyle w:val="BodyText1"/>
      </w:pPr>
      <w:proofErr w:type="gramStart"/>
      <w:r>
        <w:t>The industry in which the worker or bystander is engaged with at the time of the fatal incident.</w:t>
      </w:r>
      <w:proofErr w:type="gramEnd"/>
    </w:p>
    <w:p w:rsidR="003A4730" w:rsidRDefault="003A4730" w:rsidP="00513A50">
      <w:pPr>
        <w:pStyle w:val="BodyText1"/>
      </w:pPr>
      <w:r>
        <w:t>Injury</w:t>
      </w:r>
    </w:p>
    <w:p w:rsidR="003A4730" w:rsidRDefault="003A4730" w:rsidP="00513A50">
      <w:pPr>
        <w:pStyle w:val="BodyText1"/>
      </w:pPr>
      <w:r>
        <w:t>A condition coded to ‘External Causes of morbidity and mortality’ and ‘Injury, poisoning and certain other consequences of external causes’ in the International Statistical Classification of Diseases and Related Health Problems, Tenth Revision, Australian Modification (</w:t>
      </w:r>
      <w:proofErr w:type="spellStart"/>
      <w:r>
        <w:t>ICD</w:t>
      </w:r>
      <w:proofErr w:type="spellEnd"/>
      <w:r>
        <w:t>-10-AM).</w:t>
      </w:r>
    </w:p>
    <w:p w:rsidR="003A4730" w:rsidRDefault="003A4730" w:rsidP="00430606">
      <w:pPr>
        <w:pStyle w:val="Glossary-sub"/>
      </w:pPr>
      <w:r>
        <w:t>Location of injury</w:t>
      </w:r>
    </w:p>
    <w:p w:rsidR="003A4730" w:rsidRDefault="003A4730" w:rsidP="00513A50">
      <w:pPr>
        <w:pStyle w:val="BodyText1"/>
      </w:pPr>
      <w:r>
        <w:t>The part of the body most seriously affected by the most serious injury or disease incurred by the employee</w:t>
      </w:r>
    </w:p>
    <w:p w:rsidR="003A4730" w:rsidRDefault="003A4730" w:rsidP="00430606">
      <w:pPr>
        <w:pStyle w:val="Glossary-sub"/>
      </w:pPr>
      <w:r>
        <w:t>Mechanism of incident</w:t>
      </w:r>
    </w:p>
    <w:p w:rsidR="003A4730" w:rsidRDefault="003A4730" w:rsidP="00513A50">
      <w:pPr>
        <w:pStyle w:val="BodyText1"/>
      </w:pPr>
      <w:proofErr w:type="gramStart"/>
      <w:r>
        <w:t>The action, exposure or event that best describes the circumstances that resulted in the most serious injury.</w:t>
      </w:r>
      <w:proofErr w:type="gramEnd"/>
    </w:p>
    <w:p w:rsidR="003A4730" w:rsidRDefault="003A4730" w:rsidP="00430606">
      <w:pPr>
        <w:pStyle w:val="Glossary-sub"/>
      </w:pPr>
      <w:r>
        <w:t>Median</w:t>
      </w:r>
    </w:p>
    <w:p w:rsidR="003A4730" w:rsidRDefault="003A4730" w:rsidP="00513A50">
      <w:pPr>
        <w:pStyle w:val="BodyText1"/>
      </w:pPr>
      <w:r>
        <w:t>The central value of all observations in the population ranked from smallest to largest for the relevant property. In other words, one half of the observations are higher than the median and one half lower. For even numbers of observations, the median is the average of the two middle values.</w:t>
      </w:r>
    </w:p>
    <w:p w:rsidR="003A4730" w:rsidRDefault="003A4730" w:rsidP="00513A50">
      <w:pPr>
        <w:pStyle w:val="BodyText1"/>
      </w:pPr>
      <w:r>
        <w:t>Because a small number of uncharacteristically long absences or high payments can skew the average (mean), in this publication, median payment and median time lost from work of serious workers’ compensation claims approximate to a ‘typical’ claim.</w:t>
      </w:r>
    </w:p>
    <w:p w:rsidR="003A4730" w:rsidRDefault="003A4730" w:rsidP="00430606">
      <w:pPr>
        <w:pStyle w:val="Glossary-sub"/>
      </w:pPr>
      <w:r>
        <w:t>Nature of injury/disease</w:t>
      </w:r>
    </w:p>
    <w:p w:rsidR="003A4730" w:rsidRDefault="003A4730" w:rsidP="00513A50">
      <w:pPr>
        <w:pStyle w:val="BodyText1"/>
      </w:pPr>
      <w:r>
        <w:t>The Nature of injury or disease classification provides the framework for coding the most serious injury or disease sustained or suffered by the worker.</w:t>
      </w:r>
    </w:p>
    <w:p w:rsidR="003A4730" w:rsidRDefault="003A4730" w:rsidP="00430606">
      <w:pPr>
        <w:pStyle w:val="Glossary-sub"/>
      </w:pPr>
      <w:r>
        <w:t>Occupation</w:t>
      </w:r>
    </w:p>
    <w:p w:rsidR="003A4730" w:rsidRDefault="003A4730" w:rsidP="00513A50">
      <w:pPr>
        <w:pStyle w:val="BodyText1"/>
      </w:pPr>
      <w:proofErr w:type="gramStart"/>
      <w:r>
        <w:t>A set of jobs with similar sets of tasks.</w:t>
      </w:r>
      <w:proofErr w:type="gramEnd"/>
      <w:r>
        <w:t xml:space="preserve"> Fatalities data in this publication have been coded to the Australian and New Zealand Standard Classification of Occupations (</w:t>
      </w:r>
      <w:proofErr w:type="spellStart"/>
      <w:r>
        <w:t>ANZSCO</w:t>
      </w:r>
      <w:proofErr w:type="spellEnd"/>
      <w:r>
        <w:t>) (ABS cat. no. 1220.0) First edition and unless specified are shown at the major group level.</w:t>
      </w:r>
    </w:p>
    <w:p w:rsidR="003A4730" w:rsidRDefault="003A4730" w:rsidP="00430606">
      <w:pPr>
        <w:pStyle w:val="Glossary-sub"/>
      </w:pPr>
      <w:r>
        <w:t>Payment</w:t>
      </w:r>
    </w:p>
    <w:p w:rsidR="003A4730" w:rsidRDefault="003A4730" w:rsidP="00513A50">
      <w:pPr>
        <w:pStyle w:val="BodyText1"/>
      </w:pPr>
      <w:r>
        <w:t>Payments include compensation paid to claimants for: benefits paid to a worker or the worker’s surviving dependents; outlays for goods and services such as medical treatment, funeral expenses, rehabilitation services; non-compensation payments such as legal costs, transport and interpreter services; and common law settlements, which may incorporate estimates of future liability and indirect costs such as loss of productivity.</w:t>
      </w:r>
    </w:p>
    <w:p w:rsidR="003A4730" w:rsidRDefault="003A4730" w:rsidP="00430606">
      <w:pPr>
        <w:pStyle w:val="Glossary-sub"/>
      </w:pPr>
      <w:r>
        <w:t>Public road incident</w:t>
      </w:r>
    </w:p>
    <w:p w:rsidR="003A4730" w:rsidRDefault="003A4730" w:rsidP="00513A50">
      <w:pPr>
        <w:pStyle w:val="BodyText1"/>
      </w:pPr>
      <w:r w:rsidRPr="006D2B6B">
        <w:t xml:space="preserve">A collision on a public road between any vehicle or self-propelled plant and anything </w:t>
      </w:r>
      <w:proofErr w:type="gramStart"/>
      <w:r w:rsidRPr="006D2B6B">
        <w:t>else including</w:t>
      </w:r>
      <w:proofErr w:type="gramEnd"/>
      <w:r w:rsidRPr="006D2B6B">
        <w:t xml:space="preserve"> a pedestrian. Incidents involving vehicles at worksites or on private roads are excluded. Public road incidents can be due to a Vehicle incident (crash) or being hit by a vehicle (which is included in the Mechanism of Being hit by moving object). Vehicles that are caught in bushfires while on public roads are not included as no collision occurred</w:t>
      </w:r>
      <w:r>
        <w:t xml:space="preserve">. </w:t>
      </w:r>
    </w:p>
    <w:p w:rsidR="006D2B6B" w:rsidRDefault="006D2B6B" w:rsidP="00513A50">
      <w:pPr>
        <w:pStyle w:val="BodyText1"/>
      </w:pPr>
      <w:proofErr w:type="gramStart"/>
      <w:r>
        <w:t>Vehicle incident (crash) or being hit by a vehicle (which is included in the Mechanism of Being hit by moving object).</w:t>
      </w:r>
      <w:proofErr w:type="gramEnd"/>
      <w:r>
        <w:t xml:space="preserve"> Vehicles that are caught in bushfires while on public roads are not included as no collision occurred. </w:t>
      </w:r>
    </w:p>
    <w:p w:rsidR="006D2B6B" w:rsidRPr="008B170D" w:rsidRDefault="006D2B6B" w:rsidP="00430606">
      <w:pPr>
        <w:pStyle w:val="Glossary-sub"/>
        <w:rPr>
          <w:rFonts w:eastAsiaTheme="majorEastAsia"/>
        </w:rPr>
      </w:pPr>
      <w:r w:rsidRPr="008B170D">
        <w:rPr>
          <w:rFonts w:eastAsiaTheme="majorEastAsia"/>
        </w:rPr>
        <w:t>Serious claim</w:t>
      </w:r>
    </w:p>
    <w:p w:rsidR="006D2B6B" w:rsidRDefault="006D2B6B" w:rsidP="00513A50">
      <w:pPr>
        <w:pStyle w:val="BodyText1"/>
      </w:pPr>
      <w:r>
        <w:t xml:space="preserve">A workers’ compensation claim for an incapacity requiring an absence from work of one working week or more, lodged in the reference year, and accepted for compensation by the jurisdiction by the date the data are extracted for publication. Claims in receipt of common law payments are also included. </w:t>
      </w:r>
    </w:p>
    <w:p w:rsidR="006D2B6B" w:rsidRDefault="006D2B6B" w:rsidP="00513A50">
      <w:pPr>
        <w:pStyle w:val="BodyText1"/>
      </w:pPr>
      <w:r>
        <w:t>Claims arising from a journey to or from work or during a recess period are not compensable in all jurisdictions, and are excluded from the analysis in this publication.</w:t>
      </w:r>
    </w:p>
    <w:p w:rsidR="008B170D" w:rsidRDefault="008B170D" w:rsidP="00430606">
      <w:pPr>
        <w:pStyle w:val="Glossary-sub"/>
      </w:pPr>
      <w:r>
        <w:t>Time lost</w:t>
      </w:r>
    </w:p>
    <w:p w:rsidR="008B170D" w:rsidRDefault="008B170D" w:rsidP="00513A50">
      <w:pPr>
        <w:pStyle w:val="BodyText1"/>
      </w:pPr>
      <w:r>
        <w:t>The number of compensated hours an employee was absent from work.</w:t>
      </w:r>
    </w:p>
    <w:p w:rsidR="008B170D" w:rsidRPr="008B170D" w:rsidRDefault="008B170D" w:rsidP="00430606">
      <w:pPr>
        <w:pStyle w:val="Glossary-sub"/>
        <w:rPr>
          <w:rFonts w:eastAsiaTheme="majorEastAsia"/>
        </w:rPr>
      </w:pPr>
      <w:r w:rsidRPr="008B170D">
        <w:rPr>
          <w:rFonts w:eastAsiaTheme="majorEastAsia"/>
        </w:rPr>
        <w:t>Truck</w:t>
      </w:r>
    </w:p>
    <w:p w:rsidR="008B170D" w:rsidRDefault="008B170D" w:rsidP="00513A50">
      <w:pPr>
        <w:pStyle w:val="BodyText1"/>
      </w:pPr>
      <w:r>
        <w:t xml:space="preserve">A general definition of a truck has been applied in this publication. The Australian Road Deaths Database applies a restriction to those vehicles 4.5 </w:t>
      </w:r>
      <w:proofErr w:type="spellStart"/>
      <w:r>
        <w:t>tonne</w:t>
      </w:r>
      <w:proofErr w:type="spellEnd"/>
      <w:r>
        <w:t xml:space="preserve"> and over, however delivery trucks that may not be this gross mass are also included in this analysis. Trucks also include cement mixers, mobile garbage compactors, street sweepers and crane trucks.</w:t>
      </w:r>
    </w:p>
    <w:p w:rsidR="008B170D" w:rsidRDefault="008B170D" w:rsidP="00430606">
      <w:pPr>
        <w:pStyle w:val="Glossary-sub"/>
      </w:pPr>
      <w:r>
        <w:t>Type of occurrence classification system (</w:t>
      </w:r>
      <w:proofErr w:type="spellStart"/>
      <w:r>
        <w:t>TOOCS</w:t>
      </w:r>
      <w:proofErr w:type="spellEnd"/>
      <w:r>
        <w:t>)</w:t>
      </w:r>
    </w:p>
    <w:p w:rsidR="008B170D" w:rsidRDefault="008B170D" w:rsidP="00513A50">
      <w:pPr>
        <w:pStyle w:val="BodyText1"/>
      </w:pPr>
      <w:r>
        <w:t>A suite of four classifications to code the way an injury occurred, comprising:</w:t>
      </w:r>
    </w:p>
    <w:p w:rsidR="008B170D" w:rsidRDefault="008B170D" w:rsidP="00513A50">
      <w:pPr>
        <w:pStyle w:val="BodyText1"/>
      </w:pPr>
      <w:proofErr w:type="gramStart"/>
      <w:r>
        <w:t>the</w:t>
      </w:r>
      <w:proofErr w:type="gramEnd"/>
      <w:r>
        <w:t xml:space="preserve"> Nature of injury/disease classification</w:t>
      </w:r>
    </w:p>
    <w:p w:rsidR="008B170D" w:rsidRDefault="008B170D" w:rsidP="00513A50">
      <w:pPr>
        <w:pStyle w:val="BodyText1"/>
      </w:pPr>
      <w:proofErr w:type="gramStart"/>
      <w:r>
        <w:t>the</w:t>
      </w:r>
      <w:proofErr w:type="gramEnd"/>
      <w:r>
        <w:t xml:space="preserve"> Bodily location of injury/disease classification</w:t>
      </w:r>
    </w:p>
    <w:p w:rsidR="008B170D" w:rsidRDefault="008B170D" w:rsidP="00513A50">
      <w:pPr>
        <w:pStyle w:val="BodyText1"/>
      </w:pPr>
      <w:proofErr w:type="gramStart"/>
      <w:r>
        <w:t>the</w:t>
      </w:r>
      <w:proofErr w:type="gramEnd"/>
      <w:r>
        <w:t xml:space="preserve"> Mechanism of incident classification, and </w:t>
      </w:r>
    </w:p>
    <w:p w:rsidR="008B170D" w:rsidRDefault="008B170D" w:rsidP="00513A50">
      <w:pPr>
        <w:pStyle w:val="BodyText1"/>
      </w:pPr>
      <w:proofErr w:type="gramStart"/>
      <w:r>
        <w:t>the</w:t>
      </w:r>
      <w:proofErr w:type="gramEnd"/>
      <w:r>
        <w:t xml:space="preserve"> Breakdown Agency of injury/disease classification.</w:t>
      </w:r>
    </w:p>
    <w:p w:rsidR="008B170D" w:rsidRDefault="008B170D" w:rsidP="00513A50">
      <w:pPr>
        <w:pStyle w:val="BodyText1"/>
      </w:pPr>
      <w:r>
        <w:t>Version 3.1 is used for coding the data presented in this report. Fatalities are only coded by Mechanism and Agency.</w:t>
      </w:r>
    </w:p>
    <w:p w:rsidR="008B170D" w:rsidRPr="00430606" w:rsidRDefault="008B170D" w:rsidP="00430606">
      <w:pPr>
        <w:pStyle w:val="Glossary-sub"/>
        <w:rPr>
          <w:rFonts w:eastAsiaTheme="majorEastAsia"/>
        </w:rPr>
      </w:pPr>
      <w:r w:rsidRPr="00430606">
        <w:rPr>
          <w:rFonts w:eastAsiaTheme="majorEastAsia"/>
        </w:rPr>
        <w:t>Vehicle incident</w:t>
      </w:r>
    </w:p>
    <w:p w:rsidR="008B170D" w:rsidRDefault="008B170D" w:rsidP="00513A50">
      <w:pPr>
        <w:pStyle w:val="BodyText1"/>
      </w:pPr>
      <w:r>
        <w:t xml:space="preserve">Part of the Mechanism of incident classification which identifies if the fatality occurred due to a vehicle crash and the occupant of the vehicle is killed. Vehicle crashes that occur on public roads are further classified as a Traffic incident. Vehicle incidents do not include people hit by a vehicle, which are coded to </w:t>
      </w:r>
      <w:proofErr w:type="gramStart"/>
      <w:r>
        <w:t>Being</w:t>
      </w:r>
      <w:proofErr w:type="gramEnd"/>
      <w:r>
        <w:t xml:space="preserve"> hit by moving object. Vehicles not only include cars and trucks but also include other </w:t>
      </w:r>
      <w:proofErr w:type="spellStart"/>
      <w:r>
        <w:t>motorised</w:t>
      </w:r>
      <w:proofErr w:type="spellEnd"/>
      <w:r>
        <w:t xml:space="preserve"> equipment such as aircraft, boats, loaders, tractors and quad bikes.</w:t>
      </w:r>
    </w:p>
    <w:p w:rsidR="008B170D" w:rsidRPr="008B170D" w:rsidRDefault="008B170D" w:rsidP="00430606">
      <w:pPr>
        <w:pStyle w:val="Glossary-sub"/>
        <w:rPr>
          <w:rFonts w:eastAsiaTheme="majorEastAsia"/>
        </w:rPr>
      </w:pPr>
      <w:r w:rsidRPr="008B170D">
        <w:rPr>
          <w:rFonts w:eastAsiaTheme="majorEastAsia"/>
        </w:rPr>
        <w:t>Worker fatality</w:t>
      </w:r>
    </w:p>
    <w:p w:rsidR="008B170D" w:rsidRDefault="008B170D" w:rsidP="00513A50">
      <w:pPr>
        <w:pStyle w:val="BodyText1"/>
      </w:pPr>
      <w:r>
        <w:t>The death of a person who dies from injuries sustained while at work, including those workers whose injury was caused by another’s work activity.</w:t>
      </w:r>
    </w:p>
    <w:p w:rsidR="008B170D" w:rsidRPr="008B170D" w:rsidRDefault="008B170D" w:rsidP="00430606">
      <w:pPr>
        <w:pStyle w:val="Glossary-sub"/>
        <w:rPr>
          <w:rFonts w:eastAsiaTheme="majorEastAsia"/>
        </w:rPr>
      </w:pPr>
      <w:r w:rsidRPr="008B170D">
        <w:rPr>
          <w:rFonts w:eastAsiaTheme="majorEastAsia"/>
        </w:rPr>
        <w:t>Working week</w:t>
      </w:r>
    </w:p>
    <w:p w:rsidR="008B170D" w:rsidRDefault="008B170D" w:rsidP="00513A50">
      <w:pPr>
        <w:pStyle w:val="BodyText1"/>
      </w:pPr>
      <w:r>
        <w:t xml:space="preserve">The number of working weeks lost is calculated by dividing the amount of time lost by the hours usually worked per week by the employee. Claims requiring one working week or more of time off are classified as serious claims (see </w:t>
      </w:r>
      <w:proofErr w:type="gramStart"/>
      <w:r>
        <w:t>Serious</w:t>
      </w:r>
      <w:proofErr w:type="gramEnd"/>
      <w:r>
        <w:t xml:space="preserve"> claim).</w:t>
      </w:r>
    </w:p>
    <w:p w:rsidR="008B170D" w:rsidRDefault="008B170D" w:rsidP="008D72B2">
      <w:pPr>
        <w:pStyle w:val="Figureheadings"/>
      </w:pPr>
      <w:r>
        <w:br w:type="page"/>
      </w:r>
    </w:p>
    <w:p w:rsidR="008B170D" w:rsidRDefault="008B170D" w:rsidP="001F42A8">
      <w:pPr>
        <w:pStyle w:val="Heading1"/>
      </w:pPr>
      <w:bookmarkStart w:id="52" w:name="_Toc427590883"/>
      <w:r>
        <w:t>Explanatory Notes - Fatalities</w:t>
      </w:r>
      <w:bookmarkEnd w:id="52"/>
    </w:p>
    <w:p w:rsidR="008B170D" w:rsidRPr="008B170D" w:rsidRDefault="008B170D" w:rsidP="008B170D">
      <w:pPr>
        <w:pStyle w:val="Heading2"/>
      </w:pPr>
      <w:bookmarkStart w:id="53" w:name="_Toc427590884"/>
      <w:r w:rsidRPr="008B170D">
        <w:t>Inclusions</w:t>
      </w:r>
      <w:bookmarkEnd w:id="53"/>
    </w:p>
    <w:p w:rsidR="008B170D" w:rsidRDefault="008B170D" w:rsidP="00513A50">
      <w:pPr>
        <w:pStyle w:val="BodyText1"/>
      </w:pPr>
      <w:r>
        <w:t xml:space="preserve">This report covers fatalities due to work-related injuries and explicitly excludes deaths attributable to disease and other natural causes. Among conditions specifically included as injuries are those arising from poisonous plants and animals, environmental conditions (e.g. frostbite), allergic reactions, and </w:t>
      </w:r>
      <w:proofErr w:type="gramStart"/>
      <w:r>
        <w:t>embolisms.</w:t>
      </w:r>
      <w:proofErr w:type="gramEnd"/>
      <w:r>
        <w:t xml:space="preserve"> Heart attacks and strokes are regarded as natural causes of death, but where available information shows that a work-related injury directly triggers a fatal heart attack or stroke, the fatality is included.</w:t>
      </w:r>
    </w:p>
    <w:p w:rsidR="008B170D" w:rsidRDefault="008B170D" w:rsidP="008B170D">
      <w:pPr>
        <w:pStyle w:val="Heading3"/>
      </w:pPr>
      <w:bookmarkStart w:id="54" w:name="_Toc427590885"/>
      <w:r>
        <w:t>Worker fatalities</w:t>
      </w:r>
      <w:bookmarkEnd w:id="54"/>
    </w:p>
    <w:p w:rsidR="008B170D" w:rsidRDefault="008B170D" w:rsidP="00513A50">
      <w:pPr>
        <w:pStyle w:val="BodyText1"/>
      </w:pPr>
      <w:r>
        <w:t>All identified cases of persons who die from injuries sustained while they are working are included in this report. For this purpose, ‘working’ includes travelling from one workplace to another. So a trades worker or professional killed driving from one job or client to the next counts as a worker fatality. Similarly, a worker killed in an air crash on their way to a conference would be a worker fatality.</w:t>
      </w:r>
    </w:p>
    <w:p w:rsidR="008B170D" w:rsidRDefault="008B170D" w:rsidP="00513A50">
      <w:pPr>
        <w:pStyle w:val="BodyText1"/>
      </w:pPr>
      <w:r>
        <w:t>The number of worker fatalities shown in this report is considered reliable. However, some fatalities, particularly those related to traffic incidents, may be missed due to the way these deaths are identified. The information in the National Coronial Information System (</w:t>
      </w:r>
      <w:proofErr w:type="spellStart"/>
      <w:r>
        <w:t>NCIS</w:t>
      </w:r>
      <w:proofErr w:type="spellEnd"/>
      <w:r>
        <w:t>) relies heavily on information collected by the police and the police report may not include sufficient information to identify whether or not the deceased was working at the time of the incident.</w:t>
      </w:r>
    </w:p>
    <w:p w:rsidR="008B170D" w:rsidRDefault="008B170D" w:rsidP="008B170D">
      <w:pPr>
        <w:pStyle w:val="Heading3"/>
      </w:pPr>
      <w:bookmarkStart w:id="55" w:name="_Toc427590886"/>
      <w:r>
        <w:t>Bystander fatalities</w:t>
      </w:r>
      <w:bookmarkEnd w:id="55"/>
    </w:p>
    <w:p w:rsidR="008B170D" w:rsidRDefault="008B170D" w:rsidP="00513A50">
      <w:pPr>
        <w:pStyle w:val="BodyText1"/>
      </w:pPr>
      <w:r>
        <w:t>Deaths of people in the general public are included in this collection if the actions of a worker directly contributed to the death of the person. Under this definition an ‘at fault’ rule is applied. Information from a variety of sources including police reports is used to determine whether or not the bystander’s action directly contributed to their own death. If the bystander’s actions directly contributed to the death then the death is considered to be a ‘bystander fault’ death and is not included in the database. The most common example of this is when a non-working person drives their car into the path of a truck and is killed.</w:t>
      </w:r>
    </w:p>
    <w:p w:rsidR="008B170D" w:rsidRDefault="008B170D" w:rsidP="00513A50">
      <w:pPr>
        <w:pStyle w:val="BodyText1"/>
      </w:pPr>
      <w:r>
        <w:t xml:space="preserve">There are many difficulties in identifying bystander fatalities within the databases used in this study – bystanders cannot seek compensation through workers’ compensation; notifications depend on the work health and safety legislation of the jurisdiction; and they are only identified in the coronial database when sufficiently detailed information on the circumstances of all parties to the death is available. Most of the bystander fatalities in this report were identified by examining </w:t>
      </w:r>
      <w:proofErr w:type="spellStart"/>
      <w:r>
        <w:t>NCIS</w:t>
      </w:r>
      <w:proofErr w:type="spellEnd"/>
      <w:r>
        <w:t xml:space="preserve"> records involving heavy or light commercial vehicles as these are relatively few and can be manually checked. However, due to the higher number of deaths involving cars, it is not feasible to perform individual checks and a bystander death is not likely to be identified unless the </w:t>
      </w:r>
      <w:proofErr w:type="spellStart"/>
      <w:r>
        <w:t>NCIS</w:t>
      </w:r>
      <w:proofErr w:type="spellEnd"/>
      <w:r>
        <w:t xml:space="preserve"> record is marked as work-related or media has alerted the project to a possible work-related bystander death. Estimates of bystander fatalities in this collection should therefore be regarded as an undercount and movements over time interpreted with caution.</w:t>
      </w:r>
    </w:p>
    <w:p w:rsidR="008B170D" w:rsidRDefault="008B170D" w:rsidP="008B170D">
      <w:pPr>
        <w:pStyle w:val="Heading3"/>
      </w:pPr>
      <w:bookmarkStart w:id="56" w:name="_Toc427590887"/>
      <w:r>
        <w:t>Deaths resulting from criminal activity</w:t>
      </w:r>
      <w:bookmarkEnd w:id="56"/>
    </w:p>
    <w:p w:rsidR="008B170D" w:rsidRDefault="008B170D" w:rsidP="00513A50">
      <w:pPr>
        <w:pStyle w:val="BodyText1"/>
      </w:pPr>
      <w:r>
        <w:t xml:space="preserve">Persons sustaining fatal injuries as a result of someone else’s criminal activity are included in this collection if the decedent was at work at the time of the incident. Where the criminal activity is incidental to legitimate work activity, for example, where a worker dies of an injury sustained while under the influence of legal or illegal substances, the fatality is also included. Non-working persons fatally injured in an incident involving criminals and law enforcement officers or security officers are included as Bystanders. In the case of a bystander who is killed while the police are pursuing a vehicle for </w:t>
      </w:r>
      <w:proofErr w:type="gramStart"/>
      <w:r>
        <w:t>a traffic</w:t>
      </w:r>
      <w:proofErr w:type="gramEnd"/>
      <w:r>
        <w:t xml:space="preserve"> or other violation the death will be included regardless of whether they were hit by the police car or the offender’s car.</w:t>
      </w:r>
    </w:p>
    <w:p w:rsidR="008B170D" w:rsidRDefault="008B170D" w:rsidP="008B170D">
      <w:pPr>
        <w:pStyle w:val="Heading3"/>
      </w:pPr>
      <w:bookmarkStart w:id="57" w:name="_Toc427590888"/>
      <w:r>
        <w:t>Classification of fatalities</w:t>
      </w:r>
      <w:bookmarkEnd w:id="57"/>
    </w:p>
    <w:p w:rsidR="008B170D" w:rsidRDefault="008B170D" w:rsidP="00513A50">
      <w:pPr>
        <w:pStyle w:val="BodyText1"/>
      </w:pPr>
      <w:r>
        <w:t xml:space="preserve">Persons who die of injuries sustained while they are working are included among worker fatalities even when the cause of the injury is another person’s work activity. </w:t>
      </w:r>
    </w:p>
    <w:p w:rsidR="008B170D" w:rsidRPr="008B170D" w:rsidRDefault="008B170D" w:rsidP="008B170D">
      <w:pPr>
        <w:pStyle w:val="Heading2"/>
      </w:pPr>
      <w:bookmarkStart w:id="58" w:name="_Toc427590889"/>
      <w:r w:rsidRPr="008B170D">
        <w:t>Exclusions</w:t>
      </w:r>
      <w:bookmarkEnd w:id="58"/>
      <w:r w:rsidRPr="008B170D">
        <w:t xml:space="preserve"> </w:t>
      </w:r>
    </w:p>
    <w:p w:rsidR="008B170D" w:rsidRDefault="008B170D" w:rsidP="008B170D">
      <w:pPr>
        <w:pStyle w:val="Heading3"/>
      </w:pPr>
      <w:bookmarkStart w:id="59" w:name="_Toc427590890"/>
      <w:r>
        <w:t>Deaths due to natural causes</w:t>
      </w:r>
      <w:bookmarkEnd w:id="59"/>
    </w:p>
    <w:p w:rsidR="008B170D" w:rsidRDefault="008B170D" w:rsidP="00513A50">
      <w:pPr>
        <w:pStyle w:val="BodyText1"/>
      </w:pPr>
      <w:r>
        <w:t xml:space="preserve">Natural causes include heart attacks, strokes and where death is a natural progression from a disease. In </w:t>
      </w:r>
      <w:proofErr w:type="spellStart"/>
      <w:r>
        <w:t>NCIS</w:t>
      </w:r>
      <w:proofErr w:type="spellEnd"/>
      <w:r>
        <w:t xml:space="preserve"> a death is classed as Natural causes when the person did not die from external causes. An external cause death is defined as any death that resulted directly or indirectly from environmental events or circumstances that caused injury, poisoning and other adverse effects (WHO, 1992).</w:t>
      </w:r>
    </w:p>
    <w:p w:rsidR="008B170D" w:rsidRDefault="008B170D" w:rsidP="008B170D">
      <w:pPr>
        <w:pStyle w:val="Heading3"/>
      </w:pPr>
      <w:bookmarkStart w:id="60" w:name="_Toc427590891"/>
      <w:r>
        <w:t>Deaths due to complications of surgical and medical care</w:t>
      </w:r>
      <w:bookmarkEnd w:id="60"/>
    </w:p>
    <w:p w:rsidR="008B170D" w:rsidRDefault="008B170D" w:rsidP="00513A50">
      <w:pPr>
        <w:pStyle w:val="BodyText1"/>
      </w:pPr>
      <w:r>
        <w:t>Although the death of a patient who dies as a result of medical negligence or malpractice is in principle a bystander fatality, deaths arising from such iatrogenic injuries are specifically excluded from this collection.</w:t>
      </w:r>
    </w:p>
    <w:p w:rsidR="008B170D" w:rsidRDefault="008B170D" w:rsidP="008B170D">
      <w:pPr>
        <w:pStyle w:val="Heading3"/>
      </w:pPr>
      <w:bookmarkStart w:id="61" w:name="_Toc427590892"/>
      <w:r>
        <w:t>Deaths of persons undertaking criminal activity</w:t>
      </w:r>
      <w:bookmarkEnd w:id="61"/>
    </w:p>
    <w:p w:rsidR="008B170D" w:rsidRDefault="008B170D" w:rsidP="00513A50">
      <w:pPr>
        <w:pStyle w:val="BodyText1"/>
      </w:pPr>
      <w:r>
        <w:t>Persons fatally injured while undertaking criminal activities, such as gaining illegal entry into a building or work site or crashing a car while evading a police pursuit are excluded from this collection.</w:t>
      </w:r>
    </w:p>
    <w:p w:rsidR="008B170D" w:rsidRDefault="008B170D" w:rsidP="008B170D">
      <w:pPr>
        <w:pStyle w:val="Heading3"/>
      </w:pPr>
      <w:bookmarkStart w:id="62" w:name="_Toc427590893"/>
      <w:r>
        <w:t>Suicide</w:t>
      </w:r>
      <w:bookmarkEnd w:id="62"/>
    </w:p>
    <w:p w:rsidR="008B170D" w:rsidRDefault="008B170D" w:rsidP="00513A50">
      <w:pPr>
        <w:pStyle w:val="BodyText1"/>
      </w:pPr>
      <w:r>
        <w:t>Deaths resulting from self-harm are excluded because it is difficult to assess the extent of the connection between work and a decision to take one’s own life.</w:t>
      </w:r>
    </w:p>
    <w:p w:rsidR="008B170D" w:rsidRPr="008B170D" w:rsidRDefault="008B170D" w:rsidP="008B170D">
      <w:pPr>
        <w:pStyle w:val="Heading2"/>
      </w:pPr>
      <w:bookmarkStart w:id="63" w:name="_Toc427590894"/>
      <w:r w:rsidRPr="008B170D">
        <w:t>Data sources</w:t>
      </w:r>
      <w:bookmarkEnd w:id="63"/>
    </w:p>
    <w:p w:rsidR="008B170D" w:rsidRDefault="008B170D" w:rsidP="00513A50">
      <w:pPr>
        <w:pStyle w:val="BodyText1"/>
      </w:pPr>
      <w:r>
        <w:t xml:space="preserve">This study uses information from three datasets: </w:t>
      </w:r>
    </w:p>
    <w:p w:rsidR="008B170D" w:rsidRDefault="008B170D" w:rsidP="00513A50">
      <w:pPr>
        <w:pStyle w:val="BodyText1"/>
      </w:pPr>
      <w:proofErr w:type="gramStart"/>
      <w:r>
        <w:t>the</w:t>
      </w:r>
      <w:proofErr w:type="gramEnd"/>
      <w:r>
        <w:t xml:space="preserve"> National Data Set for Compensation-based Statistics (</w:t>
      </w:r>
      <w:proofErr w:type="spellStart"/>
      <w:r>
        <w:t>NDS</w:t>
      </w:r>
      <w:proofErr w:type="spellEnd"/>
      <w:r>
        <w:t>)</w:t>
      </w:r>
    </w:p>
    <w:p w:rsidR="008B170D" w:rsidRDefault="008B170D" w:rsidP="00513A50">
      <w:pPr>
        <w:pStyle w:val="BodyText1"/>
      </w:pPr>
      <w:proofErr w:type="gramStart"/>
      <w:r>
        <w:t>the</w:t>
      </w:r>
      <w:proofErr w:type="gramEnd"/>
      <w:r>
        <w:t xml:space="preserve"> Notifiable Fatalities Collection (NFC), and</w:t>
      </w:r>
    </w:p>
    <w:p w:rsidR="008B170D" w:rsidRDefault="008B170D" w:rsidP="00513A50">
      <w:pPr>
        <w:pStyle w:val="BodyText1"/>
      </w:pPr>
      <w:proofErr w:type="gramStart"/>
      <w:r>
        <w:t>the</w:t>
      </w:r>
      <w:proofErr w:type="gramEnd"/>
      <w:r>
        <w:t xml:space="preserve"> National Coronial Information System (</w:t>
      </w:r>
      <w:proofErr w:type="spellStart"/>
      <w:r>
        <w:t>NCIS</w:t>
      </w:r>
      <w:proofErr w:type="spellEnd"/>
      <w:r>
        <w:t xml:space="preserve">). </w:t>
      </w:r>
    </w:p>
    <w:p w:rsidR="008B170D" w:rsidRDefault="008B170D" w:rsidP="00513A50">
      <w:pPr>
        <w:pStyle w:val="BodyText1"/>
      </w:pPr>
      <w:r>
        <w:t xml:space="preserve">The individual case records from each of the datasets are compared so that duplicates can be removed. Generally date of death and sex are used for initial matching as these data are available for most cases. Date of birth is also used to match records between the </w:t>
      </w:r>
      <w:proofErr w:type="spellStart"/>
      <w:r>
        <w:t>NDS</w:t>
      </w:r>
      <w:proofErr w:type="spellEnd"/>
      <w:r>
        <w:t xml:space="preserve"> and </w:t>
      </w:r>
      <w:proofErr w:type="spellStart"/>
      <w:r>
        <w:t>NCIS</w:t>
      </w:r>
      <w:proofErr w:type="spellEnd"/>
      <w:r>
        <w:t xml:space="preserve"> with age used from the NFC. Other data items used for matching are industry and occupation of the deceased and the coding of the incident in the </w:t>
      </w:r>
      <w:proofErr w:type="spellStart"/>
      <w:r>
        <w:t>NDS</w:t>
      </w:r>
      <w:proofErr w:type="spellEnd"/>
      <w:r>
        <w:t xml:space="preserve"> with narratives in the NFC and </w:t>
      </w:r>
      <w:proofErr w:type="spellStart"/>
      <w:r>
        <w:t>NCIS</w:t>
      </w:r>
      <w:proofErr w:type="spellEnd"/>
      <w:r>
        <w:t xml:space="preserve">. Each of these datasets has limitations, so all three datasets are needed to estimate the total number of work-related fatalities that occur each year. </w:t>
      </w:r>
    </w:p>
    <w:p w:rsidR="008B170D" w:rsidRDefault="008B170D" w:rsidP="001F42A8">
      <w:pPr>
        <w:pStyle w:val="Heading3"/>
      </w:pPr>
      <w:bookmarkStart w:id="64" w:name="_Toc427590895"/>
      <w:r>
        <w:t>The National Data Set for Compensation-based Statistics (</w:t>
      </w:r>
      <w:proofErr w:type="spellStart"/>
      <w:r>
        <w:t>NDS</w:t>
      </w:r>
      <w:proofErr w:type="spellEnd"/>
      <w:r>
        <w:t>)</w:t>
      </w:r>
      <w:bookmarkEnd w:id="64"/>
    </w:p>
    <w:p w:rsidR="008B170D" w:rsidRDefault="008B170D" w:rsidP="00513A50">
      <w:pPr>
        <w:pStyle w:val="BodyText1"/>
      </w:pPr>
      <w:r>
        <w:t xml:space="preserve">The scope of the </w:t>
      </w:r>
      <w:proofErr w:type="spellStart"/>
      <w:r>
        <w:t>NDS</w:t>
      </w:r>
      <w:proofErr w:type="spellEnd"/>
      <w:r>
        <w:t xml:space="preserve"> is all accepted workers’ compensation claims made by or for an employee (other than an employee of the </w:t>
      </w:r>
      <w:proofErr w:type="spellStart"/>
      <w:r>
        <w:t>defence</w:t>
      </w:r>
      <w:proofErr w:type="spellEnd"/>
      <w:r>
        <w:t xml:space="preserve"> forces). The </w:t>
      </w:r>
      <w:proofErr w:type="spellStart"/>
      <w:r>
        <w:t>NDS</w:t>
      </w:r>
      <w:proofErr w:type="spellEnd"/>
      <w:r>
        <w:t xml:space="preserve"> is compiled annually by Safe Work Australia from data supplied by the state, territory and Australian Government workers’ compensation authorities. The </w:t>
      </w:r>
      <w:proofErr w:type="spellStart"/>
      <w:r>
        <w:t>NDS</w:t>
      </w:r>
      <w:proofErr w:type="spellEnd"/>
      <w:r>
        <w:t xml:space="preserve"> has consistent data from 2000–01 onwards.</w:t>
      </w:r>
    </w:p>
    <w:p w:rsidR="008B170D" w:rsidRDefault="008B170D" w:rsidP="001F42A8">
      <w:pPr>
        <w:pStyle w:val="Heading3"/>
      </w:pPr>
      <w:bookmarkStart w:id="65" w:name="_Toc427590896"/>
      <w:r>
        <w:t>Notifiable Fatalities Collection (NFC)</w:t>
      </w:r>
      <w:bookmarkEnd w:id="65"/>
    </w:p>
    <w:p w:rsidR="008B170D" w:rsidRDefault="008B170D" w:rsidP="00513A50">
      <w:pPr>
        <w:pStyle w:val="BodyText1"/>
      </w:pPr>
      <w:r>
        <w:t>Since 1 July 2003, Safe Work Australia has maintained a database of work-related injury fatalities notified to work health and safety authorities in each jurisdiction under their work health and safety legislation. There are 13 work health and safety jurisdictions in Australia that report to Safe Work Australia: each of the eight states and territories; the Commonwealth (</w:t>
      </w:r>
      <w:proofErr w:type="spellStart"/>
      <w:r>
        <w:t>Comcare</w:t>
      </w:r>
      <w:proofErr w:type="spellEnd"/>
      <w:r>
        <w:t>); the mining sectors in New South Wales, Queensland and Western Australia; and the National Offshore Petroleum Safety and Environmental Management Authority.</w:t>
      </w:r>
    </w:p>
    <w:p w:rsidR="008B170D" w:rsidRDefault="008B170D" w:rsidP="00513A50">
      <w:pPr>
        <w:pStyle w:val="BodyText1"/>
      </w:pPr>
      <w:r>
        <w:t>Prior to 1 January 2012 there was limited coverage of transport-related fatalities in the NFC because these deaths were generally only notified to and investigated by the police, road traffic authority or, in the case of plane crashes and marine fatalities, by Commonwealth agencies. Following the introduction of model Work Health and Safety legislation this project was reviewed and from 1 January 2012 improvements in the reporting of fatalities has occurred particularly in relation to work-related road fatalities.</w:t>
      </w:r>
    </w:p>
    <w:p w:rsidR="008B170D" w:rsidRDefault="008B170D" w:rsidP="001F42A8">
      <w:pPr>
        <w:pStyle w:val="Heading3"/>
      </w:pPr>
      <w:bookmarkStart w:id="66" w:name="_Toc427590897"/>
      <w:r>
        <w:t>National Coronial Information System (</w:t>
      </w:r>
      <w:proofErr w:type="spellStart"/>
      <w:r>
        <w:t>NCIS</w:t>
      </w:r>
      <w:proofErr w:type="spellEnd"/>
      <w:r>
        <w:t>)</w:t>
      </w:r>
      <w:bookmarkEnd w:id="66"/>
    </w:p>
    <w:p w:rsidR="008B170D" w:rsidRDefault="008B170D" w:rsidP="00513A50">
      <w:pPr>
        <w:pStyle w:val="BodyText1"/>
      </w:pPr>
      <w:r>
        <w:t xml:space="preserve">The </w:t>
      </w:r>
      <w:proofErr w:type="spellStart"/>
      <w:r>
        <w:t>NCIS</w:t>
      </w:r>
      <w:proofErr w:type="spellEnd"/>
      <w:r>
        <w:t xml:space="preserve"> was officially launched in July 2000 and is a national internet-based data storage and retrieval system of coronial cases in Australia. Each state and territory in Australia has a </w:t>
      </w:r>
      <w:proofErr w:type="spellStart"/>
      <w:r>
        <w:t>licence</w:t>
      </w:r>
      <w:proofErr w:type="spellEnd"/>
      <w:r>
        <w:t xml:space="preserve"> agreement with the Victorian Department of Justice permitting the transfer of coronial information for storage and dissemination via the </w:t>
      </w:r>
      <w:proofErr w:type="spellStart"/>
      <w:r>
        <w:t>NCIS</w:t>
      </w:r>
      <w:proofErr w:type="spellEnd"/>
      <w:r>
        <w:t xml:space="preserve">. </w:t>
      </w:r>
    </w:p>
    <w:p w:rsidR="008B170D" w:rsidRDefault="008B170D" w:rsidP="001F42A8">
      <w:pPr>
        <w:pStyle w:val="Heading3"/>
      </w:pPr>
      <w:bookmarkStart w:id="67" w:name="_Toc427590898"/>
      <w:r>
        <w:t xml:space="preserve">Identification of work-related fatalities in the </w:t>
      </w:r>
      <w:proofErr w:type="spellStart"/>
      <w:r>
        <w:t>NCIS</w:t>
      </w:r>
      <w:bookmarkEnd w:id="67"/>
      <w:proofErr w:type="spellEnd"/>
    </w:p>
    <w:p w:rsidR="008B170D" w:rsidRDefault="008B170D" w:rsidP="00513A50">
      <w:pPr>
        <w:pStyle w:val="BodyText1"/>
      </w:pPr>
      <w:r>
        <w:t xml:space="preserve">It is necessary to examine all </w:t>
      </w:r>
      <w:proofErr w:type="spellStart"/>
      <w:r>
        <w:t>NCIS</w:t>
      </w:r>
      <w:proofErr w:type="spellEnd"/>
      <w:r>
        <w:t xml:space="preserve"> records that have the potential to be work-related because the work-related flag may not be </w:t>
      </w:r>
      <w:proofErr w:type="spellStart"/>
      <w:r>
        <w:t>finalised</w:t>
      </w:r>
      <w:proofErr w:type="spellEnd"/>
      <w:r>
        <w:t xml:space="preserve"> until the case is closed. For this project all records notified during the reference period are extracted from </w:t>
      </w:r>
      <w:proofErr w:type="spellStart"/>
      <w:r>
        <w:t>NCIS</w:t>
      </w:r>
      <w:proofErr w:type="spellEnd"/>
      <w:r>
        <w:t xml:space="preserve">. From this list, deaths are excluded that do not match the scope criteria such as intentional injuries and deaths from natural causes. The remaining cases are then examined more closely. In particular, all deaths that are coded as work-related or where the activity is coded as paid work are reviewed. In addition, all deaths that involve a heavy or light commercial vehicle, aircraft or occurred at a farm, industrial or commercial workplace are reviewed. </w:t>
      </w:r>
    </w:p>
    <w:p w:rsidR="008B170D" w:rsidRDefault="008B170D" w:rsidP="00513A50">
      <w:pPr>
        <w:pStyle w:val="BodyText1"/>
      </w:pPr>
      <w:r>
        <w:t>At the end of this process there are still a number of fatalities where cause of death and other information is not yet coded. These records are monitored to ensure all work-related fatalities are identified. Therefore updates to historical numbers may be evident in future releases.</w:t>
      </w:r>
    </w:p>
    <w:p w:rsidR="008B170D" w:rsidRDefault="008B170D" w:rsidP="001F42A8">
      <w:pPr>
        <w:pStyle w:val="Heading3"/>
      </w:pPr>
      <w:bookmarkStart w:id="68" w:name="_Toc427590899"/>
      <w:r>
        <w:t>Other data sources</w:t>
      </w:r>
      <w:bookmarkEnd w:id="68"/>
    </w:p>
    <w:p w:rsidR="008B170D" w:rsidRDefault="008B170D" w:rsidP="00513A50">
      <w:pPr>
        <w:pStyle w:val="BodyText1"/>
      </w:pPr>
      <w:r>
        <w:t xml:space="preserve">The media and accident investigation reports from the Australian Transport Safety Bureau relating to plane crashes, train crashes and maritime incidents are used to supplement information found in each of the datasets. </w:t>
      </w:r>
    </w:p>
    <w:p w:rsidR="008B170D" w:rsidRDefault="008B170D" w:rsidP="001F42A8">
      <w:pPr>
        <w:pStyle w:val="Heading1"/>
      </w:pPr>
      <w:bookmarkStart w:id="69" w:name="_Toc427590900"/>
      <w:r>
        <w:t>Explanatory notes - Work-Related Injuries Survey</w:t>
      </w:r>
      <w:bookmarkEnd w:id="69"/>
    </w:p>
    <w:p w:rsidR="008B170D" w:rsidRDefault="008B170D" w:rsidP="00513A50">
      <w:pPr>
        <w:pStyle w:val="BodyText1"/>
      </w:pPr>
      <w:r>
        <w:t>The work-related injuries statistics were compiled from data collected in the Multipurpose Household Survey (</w:t>
      </w:r>
      <w:proofErr w:type="spellStart"/>
      <w:r>
        <w:t>MPHS</w:t>
      </w:r>
      <w:proofErr w:type="spellEnd"/>
      <w:r>
        <w:t xml:space="preserve">) that was conducted throughout Australia in the 2009–10 financial </w:t>
      </w:r>
      <w:proofErr w:type="gramStart"/>
      <w:r>
        <w:t>year</w:t>
      </w:r>
      <w:proofErr w:type="gramEnd"/>
      <w:r>
        <w:t xml:space="preserve"> as a supplement to the ABS monthly </w:t>
      </w:r>
      <w:proofErr w:type="spellStart"/>
      <w:r>
        <w:t>Labour</w:t>
      </w:r>
      <w:proofErr w:type="spellEnd"/>
      <w:r>
        <w:t xml:space="preserve"> Force Survey (</w:t>
      </w:r>
      <w:proofErr w:type="spellStart"/>
      <w:r>
        <w:t>LFS</w:t>
      </w:r>
      <w:proofErr w:type="spellEnd"/>
      <w:r>
        <w:t xml:space="preserve">). </w:t>
      </w:r>
    </w:p>
    <w:p w:rsidR="008B170D" w:rsidRDefault="008B170D" w:rsidP="00513A50">
      <w:pPr>
        <w:pStyle w:val="BodyText1"/>
      </w:pPr>
      <w:r>
        <w:t xml:space="preserve">The publication </w:t>
      </w:r>
      <w:proofErr w:type="spellStart"/>
      <w:r>
        <w:rPr>
          <w:rStyle w:val="Classificationitalics"/>
        </w:rPr>
        <w:t>Labour</w:t>
      </w:r>
      <w:proofErr w:type="spellEnd"/>
      <w:r>
        <w:rPr>
          <w:rStyle w:val="Classificationitalics"/>
        </w:rPr>
        <w:t xml:space="preserve"> Force, Australia</w:t>
      </w:r>
      <w:r>
        <w:t xml:space="preserve"> (cat. no. 6202.0) contains information about survey design, scope, </w:t>
      </w:r>
      <w:proofErr w:type="gramStart"/>
      <w:r>
        <w:t>coverage</w:t>
      </w:r>
      <w:proofErr w:type="gramEnd"/>
      <w:r>
        <w:t xml:space="preserve"> and population benchmarks relevant to the monthly </w:t>
      </w:r>
      <w:proofErr w:type="spellStart"/>
      <w:r>
        <w:t>LFS</w:t>
      </w:r>
      <w:proofErr w:type="spellEnd"/>
      <w:r>
        <w:t xml:space="preserve">, which also applies to the </w:t>
      </w:r>
      <w:proofErr w:type="spellStart"/>
      <w:r>
        <w:t>MPHS</w:t>
      </w:r>
      <w:proofErr w:type="spellEnd"/>
      <w:r>
        <w:t xml:space="preserve">. It also contains definitions of demographic and </w:t>
      </w:r>
      <w:proofErr w:type="spellStart"/>
      <w:r>
        <w:t>labour</w:t>
      </w:r>
      <w:proofErr w:type="spellEnd"/>
      <w:r>
        <w:t xml:space="preserve"> force characteristics, and information about telephone interviewing relevant to both the monthly </w:t>
      </w:r>
      <w:proofErr w:type="spellStart"/>
      <w:r>
        <w:t>LFS</w:t>
      </w:r>
      <w:proofErr w:type="spellEnd"/>
      <w:r>
        <w:t xml:space="preserve"> and </w:t>
      </w:r>
      <w:proofErr w:type="spellStart"/>
      <w:r>
        <w:t>MPHS</w:t>
      </w:r>
      <w:proofErr w:type="spellEnd"/>
      <w:r>
        <w:t>.</w:t>
      </w:r>
    </w:p>
    <w:p w:rsidR="008B170D" w:rsidRDefault="008B170D" w:rsidP="001F42A8">
      <w:pPr>
        <w:pStyle w:val="Heading2"/>
      </w:pPr>
      <w:bookmarkStart w:id="70" w:name="_Toc427590901"/>
      <w:r>
        <w:t>Collection Methodology</w:t>
      </w:r>
      <w:bookmarkEnd w:id="70"/>
    </w:p>
    <w:p w:rsidR="008B170D" w:rsidRDefault="008B170D" w:rsidP="00513A50">
      <w:pPr>
        <w:pStyle w:val="BodyText1"/>
      </w:pPr>
      <w:r>
        <w:t xml:space="preserve">ABS interviewers conducted personal interviews by either telephone or at selected dwellings during the 2009–10 financial </w:t>
      </w:r>
      <w:proofErr w:type="gramStart"/>
      <w:r>
        <w:t>year</w:t>
      </w:r>
      <w:proofErr w:type="gramEnd"/>
      <w:r>
        <w:t xml:space="preserve">. Each month a sample of approximately 1300 dwellings were selected for the main </w:t>
      </w:r>
      <w:proofErr w:type="spellStart"/>
      <w:r>
        <w:t>MPHS</w:t>
      </w:r>
      <w:proofErr w:type="spellEnd"/>
      <w:r>
        <w:t xml:space="preserve"> sample, and approximately 1300 to 1400 additional dwellings were selected for the extra </w:t>
      </w:r>
      <w:proofErr w:type="spellStart"/>
      <w:r>
        <w:t>MPHS</w:t>
      </w:r>
      <w:proofErr w:type="spellEnd"/>
      <w:r>
        <w:t xml:space="preserve"> sample. In these dwellings, after the </w:t>
      </w:r>
      <w:proofErr w:type="spellStart"/>
      <w:r>
        <w:t>LFS</w:t>
      </w:r>
      <w:proofErr w:type="spellEnd"/>
      <w:r>
        <w:t xml:space="preserve"> had been fully completed for each person in the household, a usual resident aged 15 years and over was selected at random and asked the additional </w:t>
      </w:r>
      <w:proofErr w:type="spellStart"/>
      <w:r>
        <w:t>MPHS</w:t>
      </w:r>
      <w:proofErr w:type="spellEnd"/>
      <w:r>
        <w:t xml:space="preserve"> questions in a personal interview. Information for this survey was collected using Computer Assisted Interviewing (</w:t>
      </w:r>
      <w:proofErr w:type="spellStart"/>
      <w:r>
        <w:t>CAI</w:t>
      </w:r>
      <w:proofErr w:type="spellEnd"/>
      <w:r>
        <w:t>), whereby responses are recorded directly onto an electronic questionnaire in a notebook computer.</w:t>
      </w:r>
    </w:p>
    <w:p w:rsidR="008B170D" w:rsidRDefault="008B170D" w:rsidP="001F42A8">
      <w:pPr>
        <w:pStyle w:val="Heading2"/>
      </w:pPr>
      <w:bookmarkStart w:id="71" w:name="_Toc427590902"/>
      <w:r>
        <w:t>Scope</w:t>
      </w:r>
      <w:bookmarkEnd w:id="71"/>
    </w:p>
    <w:p w:rsidR="008B170D" w:rsidRDefault="008B170D" w:rsidP="00513A50">
      <w:pPr>
        <w:pStyle w:val="BodyText1"/>
      </w:pPr>
      <w:r>
        <w:t xml:space="preserve">The scope of the </w:t>
      </w:r>
      <w:proofErr w:type="spellStart"/>
      <w:r>
        <w:t>LFS</w:t>
      </w:r>
      <w:proofErr w:type="spellEnd"/>
      <w:r>
        <w:t xml:space="preserve"> is restricted to people aged 15 years and over and excludes the following: </w:t>
      </w:r>
    </w:p>
    <w:p w:rsidR="008B170D" w:rsidRDefault="008B170D" w:rsidP="00513A50">
      <w:pPr>
        <w:pStyle w:val="BodyText1"/>
      </w:pPr>
      <w:proofErr w:type="gramStart"/>
      <w:r>
        <w:t>members</w:t>
      </w:r>
      <w:proofErr w:type="gramEnd"/>
      <w:r>
        <w:t xml:space="preserve"> of the permanent </w:t>
      </w:r>
      <w:proofErr w:type="spellStart"/>
      <w:r>
        <w:t>defence</w:t>
      </w:r>
      <w:proofErr w:type="spellEnd"/>
      <w:r>
        <w:t xml:space="preserve"> forces; </w:t>
      </w:r>
    </w:p>
    <w:p w:rsidR="008B170D" w:rsidRDefault="008B170D" w:rsidP="00513A50">
      <w:pPr>
        <w:pStyle w:val="BodyText1"/>
      </w:pPr>
      <w:proofErr w:type="gramStart"/>
      <w:r>
        <w:t>certain</w:t>
      </w:r>
      <w:proofErr w:type="gramEnd"/>
      <w:r>
        <w:t xml:space="preserve"> diplomatic personnel of overseas governments, customarily excluded from census and estimated population counts; </w:t>
      </w:r>
    </w:p>
    <w:p w:rsidR="008B170D" w:rsidRDefault="008B170D" w:rsidP="00513A50">
      <w:pPr>
        <w:pStyle w:val="BodyText1"/>
      </w:pPr>
      <w:proofErr w:type="gramStart"/>
      <w:r>
        <w:t>overseas</w:t>
      </w:r>
      <w:proofErr w:type="gramEnd"/>
      <w:r>
        <w:t xml:space="preserve"> residents in Australia; and </w:t>
      </w:r>
    </w:p>
    <w:p w:rsidR="008B170D" w:rsidRDefault="008B170D" w:rsidP="00513A50">
      <w:pPr>
        <w:pStyle w:val="BodyText1"/>
      </w:pPr>
      <w:proofErr w:type="gramStart"/>
      <w:r>
        <w:t>members</w:t>
      </w:r>
      <w:proofErr w:type="gramEnd"/>
      <w:r>
        <w:t xml:space="preserve"> of non-Australian </w:t>
      </w:r>
      <w:proofErr w:type="spellStart"/>
      <w:r>
        <w:t>defence</w:t>
      </w:r>
      <w:proofErr w:type="spellEnd"/>
      <w:r>
        <w:t xml:space="preserve"> forces (and their </w:t>
      </w:r>
      <w:proofErr w:type="spellStart"/>
      <w:r>
        <w:t>dependants</w:t>
      </w:r>
      <w:proofErr w:type="spellEnd"/>
      <w:r>
        <w:t>).</w:t>
      </w:r>
    </w:p>
    <w:p w:rsidR="008B170D" w:rsidRDefault="008B170D" w:rsidP="00513A50">
      <w:pPr>
        <w:pStyle w:val="BodyText1"/>
      </w:pPr>
      <w:r>
        <w:t xml:space="preserve">In addition the 2009–10 </w:t>
      </w:r>
      <w:proofErr w:type="spellStart"/>
      <w:r>
        <w:t>MPHS</w:t>
      </w:r>
      <w:proofErr w:type="spellEnd"/>
      <w:r>
        <w:t xml:space="preserve"> excluded the following: </w:t>
      </w:r>
    </w:p>
    <w:p w:rsidR="008B170D" w:rsidRDefault="008B170D" w:rsidP="00513A50">
      <w:pPr>
        <w:pStyle w:val="BodyText1"/>
      </w:pPr>
      <w:proofErr w:type="gramStart"/>
      <w:r>
        <w:t>people</w:t>
      </w:r>
      <w:proofErr w:type="gramEnd"/>
      <w:r>
        <w:t xml:space="preserve"> living in very remote parts of Australia; and </w:t>
      </w:r>
    </w:p>
    <w:p w:rsidR="008B170D" w:rsidRDefault="008B170D" w:rsidP="00513A50">
      <w:pPr>
        <w:pStyle w:val="BodyText1"/>
      </w:pPr>
      <w:r>
        <w:t>people living in non-private dwellings such as hotels, university residences, students at boarding schools, patients in hospitals, residents of homes (e.g. retirement homes, homes for people with disabilities), and inmates of prisons.</w:t>
      </w:r>
    </w:p>
    <w:p w:rsidR="008B170D" w:rsidRDefault="008B170D" w:rsidP="00513A50">
      <w:pPr>
        <w:pStyle w:val="BodyText1"/>
      </w:pPr>
      <w:r>
        <w:t xml:space="preserve">The 2009–10 </w:t>
      </w:r>
      <w:proofErr w:type="spellStart"/>
      <w:r>
        <w:t>MPHS</w:t>
      </w:r>
      <w:proofErr w:type="spellEnd"/>
      <w:r>
        <w:t xml:space="preserve"> was conducted in both urban and rural areas in all states and territories, but excluded people living in very remote parts of Australia. The exclusion of these people will have only a minor impact on any aggregate estimates that are produced for individual states and territories, except the Northern Territory where such people account for around 23% of the population.</w:t>
      </w:r>
    </w:p>
    <w:p w:rsidR="008B170D" w:rsidRDefault="008B170D" w:rsidP="001F42A8">
      <w:pPr>
        <w:pStyle w:val="Heading2"/>
      </w:pPr>
      <w:bookmarkStart w:id="72" w:name="_Toc427590903"/>
      <w:r>
        <w:t>Sample size</w:t>
      </w:r>
      <w:bookmarkEnd w:id="72"/>
    </w:p>
    <w:p w:rsidR="008B170D" w:rsidRDefault="008B170D" w:rsidP="00513A50">
      <w:pPr>
        <w:pStyle w:val="BodyText1"/>
      </w:pPr>
      <w:r>
        <w:t xml:space="preserve">The initial total sample for the Work-Related Injuries topic included in the </w:t>
      </w:r>
      <w:proofErr w:type="spellStart"/>
      <w:r>
        <w:t>MPHS</w:t>
      </w:r>
      <w:proofErr w:type="spellEnd"/>
      <w:r>
        <w:t xml:space="preserve"> 2009–10 consisted of approximately 38 655 private dwelling households, which is approximately double the standard </w:t>
      </w:r>
      <w:proofErr w:type="spellStart"/>
      <w:r>
        <w:t>MPHS</w:t>
      </w:r>
      <w:proofErr w:type="spellEnd"/>
      <w:r>
        <w:t xml:space="preserve"> sample. Of the 32 760 private dwelling households that remained in the survey after sample loss (e.g. households with </w:t>
      </w:r>
      <w:proofErr w:type="spellStart"/>
      <w:r>
        <w:t>LFS</w:t>
      </w:r>
      <w:proofErr w:type="spellEnd"/>
      <w:r>
        <w:t xml:space="preserve"> non-response, no residents in scope for the </w:t>
      </w:r>
      <w:proofErr w:type="spellStart"/>
      <w:r>
        <w:t>LFS</w:t>
      </w:r>
      <w:proofErr w:type="spellEnd"/>
      <w:r>
        <w:t xml:space="preserve"> or work-related injuries topic, vacant or derelict dwellings and dwellings under construction), approximately 88% were fully responding to the </w:t>
      </w:r>
      <w:proofErr w:type="spellStart"/>
      <w:r>
        <w:t>MPHS</w:t>
      </w:r>
      <w:proofErr w:type="spellEnd"/>
      <w:r>
        <w:t>. The number of completed interviews obtained from these private dwelling households (after taking into account the scope, coverage and sub-sampling exclusions) was 28 554 (14 205 for the main sample and 14 349 for the extra sample).</w:t>
      </w:r>
    </w:p>
    <w:p w:rsidR="008B170D" w:rsidRDefault="008B170D" w:rsidP="001F42A8">
      <w:pPr>
        <w:pStyle w:val="Heading2"/>
      </w:pPr>
      <w:bookmarkStart w:id="73" w:name="_Toc427590904"/>
      <w:r>
        <w:t>Estimation methods</w:t>
      </w:r>
      <w:bookmarkEnd w:id="73"/>
    </w:p>
    <w:p w:rsidR="008B170D" w:rsidRDefault="008B170D" w:rsidP="00513A50">
      <w:pPr>
        <w:pStyle w:val="BodyText1"/>
      </w:pPr>
      <w:r>
        <w:t xml:space="preserve">Weighting is the process of adjusting results from a sample survey to infer results for the total in scope population. To do this, a ‘weight’ is allocated to each sample unit, which, for the </w:t>
      </w:r>
      <w:proofErr w:type="spellStart"/>
      <w:r>
        <w:t>MPHS</w:t>
      </w:r>
      <w:proofErr w:type="spellEnd"/>
      <w:r>
        <w:t>, can either be a person or a household. The weight is a value which indicates how many population units are represented by the sample unit. The first step in calculating weights for each unit is to assign an initial weight, which is the inverse of the probability of being selected in the survey. The initial weights are then calibrated to align with independent estimates of the population of interest, referred to as ‘benchmarks’. Weights are calibrated against population benchmarks to ensure that the survey estimates conform to the independently estimated distribution of the population rather than the distribution within the sample itself.</w:t>
      </w:r>
    </w:p>
    <w:p w:rsidR="008B170D" w:rsidRDefault="008B170D" w:rsidP="00513A50">
      <w:pPr>
        <w:pStyle w:val="BodyText1"/>
      </w:pPr>
      <w:r>
        <w:t>The survey was benchmarked to the estimated civilian population aged 15 years and over living in private dwellings in each state and territory, excluding the scope exclusions listed above. The process of weighting ensures that the survey estimates conform to person benchmarks by state, part of state, age and sex, and to household benchmarks by state, part of state and household composition. These benchmarks are produced from estimates of the resident population derived independently of the survey.</w:t>
      </w:r>
    </w:p>
    <w:p w:rsidR="008B170D" w:rsidRDefault="008B170D" w:rsidP="001F42A8">
      <w:pPr>
        <w:pStyle w:val="Heading1"/>
      </w:pPr>
      <w:bookmarkStart w:id="74" w:name="_Toc427590905"/>
      <w:r>
        <w:t>Explanatory Notes - Workers’ compensation data</w:t>
      </w:r>
      <w:bookmarkEnd w:id="74"/>
    </w:p>
    <w:p w:rsidR="008B170D" w:rsidRDefault="008B170D" w:rsidP="001F42A8">
      <w:pPr>
        <w:pStyle w:val="Heading2"/>
      </w:pPr>
      <w:bookmarkStart w:id="75" w:name="_Toc427590906"/>
      <w:r>
        <w:t>Scope and coverage</w:t>
      </w:r>
      <w:bookmarkEnd w:id="75"/>
    </w:p>
    <w:p w:rsidR="008B170D" w:rsidRDefault="008B170D" w:rsidP="00513A50">
      <w:pPr>
        <w:pStyle w:val="BodyText1"/>
      </w:pPr>
      <w:r>
        <w:t>The workers’ compensation data presented in this publication are compiled annually from serious claims made under the state, territory and Commonwealth Government workers’ compensation Acts. The data shown for the 2011–12 financial year refer to all accepted claims for which payments were made (apart from payments for goods and services, such as medical treatment) lodged from 1 July 2010 to 30 June 2012, extracted as at 30 November 2012. The data do not include claims for work-related fatalities.</w:t>
      </w:r>
    </w:p>
    <w:p w:rsidR="008B170D" w:rsidRDefault="008B170D" w:rsidP="00513A50">
      <w:pPr>
        <w:pStyle w:val="BodyText1"/>
      </w:pPr>
      <w:r>
        <w:t>The statistics in this report do not cover all cases of occupational injuries and diseases for the following reasons:</w:t>
      </w:r>
    </w:p>
    <w:p w:rsidR="008B170D" w:rsidRDefault="008B170D" w:rsidP="00513A50">
      <w:pPr>
        <w:pStyle w:val="BodyText1"/>
      </w:pPr>
      <w:r>
        <w:t>Occupational injuries and diseases involving temporary incapacity and resulting in an absence from work of less than one usual working week are excluded.</w:t>
      </w:r>
    </w:p>
    <w:p w:rsidR="008B170D" w:rsidRDefault="008B170D" w:rsidP="00513A50">
      <w:pPr>
        <w:pStyle w:val="BodyText1"/>
      </w:pPr>
      <w:r>
        <w:t>Claims arising from a journey to or from work or during recess period are excluded.</w:t>
      </w:r>
    </w:p>
    <w:p w:rsidR="008B170D" w:rsidRDefault="008B170D" w:rsidP="00513A50">
      <w:pPr>
        <w:pStyle w:val="BodyText1"/>
      </w:pPr>
      <w:r>
        <w:t>Workers’ compensation schemes do not generally provide coverage to self-employed workers, resulting in an understatement of the number of work-related injuries and diseases of workers employed in industries where self-employed workers are common. This includes the construction industry. Estimates of jobs and hours used as denominators in calculating incidence and frequency rates include only those worked by employees eligible for workers’ compensation.</w:t>
      </w:r>
    </w:p>
    <w:p w:rsidR="008B170D" w:rsidRDefault="008B170D" w:rsidP="001F42A8">
      <w:pPr>
        <w:pStyle w:val="Heading2"/>
      </w:pPr>
      <w:bookmarkStart w:id="76" w:name="_Toc427590907"/>
      <w:r>
        <w:t>Time lost from work</w:t>
      </w:r>
      <w:bookmarkEnd w:id="76"/>
    </w:p>
    <w:p w:rsidR="008B170D" w:rsidRDefault="008B170D" w:rsidP="00513A50">
      <w:pPr>
        <w:pStyle w:val="BodyText1"/>
      </w:pPr>
      <w:r>
        <w:t xml:space="preserve">Time lost figures shown in this publication are measured in working weeks lost from work and exclude estimates of future absences. </w:t>
      </w:r>
    </w:p>
    <w:p w:rsidR="008B170D" w:rsidRDefault="008B170D" w:rsidP="00513A50">
      <w:pPr>
        <w:pStyle w:val="BodyText1"/>
      </w:pPr>
      <w:r>
        <w:t>Time lost from work comprises the total period of time for which compensation was paid — the time lost is not necessarily continuous, and may occur over a number of separate periods. Where an employee returns to work on a part-time basis they may continue to receive pro-rata payments and the total number of hours for which compensation has been paid is included in calculating time lost.</w:t>
      </w:r>
    </w:p>
    <w:p w:rsidR="008B170D" w:rsidRDefault="008B170D" w:rsidP="001F42A8">
      <w:pPr>
        <w:pStyle w:val="Heading2"/>
      </w:pPr>
      <w:bookmarkStart w:id="77" w:name="_Toc427590908"/>
      <w:r>
        <w:t>Payments</w:t>
      </w:r>
      <w:bookmarkEnd w:id="77"/>
    </w:p>
    <w:p w:rsidR="008B170D" w:rsidRDefault="008B170D" w:rsidP="00513A50">
      <w:pPr>
        <w:pStyle w:val="BodyText1"/>
      </w:pPr>
      <w:r>
        <w:t>Median payments are rounded to the nearest $100 in this publication. Medians are used in preference to averages because a few long-term claims involving large compensation payments can skew the average. It is not possible to calculate total payments by multiplying the median payment by the number of claims.</w:t>
      </w:r>
    </w:p>
    <w:p w:rsidR="008B170D" w:rsidRDefault="008B170D" w:rsidP="00513A50">
      <w:pPr>
        <w:pStyle w:val="BodyText1"/>
      </w:pPr>
      <w:r>
        <w:t>The calculation of median payments excludes serious claims where only payments for goods and services, such as medical treatment, have been compensated.</w:t>
      </w:r>
    </w:p>
    <w:p w:rsidR="008B170D" w:rsidRDefault="008B170D" w:rsidP="001F42A8">
      <w:pPr>
        <w:pStyle w:val="Heading2"/>
      </w:pPr>
      <w:bookmarkStart w:id="78" w:name="_Toc427590909"/>
      <w:r>
        <w:t>Industry classification</w:t>
      </w:r>
      <w:bookmarkEnd w:id="78"/>
    </w:p>
    <w:p w:rsidR="008B170D" w:rsidRDefault="008B170D" w:rsidP="00513A50">
      <w:pPr>
        <w:pStyle w:val="BodyText1"/>
      </w:pPr>
      <w:r>
        <w:t>The industry shown in this publication for workers’ compensation claims is the industry of the establishment that formally employs the claimant, classified to the Australian and New Zealand Standard Industrial Classification (</w:t>
      </w:r>
      <w:proofErr w:type="spellStart"/>
      <w:r>
        <w:t>ANZSIC</w:t>
      </w:r>
      <w:proofErr w:type="spellEnd"/>
      <w:r>
        <w:t xml:space="preserve">), 1993 edition (ABS Cat. </w:t>
      </w:r>
      <w:proofErr w:type="gramStart"/>
      <w:r>
        <w:t>No. 1292.0).</w:t>
      </w:r>
      <w:proofErr w:type="gramEnd"/>
      <w:r>
        <w:t xml:space="preserve"> </w:t>
      </w:r>
    </w:p>
    <w:p w:rsidR="008B170D" w:rsidRDefault="008B170D" w:rsidP="001F42A8">
      <w:pPr>
        <w:pStyle w:val="Heading2"/>
      </w:pPr>
      <w:bookmarkStart w:id="79" w:name="_Toc427590910"/>
      <w:r>
        <w:t>Type of occurrence data</w:t>
      </w:r>
      <w:bookmarkEnd w:id="79"/>
    </w:p>
    <w:p w:rsidR="008B170D" w:rsidRDefault="008B170D" w:rsidP="00513A50">
      <w:pPr>
        <w:pStyle w:val="BodyText1"/>
      </w:pPr>
      <w:r>
        <w:t>Details of the ‘description of the occurrence’ reported on the workers’ compensation claim have been reported using the Type of Occurrence Classification System, Second Edition, (May 2002) (</w:t>
      </w:r>
      <w:proofErr w:type="spellStart"/>
      <w:r>
        <w:t>TOOCS2.1</w:t>
      </w:r>
      <w:proofErr w:type="spellEnd"/>
      <w:r>
        <w:t xml:space="preserve">). </w:t>
      </w:r>
    </w:p>
    <w:p w:rsidR="008B170D" w:rsidRDefault="008B170D" w:rsidP="00513A50">
      <w:pPr>
        <w:pStyle w:val="BodyText1"/>
      </w:pPr>
      <w:r>
        <w:t>The five variables used to describe the type of occurrence are:</w:t>
      </w:r>
    </w:p>
    <w:p w:rsidR="008B170D" w:rsidRDefault="008B170D" w:rsidP="00513A50">
      <w:pPr>
        <w:pStyle w:val="BodyText1"/>
      </w:pPr>
      <w:r>
        <w:t>Nature of Injury or Disease</w:t>
      </w:r>
    </w:p>
    <w:p w:rsidR="008B170D" w:rsidRDefault="008B170D" w:rsidP="00513A50">
      <w:pPr>
        <w:pStyle w:val="BodyText1"/>
      </w:pPr>
      <w:r>
        <w:t>Bodily Location of Injury or Disease</w:t>
      </w:r>
    </w:p>
    <w:p w:rsidR="008B170D" w:rsidRDefault="008B170D" w:rsidP="00513A50">
      <w:pPr>
        <w:pStyle w:val="BodyText1"/>
      </w:pPr>
      <w:r>
        <w:t>Mechanism of Injury or Disease</w:t>
      </w:r>
    </w:p>
    <w:p w:rsidR="008B170D" w:rsidRDefault="008B170D" w:rsidP="00513A50">
      <w:pPr>
        <w:pStyle w:val="BodyText1"/>
      </w:pPr>
      <w:r>
        <w:t>Breakdown Agency of Injury or Disease</w:t>
      </w:r>
    </w:p>
    <w:p w:rsidR="008B170D" w:rsidRDefault="008B170D" w:rsidP="00513A50">
      <w:pPr>
        <w:pStyle w:val="BodyText1"/>
      </w:pPr>
      <w:r>
        <w:t>Agency of Injury and Disease</w:t>
      </w:r>
    </w:p>
    <w:p w:rsidR="008B170D" w:rsidRDefault="008B170D" w:rsidP="00513A50">
      <w:pPr>
        <w:pStyle w:val="BodyText1"/>
      </w:pPr>
      <w:r>
        <w:t>See the Glossary for the definitions of these variables.</w:t>
      </w:r>
    </w:p>
    <w:p w:rsidR="008B170D" w:rsidRDefault="008B170D" w:rsidP="001F42A8">
      <w:pPr>
        <w:pStyle w:val="Heading2"/>
      </w:pPr>
      <w:bookmarkStart w:id="80" w:name="_Toc427590911"/>
      <w:r>
        <w:t>Confidentiality</w:t>
      </w:r>
      <w:bookmarkEnd w:id="80"/>
    </w:p>
    <w:p w:rsidR="008B170D" w:rsidRDefault="008B170D" w:rsidP="00513A50">
      <w:pPr>
        <w:pStyle w:val="BodyText1"/>
      </w:pPr>
      <w:r>
        <w:t xml:space="preserve">Claim numbers in this publication are rounded to the nearest 5. This helps protect confidential information about employers and employees. Due to rounding, differences may appear between the reported totals and the sum of the row or column values. Rates and proportions are calculated on unrounded claim numbers. </w:t>
      </w:r>
    </w:p>
    <w:p w:rsidR="008B170D" w:rsidRDefault="008B170D" w:rsidP="001F42A8">
      <w:pPr>
        <w:pStyle w:val="Heading2"/>
      </w:pPr>
      <w:bookmarkStart w:id="81" w:name="_Toc427590912"/>
      <w:r>
        <w:t>Time series analysis</w:t>
      </w:r>
      <w:bookmarkEnd w:id="81"/>
    </w:p>
    <w:p w:rsidR="008B170D" w:rsidRDefault="008B170D" w:rsidP="00513A50">
      <w:pPr>
        <w:pStyle w:val="BodyText1"/>
      </w:pPr>
      <w:r>
        <w:t xml:space="preserve">When </w:t>
      </w:r>
      <w:proofErr w:type="spellStart"/>
      <w:r>
        <w:t>analysing</w:t>
      </w:r>
      <w:proofErr w:type="spellEnd"/>
      <w:r>
        <w:t xml:space="preserve"> trends over time, consideration needs to be given to legislative changes that may have been made within certain jurisdictions during the period being investigated. The current workers’ compensation arrangements can be found in the following report published on the Safe Work Australia website: Comparison of workers’ compensation arrangements, Australia &amp; New Zealand.</w:t>
      </w:r>
    </w:p>
    <w:p w:rsidR="008B170D" w:rsidRDefault="008B170D" w:rsidP="00513A50">
      <w:pPr>
        <w:pStyle w:val="BodyText1"/>
      </w:pPr>
      <w:r>
        <w:t>More information on how the workers’ compensation data are compiled can be found in the publication Australian Workers’ Compensation Statistics.</w:t>
      </w:r>
    </w:p>
    <w:p w:rsidR="008B170D" w:rsidRDefault="008B170D" w:rsidP="001F42A8">
      <w:pPr>
        <w:pStyle w:val="Heading1"/>
      </w:pPr>
      <w:bookmarkStart w:id="82" w:name="_Toc427590913"/>
      <w:r>
        <w:t>Explanatory Notes - Hospitalisation data</w:t>
      </w:r>
      <w:bookmarkEnd w:id="82"/>
    </w:p>
    <w:p w:rsidR="008B170D" w:rsidRDefault="008B170D" w:rsidP="00513A50">
      <w:pPr>
        <w:pStyle w:val="BodyText1"/>
      </w:pPr>
      <w:r>
        <w:t>The data on hospital separations used in this report were provided by the Australian Institute of Health and Welfare (</w:t>
      </w:r>
      <w:proofErr w:type="spellStart"/>
      <w:r>
        <w:t>AIHW</w:t>
      </w:r>
      <w:proofErr w:type="spellEnd"/>
      <w:r>
        <w:t>), from the National Hospital Morbidity Database (</w:t>
      </w:r>
      <w:proofErr w:type="spellStart"/>
      <w:r>
        <w:t>NHMD</w:t>
      </w:r>
      <w:proofErr w:type="spellEnd"/>
      <w:r>
        <w:t xml:space="preserve">). </w:t>
      </w:r>
    </w:p>
    <w:p w:rsidR="008B170D" w:rsidRDefault="008B170D" w:rsidP="00513A50">
      <w:pPr>
        <w:pStyle w:val="BodyText1"/>
      </w:pPr>
      <w:r>
        <w:t xml:space="preserve">The formal term for a </w:t>
      </w:r>
      <w:proofErr w:type="spellStart"/>
      <w:r>
        <w:t>hospitalisation</w:t>
      </w:r>
      <w:proofErr w:type="spellEnd"/>
      <w:r>
        <w:t xml:space="preserve"> is a ‘Separation’, defined by the </w:t>
      </w:r>
      <w:proofErr w:type="spellStart"/>
      <w:r>
        <w:t>AIHW</w:t>
      </w:r>
      <w:proofErr w:type="spellEnd"/>
      <w:r>
        <w:t xml:space="preserve"> as a </w:t>
      </w:r>
      <w:proofErr w:type="gramStart"/>
      <w:r>
        <w:t>“ formal</w:t>
      </w:r>
      <w:proofErr w:type="gramEnd"/>
      <w:r>
        <w:t>, or statistical process, by which an episode of care for an admitted patient ceases”. This is usually a discharge home, but is sometimes a transfer to another health care facility or death. This report studied separations that occurred during the three year period 1 July 2006 to 30 June 2009.</w:t>
      </w:r>
    </w:p>
    <w:p w:rsidR="008B170D" w:rsidRDefault="008B170D" w:rsidP="00513A50">
      <w:pPr>
        <w:pStyle w:val="BodyText1"/>
      </w:pPr>
      <w:r>
        <w:t xml:space="preserve">Since some patients may have had more than one episode of </w:t>
      </w:r>
      <w:proofErr w:type="spellStart"/>
      <w:r>
        <w:t>hospitalisation</w:t>
      </w:r>
      <w:proofErr w:type="spellEnd"/>
      <w:r>
        <w:t xml:space="preserve"> over the period the count of </w:t>
      </w:r>
      <w:proofErr w:type="spellStart"/>
      <w:r>
        <w:t>hospitalisations</w:t>
      </w:r>
      <w:proofErr w:type="spellEnd"/>
      <w:r>
        <w:t xml:space="preserve"> is not a count of individuals. </w:t>
      </w:r>
      <w:proofErr w:type="spellStart"/>
      <w:r>
        <w:t>Hospitalisation</w:t>
      </w:r>
      <w:proofErr w:type="spellEnd"/>
      <w:r>
        <w:t xml:space="preserve"> data in this report is based on the “Principal diagnosis” which is the diagnosis established after study to be chiefly responsible for occasioning an episode of admitted patient care.</w:t>
      </w:r>
    </w:p>
    <w:p w:rsidR="008B170D" w:rsidRDefault="008B170D" w:rsidP="00513A50">
      <w:pPr>
        <w:pStyle w:val="BodyText1"/>
      </w:pPr>
      <w:r>
        <w:t>The prime selection criterion for the inclusion of a hospital separation in this report was the recording of the activity at the time of injury as While working for income (</w:t>
      </w:r>
      <w:proofErr w:type="spellStart"/>
      <w:r>
        <w:t>ICD</w:t>
      </w:r>
      <w:proofErr w:type="spellEnd"/>
      <w:r>
        <w:t xml:space="preserve">-10-AM code </w:t>
      </w:r>
      <w:proofErr w:type="spellStart"/>
      <w:r>
        <w:t>U73.0</w:t>
      </w:r>
      <w:proofErr w:type="spellEnd"/>
      <w:r>
        <w:t>): defined as including paid work (manual or professional), transportation (time) to and from such activities, and work for salary, bonus and other types of income. Records were then further restricted to those for Injury, poisoning and certain other consequences of external causes (</w:t>
      </w:r>
      <w:proofErr w:type="spellStart"/>
      <w:r>
        <w:t>S00-T98</w:t>
      </w:r>
      <w:proofErr w:type="spellEnd"/>
      <w:r>
        <w:t>).</w:t>
      </w:r>
    </w:p>
    <w:p w:rsidR="008B170D" w:rsidRDefault="008B170D" w:rsidP="00513A50">
      <w:pPr>
        <w:pStyle w:val="BodyText1"/>
      </w:pPr>
      <w:r>
        <w:t>The population group of separations was then further refined by excluding:</w:t>
      </w:r>
    </w:p>
    <w:p w:rsidR="008B170D" w:rsidRDefault="008B170D" w:rsidP="00513A50">
      <w:pPr>
        <w:pStyle w:val="BodyText1"/>
      </w:pPr>
      <w:proofErr w:type="gramStart"/>
      <w:r>
        <w:t>patients</w:t>
      </w:r>
      <w:proofErr w:type="gramEnd"/>
      <w:r>
        <w:t xml:space="preserve"> aged under 15 years</w:t>
      </w:r>
    </w:p>
    <w:p w:rsidR="008B170D" w:rsidRDefault="008B170D" w:rsidP="00513A50">
      <w:pPr>
        <w:pStyle w:val="BodyText1"/>
      </w:pPr>
      <w:proofErr w:type="gramStart"/>
      <w:r>
        <w:t>separations</w:t>
      </w:r>
      <w:proofErr w:type="gramEnd"/>
      <w:r>
        <w:t xml:space="preserve"> where the patient was discharged to another acute hospital, and </w:t>
      </w:r>
    </w:p>
    <w:p w:rsidR="008B170D" w:rsidRDefault="008B170D" w:rsidP="00513A50">
      <w:pPr>
        <w:pStyle w:val="BodyText1"/>
      </w:pPr>
      <w:proofErr w:type="gramStart"/>
      <w:r>
        <w:t>separations</w:t>
      </w:r>
      <w:proofErr w:type="gramEnd"/>
      <w:r>
        <w:t xml:space="preserve"> where the injury was due to complications of surgical or medical care.</w:t>
      </w:r>
    </w:p>
    <w:p w:rsidR="008B170D" w:rsidRDefault="008B170D" w:rsidP="00513A50">
      <w:pPr>
        <w:pStyle w:val="BodyText1"/>
      </w:pPr>
      <w:r>
        <w:t xml:space="preserve">Diagnoses and external causes of injury for </w:t>
      </w:r>
      <w:proofErr w:type="spellStart"/>
      <w:r>
        <w:t>hospitalisations</w:t>
      </w:r>
      <w:proofErr w:type="spellEnd"/>
      <w:r>
        <w:t xml:space="preserve"> were recorded using the International Statistical Classification of Diseases and Related health Problems, Tenth Revision, Australian Modification (</w:t>
      </w:r>
      <w:proofErr w:type="spellStart"/>
      <w:r>
        <w:t>ICD</w:t>
      </w:r>
      <w:proofErr w:type="spellEnd"/>
      <w:r>
        <w:t xml:space="preserve">–10–AM). This system comprises classifications of diseases and external causes of injuries and poisoning, based on the World Health Organization’s version of </w:t>
      </w:r>
      <w:proofErr w:type="spellStart"/>
      <w:r>
        <w:t>ICD</w:t>
      </w:r>
      <w:proofErr w:type="spellEnd"/>
      <w:r>
        <w:t xml:space="preserve">-10. The </w:t>
      </w:r>
      <w:proofErr w:type="spellStart"/>
      <w:r>
        <w:t>ICD</w:t>
      </w:r>
      <w:proofErr w:type="spellEnd"/>
      <w:r>
        <w:t>-10-AM classification is hierarchical, with 20 summary disease chapters that are divided into a large number of more specific disease groupings (represented by 3-character codes).</w:t>
      </w:r>
    </w:p>
    <w:p w:rsidR="008B170D" w:rsidRDefault="008B170D" w:rsidP="001F42A8">
      <w:pPr>
        <w:pStyle w:val="Heading2"/>
      </w:pPr>
      <w:bookmarkStart w:id="83" w:name="_Toc427590914"/>
      <w:r>
        <w:t>External causes of morbidity and mortality (</w:t>
      </w:r>
      <w:proofErr w:type="spellStart"/>
      <w:r>
        <w:t>U50</w:t>
      </w:r>
      <w:proofErr w:type="spellEnd"/>
      <w:r>
        <w:t>–</w:t>
      </w:r>
      <w:proofErr w:type="spellStart"/>
      <w:r>
        <w:t>Y98</w:t>
      </w:r>
      <w:proofErr w:type="spellEnd"/>
      <w:r>
        <w:t>)</w:t>
      </w:r>
      <w:bookmarkEnd w:id="83"/>
    </w:p>
    <w:p w:rsidR="008B170D" w:rsidRDefault="008B170D" w:rsidP="00513A50">
      <w:pPr>
        <w:pStyle w:val="BodyText1"/>
      </w:pPr>
      <w:r>
        <w:t xml:space="preserve">These codes allow identification of: </w:t>
      </w:r>
    </w:p>
    <w:p w:rsidR="008B170D" w:rsidRDefault="008B170D" w:rsidP="00513A50">
      <w:pPr>
        <w:pStyle w:val="BodyText1"/>
      </w:pPr>
      <w:proofErr w:type="gramStart"/>
      <w:r>
        <w:t>work-related</w:t>
      </w:r>
      <w:proofErr w:type="gramEnd"/>
      <w:r>
        <w:t xml:space="preserve"> injuries and in some cases the specific industry in which the patient was working when injured</w:t>
      </w:r>
    </w:p>
    <w:p w:rsidR="008B170D" w:rsidRDefault="008B170D" w:rsidP="00513A50">
      <w:pPr>
        <w:pStyle w:val="BodyText1"/>
      </w:pPr>
      <w:proofErr w:type="gramStart"/>
      <w:r>
        <w:t>the</w:t>
      </w:r>
      <w:proofErr w:type="gramEnd"/>
      <w:r>
        <w:t xml:space="preserve"> cause of the injury the patient sustained, such as a fall or a traffic incident, and</w:t>
      </w:r>
    </w:p>
    <w:p w:rsidR="008B170D" w:rsidRDefault="008B170D" w:rsidP="00513A50">
      <w:pPr>
        <w:pStyle w:val="BodyText1"/>
      </w:pPr>
      <w:proofErr w:type="gramStart"/>
      <w:r>
        <w:t>the</w:t>
      </w:r>
      <w:proofErr w:type="gramEnd"/>
      <w:r>
        <w:t xml:space="preserve"> place of occurrence of the injury (where specified).</w:t>
      </w:r>
    </w:p>
    <w:p w:rsidR="008B170D" w:rsidRDefault="008B170D" w:rsidP="00513A50">
      <w:pPr>
        <w:pStyle w:val="BodyText1"/>
      </w:pPr>
      <w:r>
        <w:t xml:space="preserve">The Type of injury and Bodily location categories used in this report are based on aggregation of various </w:t>
      </w:r>
      <w:proofErr w:type="gramStart"/>
      <w:r>
        <w:t>Injury</w:t>
      </w:r>
      <w:proofErr w:type="gramEnd"/>
      <w:r>
        <w:t>, poisoning and certain other consequences of external causes (</w:t>
      </w:r>
      <w:proofErr w:type="spellStart"/>
      <w:r>
        <w:t>S00-T98</w:t>
      </w:r>
      <w:proofErr w:type="spellEnd"/>
      <w:r>
        <w:t>) codes into simplified groups. These recodes are listed in detail in a previous report (</w:t>
      </w:r>
      <w:proofErr w:type="spellStart"/>
      <w:r>
        <w:t>ASCC</w:t>
      </w:r>
      <w:proofErr w:type="spellEnd"/>
      <w:r>
        <w:t>, 2007) available on the Safe Work Australia website.</w:t>
      </w:r>
    </w:p>
    <w:p w:rsidR="008B170D" w:rsidRDefault="008B170D" w:rsidP="001F42A8">
      <w:pPr>
        <w:pStyle w:val="Heading2"/>
      </w:pPr>
      <w:bookmarkStart w:id="84" w:name="_Toc427590915"/>
      <w:r>
        <w:t>Data limitations</w:t>
      </w:r>
      <w:bookmarkEnd w:id="84"/>
    </w:p>
    <w:p w:rsidR="008B170D" w:rsidRDefault="008B170D" w:rsidP="00513A50">
      <w:pPr>
        <w:pStyle w:val="BodyText1"/>
      </w:pPr>
      <w:r>
        <w:t xml:space="preserve">This report includes data from all hospitals that contributed to the </w:t>
      </w:r>
      <w:proofErr w:type="spellStart"/>
      <w:r>
        <w:t>NHMD</w:t>
      </w:r>
      <w:proofErr w:type="spellEnd"/>
      <w:r>
        <w:t xml:space="preserve"> during the period 1 July 2006 to 30 June 2009. This includes nearly all p</w:t>
      </w:r>
      <w:bookmarkStart w:id="85" w:name="_GoBack"/>
      <w:bookmarkEnd w:id="85"/>
      <w:r>
        <w:t>ublic and private hospitals in Australia that provide acute care services.</w:t>
      </w:r>
    </w:p>
    <w:p w:rsidR="00801408" w:rsidRPr="0085303A" w:rsidRDefault="008B170D" w:rsidP="00513A50">
      <w:pPr>
        <w:pStyle w:val="BodyText1"/>
      </w:pPr>
      <w:r>
        <w:t>This report examines the circumstances of workers who sustained an injury that required a stay in hospital. They can be considered a “serious injury” subset of workers who were injured since the injury required a stay in hospital. However, it is important to bear in mind that there may be a larger group of injured workers who received medical attention from a general practice clinic or a hospital casualty ward whose injuries are not recorded in these statistics.</w:t>
      </w:r>
    </w:p>
    <w:sectPr w:rsidR="00801408" w:rsidRPr="0085303A" w:rsidSect="0041360D">
      <w:headerReference w:type="first" r:id="rId23"/>
      <w:pgSz w:w="11906" w:h="16838"/>
      <w:pgMar w:top="993" w:right="720" w:bottom="720" w:left="72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606" w:rsidRDefault="00430606" w:rsidP="007C1D92">
      <w:r>
        <w:separator/>
      </w:r>
    </w:p>
  </w:endnote>
  <w:endnote w:type="continuationSeparator" w:id="0">
    <w:p w:rsidR="00430606" w:rsidRDefault="00430606" w:rsidP="007C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606" w:rsidRDefault="00430606" w:rsidP="007C1D92">
      <w:r>
        <w:separator/>
      </w:r>
    </w:p>
  </w:footnote>
  <w:footnote w:type="continuationSeparator" w:id="0">
    <w:p w:rsidR="00430606" w:rsidRDefault="00430606" w:rsidP="007C1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606" w:rsidRDefault="00430606">
    <w:pPr>
      <w:pStyle w:val="Header"/>
    </w:pPr>
    <w:r w:rsidRPr="00810655">
      <w:rPr>
        <w:noProof/>
      </w:rPr>
      <w:drawing>
        <wp:inline distT="0" distB="0" distL="0" distR="0" wp14:anchorId="2B9DBC93" wp14:editId="5D580E12">
          <wp:extent cx="2071999" cy="432000"/>
          <wp:effectExtent l="0" t="0" r="5080" b="6350"/>
          <wp:docPr id="14" name="Picture 14"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cstate="print"/>
                  <a:srcRect/>
                  <a:stretch>
                    <a:fillRect/>
                  </a:stretch>
                </pic:blipFill>
                <pic:spPr bwMode="auto">
                  <a:xfrm>
                    <a:off x="0" y="0"/>
                    <a:ext cx="2071999" cy="432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11482"/>
    <w:multiLevelType w:val="hybridMultilevel"/>
    <w:tmpl w:val="D46CF192"/>
    <w:lvl w:ilvl="0" w:tplc="54E2F7A0">
      <w:numFmt w:val="bullet"/>
      <w:lvlText w:val="•"/>
      <w:lvlJc w:val="left"/>
      <w:pPr>
        <w:ind w:left="1575" w:hanging="85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87D2611"/>
    <w:multiLevelType w:val="hybridMultilevel"/>
    <w:tmpl w:val="26783ED6"/>
    <w:lvl w:ilvl="0" w:tplc="54E2F7A0">
      <w:numFmt w:val="bullet"/>
      <w:lvlText w:val="•"/>
      <w:lvlJc w:val="left"/>
      <w:pPr>
        <w:ind w:left="1575" w:hanging="85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95C59DC"/>
    <w:multiLevelType w:val="hybridMultilevel"/>
    <w:tmpl w:val="38581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6FC2822"/>
    <w:multiLevelType w:val="hybridMultilevel"/>
    <w:tmpl w:val="B6CA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96D5852"/>
    <w:multiLevelType w:val="hybridMultilevel"/>
    <w:tmpl w:val="F2764010"/>
    <w:lvl w:ilvl="0" w:tplc="0C090001">
      <w:start w:val="1"/>
      <w:numFmt w:val="bullet"/>
      <w:lvlText w:val=""/>
      <w:lvlJc w:val="left"/>
      <w:pPr>
        <w:ind w:left="826" w:hanging="360"/>
      </w:pPr>
      <w:rPr>
        <w:rFonts w:ascii="Symbol" w:hAnsi="Symbol" w:hint="default"/>
      </w:rPr>
    </w:lvl>
    <w:lvl w:ilvl="1" w:tplc="0C090003" w:tentative="1">
      <w:start w:val="1"/>
      <w:numFmt w:val="bullet"/>
      <w:lvlText w:val="o"/>
      <w:lvlJc w:val="left"/>
      <w:pPr>
        <w:ind w:left="1546" w:hanging="360"/>
      </w:pPr>
      <w:rPr>
        <w:rFonts w:ascii="Courier New" w:hAnsi="Courier New" w:cs="Courier New" w:hint="default"/>
      </w:rPr>
    </w:lvl>
    <w:lvl w:ilvl="2" w:tplc="0C090005" w:tentative="1">
      <w:start w:val="1"/>
      <w:numFmt w:val="bullet"/>
      <w:lvlText w:val=""/>
      <w:lvlJc w:val="left"/>
      <w:pPr>
        <w:ind w:left="2266" w:hanging="360"/>
      </w:pPr>
      <w:rPr>
        <w:rFonts w:ascii="Wingdings" w:hAnsi="Wingdings" w:hint="default"/>
      </w:rPr>
    </w:lvl>
    <w:lvl w:ilvl="3" w:tplc="0C090001" w:tentative="1">
      <w:start w:val="1"/>
      <w:numFmt w:val="bullet"/>
      <w:lvlText w:val=""/>
      <w:lvlJc w:val="left"/>
      <w:pPr>
        <w:ind w:left="2986" w:hanging="360"/>
      </w:pPr>
      <w:rPr>
        <w:rFonts w:ascii="Symbol" w:hAnsi="Symbol" w:hint="default"/>
      </w:rPr>
    </w:lvl>
    <w:lvl w:ilvl="4" w:tplc="0C090003" w:tentative="1">
      <w:start w:val="1"/>
      <w:numFmt w:val="bullet"/>
      <w:lvlText w:val="o"/>
      <w:lvlJc w:val="left"/>
      <w:pPr>
        <w:ind w:left="3706" w:hanging="360"/>
      </w:pPr>
      <w:rPr>
        <w:rFonts w:ascii="Courier New" w:hAnsi="Courier New" w:cs="Courier New" w:hint="default"/>
      </w:rPr>
    </w:lvl>
    <w:lvl w:ilvl="5" w:tplc="0C090005" w:tentative="1">
      <w:start w:val="1"/>
      <w:numFmt w:val="bullet"/>
      <w:lvlText w:val=""/>
      <w:lvlJc w:val="left"/>
      <w:pPr>
        <w:ind w:left="4426" w:hanging="360"/>
      </w:pPr>
      <w:rPr>
        <w:rFonts w:ascii="Wingdings" w:hAnsi="Wingdings" w:hint="default"/>
      </w:rPr>
    </w:lvl>
    <w:lvl w:ilvl="6" w:tplc="0C090001" w:tentative="1">
      <w:start w:val="1"/>
      <w:numFmt w:val="bullet"/>
      <w:lvlText w:val=""/>
      <w:lvlJc w:val="left"/>
      <w:pPr>
        <w:ind w:left="5146" w:hanging="360"/>
      </w:pPr>
      <w:rPr>
        <w:rFonts w:ascii="Symbol" w:hAnsi="Symbol" w:hint="default"/>
      </w:rPr>
    </w:lvl>
    <w:lvl w:ilvl="7" w:tplc="0C090003" w:tentative="1">
      <w:start w:val="1"/>
      <w:numFmt w:val="bullet"/>
      <w:lvlText w:val="o"/>
      <w:lvlJc w:val="left"/>
      <w:pPr>
        <w:ind w:left="5866" w:hanging="360"/>
      </w:pPr>
      <w:rPr>
        <w:rFonts w:ascii="Courier New" w:hAnsi="Courier New" w:cs="Courier New" w:hint="default"/>
      </w:rPr>
    </w:lvl>
    <w:lvl w:ilvl="8" w:tplc="0C090005" w:tentative="1">
      <w:start w:val="1"/>
      <w:numFmt w:val="bullet"/>
      <w:lvlText w:val=""/>
      <w:lvlJc w:val="left"/>
      <w:pPr>
        <w:ind w:left="6586" w:hanging="360"/>
      </w:pPr>
      <w:rPr>
        <w:rFonts w:ascii="Wingdings" w:hAnsi="Wingdings" w:hint="default"/>
      </w:rPr>
    </w:lvl>
  </w:abstractNum>
  <w:abstractNum w:abstractNumId="5">
    <w:nsid w:val="3DF21B8C"/>
    <w:multiLevelType w:val="hybridMultilevel"/>
    <w:tmpl w:val="2376CA1A"/>
    <w:lvl w:ilvl="0" w:tplc="C598EE2E">
      <w:numFmt w:val="bullet"/>
      <w:lvlText w:val="•"/>
      <w:lvlJc w:val="left"/>
      <w:pPr>
        <w:ind w:left="466" w:hanging="360"/>
      </w:pPr>
      <w:rPr>
        <w:rFonts w:ascii="Arial" w:eastAsiaTheme="minorEastAsia" w:hAnsi="Arial" w:cs="Arial" w:hint="default"/>
      </w:rPr>
    </w:lvl>
    <w:lvl w:ilvl="1" w:tplc="0C090003" w:tentative="1">
      <w:start w:val="1"/>
      <w:numFmt w:val="bullet"/>
      <w:lvlText w:val="o"/>
      <w:lvlJc w:val="left"/>
      <w:pPr>
        <w:ind w:left="1186" w:hanging="360"/>
      </w:pPr>
      <w:rPr>
        <w:rFonts w:ascii="Courier New" w:hAnsi="Courier New" w:cs="Courier New" w:hint="default"/>
      </w:rPr>
    </w:lvl>
    <w:lvl w:ilvl="2" w:tplc="0C090005" w:tentative="1">
      <w:start w:val="1"/>
      <w:numFmt w:val="bullet"/>
      <w:lvlText w:val=""/>
      <w:lvlJc w:val="left"/>
      <w:pPr>
        <w:ind w:left="1906" w:hanging="360"/>
      </w:pPr>
      <w:rPr>
        <w:rFonts w:ascii="Wingdings" w:hAnsi="Wingdings" w:hint="default"/>
      </w:rPr>
    </w:lvl>
    <w:lvl w:ilvl="3" w:tplc="0C090001" w:tentative="1">
      <w:start w:val="1"/>
      <w:numFmt w:val="bullet"/>
      <w:lvlText w:val=""/>
      <w:lvlJc w:val="left"/>
      <w:pPr>
        <w:ind w:left="2626" w:hanging="360"/>
      </w:pPr>
      <w:rPr>
        <w:rFonts w:ascii="Symbol" w:hAnsi="Symbol" w:hint="default"/>
      </w:rPr>
    </w:lvl>
    <w:lvl w:ilvl="4" w:tplc="0C090003" w:tentative="1">
      <w:start w:val="1"/>
      <w:numFmt w:val="bullet"/>
      <w:lvlText w:val="o"/>
      <w:lvlJc w:val="left"/>
      <w:pPr>
        <w:ind w:left="3346" w:hanging="360"/>
      </w:pPr>
      <w:rPr>
        <w:rFonts w:ascii="Courier New" w:hAnsi="Courier New" w:cs="Courier New" w:hint="default"/>
      </w:rPr>
    </w:lvl>
    <w:lvl w:ilvl="5" w:tplc="0C090005" w:tentative="1">
      <w:start w:val="1"/>
      <w:numFmt w:val="bullet"/>
      <w:lvlText w:val=""/>
      <w:lvlJc w:val="left"/>
      <w:pPr>
        <w:ind w:left="4066" w:hanging="360"/>
      </w:pPr>
      <w:rPr>
        <w:rFonts w:ascii="Wingdings" w:hAnsi="Wingdings" w:hint="default"/>
      </w:rPr>
    </w:lvl>
    <w:lvl w:ilvl="6" w:tplc="0C090001" w:tentative="1">
      <w:start w:val="1"/>
      <w:numFmt w:val="bullet"/>
      <w:lvlText w:val=""/>
      <w:lvlJc w:val="left"/>
      <w:pPr>
        <w:ind w:left="4786" w:hanging="360"/>
      </w:pPr>
      <w:rPr>
        <w:rFonts w:ascii="Symbol" w:hAnsi="Symbol" w:hint="default"/>
      </w:rPr>
    </w:lvl>
    <w:lvl w:ilvl="7" w:tplc="0C090003" w:tentative="1">
      <w:start w:val="1"/>
      <w:numFmt w:val="bullet"/>
      <w:lvlText w:val="o"/>
      <w:lvlJc w:val="left"/>
      <w:pPr>
        <w:ind w:left="5506" w:hanging="360"/>
      </w:pPr>
      <w:rPr>
        <w:rFonts w:ascii="Courier New" w:hAnsi="Courier New" w:cs="Courier New" w:hint="default"/>
      </w:rPr>
    </w:lvl>
    <w:lvl w:ilvl="8" w:tplc="0C090005" w:tentative="1">
      <w:start w:val="1"/>
      <w:numFmt w:val="bullet"/>
      <w:lvlText w:val=""/>
      <w:lvlJc w:val="left"/>
      <w:pPr>
        <w:ind w:left="6226" w:hanging="360"/>
      </w:pPr>
      <w:rPr>
        <w:rFonts w:ascii="Wingdings" w:hAnsi="Wingdings" w:hint="default"/>
      </w:rPr>
    </w:lvl>
  </w:abstractNum>
  <w:abstractNum w:abstractNumId="6">
    <w:nsid w:val="42BD05ED"/>
    <w:multiLevelType w:val="hybridMultilevel"/>
    <w:tmpl w:val="201E6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750245"/>
    <w:multiLevelType w:val="hybridMultilevel"/>
    <w:tmpl w:val="7CD45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FCE5B48"/>
    <w:multiLevelType w:val="hybridMultilevel"/>
    <w:tmpl w:val="4E580EA4"/>
    <w:lvl w:ilvl="0" w:tplc="54E2F7A0">
      <w:numFmt w:val="bullet"/>
      <w:lvlText w:val="•"/>
      <w:lvlJc w:val="left"/>
      <w:pPr>
        <w:ind w:left="1575" w:hanging="855"/>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525A1F54"/>
    <w:multiLevelType w:val="hybridMultilevel"/>
    <w:tmpl w:val="0A42DCCA"/>
    <w:lvl w:ilvl="0" w:tplc="54E2F7A0">
      <w:numFmt w:val="bullet"/>
      <w:lvlText w:val="•"/>
      <w:lvlJc w:val="left"/>
      <w:pPr>
        <w:ind w:left="1575" w:hanging="85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EAC2FA9"/>
    <w:multiLevelType w:val="hybridMultilevel"/>
    <w:tmpl w:val="283000CC"/>
    <w:lvl w:ilvl="0" w:tplc="54E2F7A0">
      <w:numFmt w:val="bullet"/>
      <w:lvlText w:val="•"/>
      <w:lvlJc w:val="left"/>
      <w:pPr>
        <w:ind w:left="1575" w:hanging="85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17879B9"/>
    <w:multiLevelType w:val="hybridMultilevel"/>
    <w:tmpl w:val="FC8E8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79B6C1C"/>
    <w:multiLevelType w:val="hybridMultilevel"/>
    <w:tmpl w:val="93E07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CC80CFB"/>
    <w:multiLevelType w:val="hybridMultilevel"/>
    <w:tmpl w:val="45507438"/>
    <w:lvl w:ilvl="0" w:tplc="54E2F7A0">
      <w:numFmt w:val="bullet"/>
      <w:lvlText w:val="•"/>
      <w:lvlJc w:val="left"/>
      <w:pPr>
        <w:ind w:left="1575" w:hanging="85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E643001"/>
    <w:multiLevelType w:val="hybridMultilevel"/>
    <w:tmpl w:val="91CE0B7A"/>
    <w:lvl w:ilvl="0" w:tplc="54E2F7A0">
      <w:numFmt w:val="bullet"/>
      <w:lvlText w:val="•"/>
      <w:lvlJc w:val="left"/>
      <w:pPr>
        <w:ind w:left="1575" w:hanging="85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F6E122B"/>
    <w:multiLevelType w:val="hybridMultilevel"/>
    <w:tmpl w:val="3EFEFB16"/>
    <w:lvl w:ilvl="0" w:tplc="54E2F7A0">
      <w:numFmt w:val="bullet"/>
      <w:lvlText w:val="•"/>
      <w:lvlJc w:val="left"/>
      <w:pPr>
        <w:ind w:left="1575" w:hanging="855"/>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2"/>
  </w:num>
  <w:num w:numId="4">
    <w:abstractNumId w:val="8"/>
  </w:num>
  <w:num w:numId="5">
    <w:abstractNumId w:val="10"/>
  </w:num>
  <w:num w:numId="6">
    <w:abstractNumId w:val="14"/>
  </w:num>
  <w:num w:numId="7">
    <w:abstractNumId w:val="1"/>
  </w:num>
  <w:num w:numId="8">
    <w:abstractNumId w:val="0"/>
  </w:num>
  <w:num w:numId="9">
    <w:abstractNumId w:val="9"/>
  </w:num>
  <w:num w:numId="10">
    <w:abstractNumId w:val="15"/>
  </w:num>
  <w:num w:numId="11">
    <w:abstractNumId w:val="13"/>
  </w:num>
  <w:num w:numId="12">
    <w:abstractNumId w:val="11"/>
  </w:num>
  <w:num w:numId="13">
    <w:abstractNumId w:val="2"/>
  </w:num>
  <w:num w:numId="14">
    <w:abstractNumId w:val="3"/>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81"/>
    <w:rsid w:val="00002A3E"/>
    <w:rsid w:val="00004859"/>
    <w:rsid w:val="00033509"/>
    <w:rsid w:val="000463B7"/>
    <w:rsid w:val="0009283A"/>
    <w:rsid w:val="00097771"/>
    <w:rsid w:val="000D78B6"/>
    <w:rsid w:val="001E343E"/>
    <w:rsid w:val="001F42A8"/>
    <w:rsid w:val="00210B4C"/>
    <w:rsid w:val="00210C69"/>
    <w:rsid w:val="00214A3C"/>
    <w:rsid w:val="00257F90"/>
    <w:rsid w:val="00262C29"/>
    <w:rsid w:val="002E31A5"/>
    <w:rsid w:val="00317233"/>
    <w:rsid w:val="003444F5"/>
    <w:rsid w:val="00362D9E"/>
    <w:rsid w:val="00381036"/>
    <w:rsid w:val="003A4730"/>
    <w:rsid w:val="003C6C21"/>
    <w:rsid w:val="00401818"/>
    <w:rsid w:val="0041360D"/>
    <w:rsid w:val="00430606"/>
    <w:rsid w:val="004336E2"/>
    <w:rsid w:val="0044203F"/>
    <w:rsid w:val="004519EB"/>
    <w:rsid w:val="00464A33"/>
    <w:rsid w:val="004A0FAE"/>
    <w:rsid w:val="004A7D8A"/>
    <w:rsid w:val="004F0A8F"/>
    <w:rsid w:val="00513A50"/>
    <w:rsid w:val="00544938"/>
    <w:rsid w:val="005A1BD9"/>
    <w:rsid w:val="005F7B95"/>
    <w:rsid w:val="0062399C"/>
    <w:rsid w:val="0063170B"/>
    <w:rsid w:val="0064357F"/>
    <w:rsid w:val="0066660E"/>
    <w:rsid w:val="00691662"/>
    <w:rsid w:val="006A6DE1"/>
    <w:rsid w:val="006D1161"/>
    <w:rsid w:val="006D2B6B"/>
    <w:rsid w:val="006F76C9"/>
    <w:rsid w:val="0070094C"/>
    <w:rsid w:val="00715413"/>
    <w:rsid w:val="00727BB0"/>
    <w:rsid w:val="00736F1C"/>
    <w:rsid w:val="0074670E"/>
    <w:rsid w:val="00775FF2"/>
    <w:rsid w:val="007A509C"/>
    <w:rsid w:val="007B1111"/>
    <w:rsid w:val="007C1D92"/>
    <w:rsid w:val="007C5BCC"/>
    <w:rsid w:val="007E1018"/>
    <w:rsid w:val="00801408"/>
    <w:rsid w:val="00835CD3"/>
    <w:rsid w:val="0085303A"/>
    <w:rsid w:val="00881DE0"/>
    <w:rsid w:val="008A5E5B"/>
    <w:rsid w:val="008A70F8"/>
    <w:rsid w:val="008B0918"/>
    <w:rsid w:val="008B170D"/>
    <w:rsid w:val="008C4D45"/>
    <w:rsid w:val="008D2828"/>
    <w:rsid w:val="008D72B2"/>
    <w:rsid w:val="008E4662"/>
    <w:rsid w:val="008F5732"/>
    <w:rsid w:val="00900086"/>
    <w:rsid w:val="00905D87"/>
    <w:rsid w:val="00911C76"/>
    <w:rsid w:val="00931A31"/>
    <w:rsid w:val="009800C1"/>
    <w:rsid w:val="009826FE"/>
    <w:rsid w:val="00982F9F"/>
    <w:rsid w:val="009926F2"/>
    <w:rsid w:val="009B0927"/>
    <w:rsid w:val="009B594D"/>
    <w:rsid w:val="009B5D0D"/>
    <w:rsid w:val="009D1F79"/>
    <w:rsid w:val="00A04693"/>
    <w:rsid w:val="00A12336"/>
    <w:rsid w:val="00A442ED"/>
    <w:rsid w:val="00A710F0"/>
    <w:rsid w:val="00B3226A"/>
    <w:rsid w:val="00B56753"/>
    <w:rsid w:val="00B8398D"/>
    <w:rsid w:val="00B8697E"/>
    <w:rsid w:val="00B95D9B"/>
    <w:rsid w:val="00C47A24"/>
    <w:rsid w:val="00C80DC9"/>
    <w:rsid w:val="00C94930"/>
    <w:rsid w:val="00C95D45"/>
    <w:rsid w:val="00CC620A"/>
    <w:rsid w:val="00D16FCF"/>
    <w:rsid w:val="00D50800"/>
    <w:rsid w:val="00DC2AAB"/>
    <w:rsid w:val="00E22A92"/>
    <w:rsid w:val="00E852AC"/>
    <w:rsid w:val="00E960F1"/>
    <w:rsid w:val="00EE013D"/>
    <w:rsid w:val="00EF0177"/>
    <w:rsid w:val="00F305BA"/>
    <w:rsid w:val="00F5592F"/>
    <w:rsid w:val="00F66D81"/>
    <w:rsid w:val="00FF2395"/>
    <w:rsid w:val="00FF64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28"/>
    <w:rPr>
      <w:rFonts w:ascii="Calibri" w:hAnsi="Calibri"/>
      <w:sz w:val="22"/>
      <w:szCs w:val="24"/>
    </w:rPr>
  </w:style>
  <w:style w:type="paragraph" w:styleId="Heading1">
    <w:name w:val="heading 1"/>
    <w:basedOn w:val="Normal"/>
    <w:next w:val="Normal"/>
    <w:link w:val="Heading1Char"/>
    <w:autoRedefine/>
    <w:uiPriority w:val="9"/>
    <w:qFormat/>
    <w:rsid w:val="001F42A8"/>
    <w:pPr>
      <w:keepNext/>
      <w:keepLines/>
      <w:pageBreakBefore/>
      <w:spacing w:before="480"/>
      <w:outlineLvl w:val="0"/>
    </w:pPr>
    <w:rPr>
      <w:rFonts w:ascii="Arial" w:eastAsiaTheme="majorEastAsia" w:hAnsi="Arial" w:cstheme="majorBidi"/>
      <w:b/>
      <w:bCs/>
      <w:sz w:val="40"/>
      <w:szCs w:val="28"/>
    </w:rPr>
  </w:style>
  <w:style w:type="paragraph" w:styleId="Heading2">
    <w:name w:val="heading 2"/>
    <w:basedOn w:val="Normal"/>
    <w:next w:val="Normal"/>
    <w:link w:val="Heading2Char"/>
    <w:uiPriority w:val="9"/>
    <w:qFormat/>
    <w:rsid w:val="00257F90"/>
    <w:pPr>
      <w:keepNext/>
      <w:keepLines/>
      <w:spacing w:before="240" w:after="120"/>
      <w:outlineLvl w:val="1"/>
    </w:pPr>
    <w:rPr>
      <w:rFonts w:ascii="Arial" w:eastAsiaTheme="majorEastAsia" w:hAnsi="Arial" w:cs="Arial"/>
      <w:b/>
      <w:bCs/>
      <w:color w:val="0070C0"/>
      <w:sz w:val="36"/>
      <w:szCs w:val="26"/>
      <w:lang w:val="en-US"/>
    </w:rPr>
  </w:style>
  <w:style w:type="paragraph" w:styleId="Heading3">
    <w:name w:val="heading 3"/>
    <w:basedOn w:val="Normal"/>
    <w:next w:val="Normal"/>
    <w:link w:val="Heading3Char"/>
    <w:autoRedefine/>
    <w:uiPriority w:val="9"/>
    <w:qFormat/>
    <w:rsid w:val="00C94930"/>
    <w:pPr>
      <w:keepNext/>
      <w:keepLines/>
      <w:spacing w:before="240" w:after="120"/>
      <w:outlineLvl w:val="2"/>
    </w:pPr>
    <w:rPr>
      <w:rFonts w:ascii="Arial" w:eastAsiaTheme="majorEastAsia" w:hAnsi="Arial" w:cstheme="majorBidi"/>
      <w:b/>
      <w:bCs/>
      <w:color w:val="0070C0"/>
      <w:sz w:val="26"/>
    </w:rPr>
  </w:style>
  <w:style w:type="paragraph" w:styleId="Heading4">
    <w:name w:val="heading 4"/>
    <w:basedOn w:val="Normal"/>
    <w:next w:val="Normal"/>
    <w:link w:val="Heading4Char"/>
    <w:autoRedefine/>
    <w:uiPriority w:val="9"/>
    <w:qFormat/>
    <w:rsid w:val="00430606"/>
    <w:pPr>
      <w:keepNext/>
      <w:keepLines/>
      <w:spacing w:before="200"/>
      <w:outlineLvl w:val="3"/>
    </w:pPr>
    <w:rPr>
      <w:rFonts w:ascii="Arial" w:eastAsiaTheme="majorEastAsia" w:hAnsi="Arial"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oindent">
    <w:name w:val="body text no indent"/>
    <w:basedOn w:val="Normal"/>
    <w:uiPriority w:val="99"/>
    <w:rsid w:val="00F66D81"/>
    <w:pPr>
      <w:suppressAutoHyphens/>
      <w:autoSpaceDE w:val="0"/>
      <w:autoSpaceDN w:val="0"/>
      <w:adjustRightInd w:val="0"/>
      <w:spacing w:after="113" w:line="260" w:lineRule="atLeast"/>
      <w:textAlignment w:val="center"/>
    </w:pPr>
    <w:rPr>
      <w:rFonts w:ascii="Arial" w:hAnsi="Arial" w:cs="Arial"/>
      <w:color w:val="000000"/>
      <w:szCs w:val="22"/>
      <w:lang w:val="en-GB"/>
    </w:rPr>
  </w:style>
  <w:style w:type="character" w:customStyle="1" w:styleId="Heading1Char">
    <w:name w:val="Heading 1 Char"/>
    <w:basedOn w:val="DefaultParagraphFont"/>
    <w:link w:val="Heading1"/>
    <w:uiPriority w:val="9"/>
    <w:rsid w:val="001F42A8"/>
    <w:rPr>
      <w:rFonts w:ascii="Arial" w:eastAsiaTheme="majorEastAsia" w:hAnsi="Arial" w:cstheme="majorBidi"/>
      <w:b/>
      <w:bCs/>
      <w:sz w:val="40"/>
      <w:szCs w:val="28"/>
    </w:rPr>
  </w:style>
  <w:style w:type="paragraph" w:styleId="BodyText">
    <w:name w:val="Body Text"/>
    <w:basedOn w:val="Normal"/>
    <w:link w:val="BodyTextChar"/>
    <w:uiPriority w:val="99"/>
    <w:rsid w:val="00F66D81"/>
    <w:pPr>
      <w:suppressAutoHyphens/>
      <w:autoSpaceDE w:val="0"/>
      <w:autoSpaceDN w:val="0"/>
      <w:adjustRightInd w:val="0"/>
      <w:spacing w:after="113" w:line="288" w:lineRule="auto"/>
      <w:ind w:left="1984"/>
      <w:textAlignment w:val="center"/>
    </w:pPr>
    <w:rPr>
      <w:rFonts w:ascii="Arial" w:hAnsi="Arial" w:cs="Arial"/>
      <w:color w:val="000000"/>
      <w:szCs w:val="22"/>
      <w:lang w:val="en-US"/>
    </w:rPr>
  </w:style>
  <w:style w:type="character" w:customStyle="1" w:styleId="BodyTextChar">
    <w:name w:val="Body Text Char"/>
    <w:basedOn w:val="DefaultParagraphFont"/>
    <w:link w:val="BodyText"/>
    <w:uiPriority w:val="99"/>
    <w:rsid w:val="00F66D81"/>
    <w:rPr>
      <w:rFonts w:ascii="Arial" w:hAnsi="Arial" w:cs="Arial"/>
      <w:color w:val="000000"/>
      <w:sz w:val="22"/>
      <w:szCs w:val="22"/>
      <w:lang w:val="en-US"/>
    </w:rPr>
  </w:style>
  <w:style w:type="paragraph" w:customStyle="1" w:styleId="TOCHeading1">
    <w:name w:val="TOC Heading 1"/>
    <w:basedOn w:val="Normal"/>
    <w:uiPriority w:val="99"/>
    <w:rsid w:val="00F66D81"/>
    <w:pPr>
      <w:tabs>
        <w:tab w:val="left" w:leader="dot" w:pos="850"/>
        <w:tab w:val="left" w:leader="dot" w:pos="8277"/>
      </w:tabs>
      <w:autoSpaceDE w:val="0"/>
      <w:autoSpaceDN w:val="0"/>
      <w:adjustRightInd w:val="0"/>
      <w:spacing w:after="113" w:line="288" w:lineRule="auto"/>
      <w:textAlignment w:val="center"/>
    </w:pPr>
    <w:rPr>
      <w:rFonts w:ascii="Arial" w:hAnsi="Arial" w:cs="Arial"/>
      <w:b/>
      <w:bCs/>
      <w:color w:val="00A6D3"/>
      <w:lang w:val="en-GB"/>
    </w:rPr>
  </w:style>
  <w:style w:type="paragraph" w:customStyle="1" w:styleId="TOCHeading2">
    <w:name w:val="TOC Heading 2"/>
    <w:basedOn w:val="Normal"/>
    <w:uiPriority w:val="99"/>
    <w:rsid w:val="00F66D81"/>
    <w:pPr>
      <w:tabs>
        <w:tab w:val="right" w:leader="dot" w:pos="8400"/>
      </w:tabs>
      <w:suppressAutoHyphens/>
      <w:autoSpaceDE w:val="0"/>
      <w:autoSpaceDN w:val="0"/>
      <w:adjustRightInd w:val="0"/>
      <w:spacing w:after="57" w:line="288" w:lineRule="auto"/>
      <w:ind w:left="567"/>
      <w:textAlignment w:val="center"/>
    </w:pPr>
    <w:rPr>
      <w:rFonts w:ascii="Arial" w:hAnsi="Arial" w:cs="Arial"/>
      <w:color w:val="000000"/>
      <w:szCs w:val="22"/>
      <w:u w:color="26A146"/>
      <w:lang w:val="en-GB"/>
    </w:rPr>
  </w:style>
  <w:style w:type="paragraph" w:customStyle="1" w:styleId="TOCHeading3">
    <w:name w:val="TOC Heading 3"/>
    <w:basedOn w:val="TOCHeading2"/>
    <w:uiPriority w:val="99"/>
    <w:rsid w:val="00F66D81"/>
    <w:pPr>
      <w:ind w:left="850"/>
    </w:pPr>
    <w:rPr>
      <w:u w:color="000000"/>
    </w:rPr>
  </w:style>
  <w:style w:type="paragraph" w:customStyle="1" w:styleId="BasicParagraph">
    <w:name w:val="[Basic Paragraph]"/>
    <w:basedOn w:val="Normal"/>
    <w:link w:val="BasicParagraphChar"/>
    <w:uiPriority w:val="99"/>
    <w:rsid w:val="00F66D81"/>
    <w:pPr>
      <w:autoSpaceDE w:val="0"/>
      <w:autoSpaceDN w:val="0"/>
      <w:adjustRightInd w:val="0"/>
      <w:spacing w:line="288" w:lineRule="auto"/>
      <w:textAlignment w:val="center"/>
    </w:pPr>
    <w:rPr>
      <w:rFonts w:ascii="Arial" w:hAnsi="Arial" w:cs="Arial"/>
      <w:color w:val="000000"/>
      <w:lang w:val="en-GB"/>
    </w:rPr>
  </w:style>
  <w:style w:type="character" w:customStyle="1" w:styleId="Classificationitalics">
    <w:name w:val="Classification italics"/>
    <w:uiPriority w:val="99"/>
    <w:rsid w:val="00B8398D"/>
    <w:rPr>
      <w:rFonts w:ascii="Arial" w:hAnsi="Arial" w:cs="Arial"/>
      <w:i/>
      <w:iCs/>
      <w:color w:val="000000"/>
      <w:sz w:val="22"/>
      <w:szCs w:val="22"/>
    </w:rPr>
  </w:style>
  <w:style w:type="paragraph" w:styleId="ListParagraph">
    <w:name w:val="List Paragraph"/>
    <w:basedOn w:val="Normal"/>
    <w:uiPriority w:val="34"/>
    <w:qFormat/>
    <w:rsid w:val="00B8398D"/>
    <w:pPr>
      <w:ind w:left="720"/>
      <w:contextualSpacing/>
    </w:pPr>
  </w:style>
  <w:style w:type="character" w:styleId="Hyperlink">
    <w:name w:val="Hyperlink"/>
    <w:basedOn w:val="DefaultParagraphFont"/>
    <w:uiPriority w:val="99"/>
    <w:unhideWhenUsed/>
    <w:rsid w:val="00B8398D"/>
    <w:rPr>
      <w:color w:val="0000FF" w:themeColor="hyperlink"/>
      <w:u w:val="single"/>
    </w:rPr>
  </w:style>
  <w:style w:type="paragraph" w:customStyle="1" w:styleId="Figuretitlecolumnwidth">
    <w:name w:val="Figure title column width"/>
    <w:basedOn w:val="BodyText"/>
    <w:next w:val="BodyText"/>
    <w:uiPriority w:val="99"/>
    <w:rsid w:val="00B8398D"/>
    <w:pPr>
      <w:spacing w:after="57" w:line="240" w:lineRule="atLeast"/>
      <w:ind w:left="2835" w:hanging="850"/>
    </w:pPr>
    <w:rPr>
      <w:b/>
      <w:bCs/>
      <w:color w:val="00A6D3"/>
      <w:sz w:val="20"/>
      <w:szCs w:val="20"/>
    </w:rPr>
  </w:style>
  <w:style w:type="paragraph" w:customStyle="1" w:styleId="Tabletitle">
    <w:name w:val="Table title"/>
    <w:basedOn w:val="Normal"/>
    <w:next w:val="Normal"/>
    <w:uiPriority w:val="99"/>
    <w:rsid w:val="00B95D9B"/>
    <w:pPr>
      <w:keepLines/>
      <w:tabs>
        <w:tab w:val="left" w:pos="907"/>
      </w:tabs>
      <w:suppressAutoHyphens/>
      <w:autoSpaceDE w:val="0"/>
      <w:autoSpaceDN w:val="0"/>
      <w:adjustRightInd w:val="0"/>
      <w:spacing w:before="57" w:after="57" w:line="220" w:lineRule="atLeast"/>
      <w:ind w:left="850" w:hanging="850"/>
      <w:textAlignment w:val="center"/>
    </w:pPr>
    <w:rPr>
      <w:rFonts w:ascii="Arial" w:hAnsi="Arial" w:cs="Arial"/>
      <w:b/>
      <w:bCs/>
      <w:color w:val="00A6D3"/>
      <w:sz w:val="20"/>
      <w:szCs w:val="20"/>
      <w:lang w:val="en-US"/>
    </w:rPr>
  </w:style>
  <w:style w:type="paragraph" w:customStyle="1" w:styleId="Tabletitlecolumnwidth">
    <w:name w:val="Table title column width"/>
    <w:basedOn w:val="Tabletitle"/>
    <w:uiPriority w:val="99"/>
    <w:rsid w:val="00C95D45"/>
    <w:pPr>
      <w:ind w:left="2835"/>
    </w:pPr>
  </w:style>
  <w:style w:type="paragraph" w:customStyle="1" w:styleId="Boxedcomment">
    <w:name w:val="Boxed comment"/>
    <w:basedOn w:val="BodyText"/>
    <w:uiPriority w:val="99"/>
    <w:rsid w:val="00C95D45"/>
    <w:pPr>
      <w:pBdr>
        <w:top w:val="single" w:sz="5" w:space="11" w:color="auto"/>
      </w:pBdr>
      <w:spacing w:after="397" w:line="240" w:lineRule="atLeast"/>
      <w:ind w:left="0"/>
    </w:pPr>
    <w:rPr>
      <w:rFonts w:ascii="Arial Narrow" w:hAnsi="Arial Narrow" w:cs="Arial Narrow"/>
      <w:color w:val="00A6D3"/>
      <w:w w:val="95"/>
    </w:rPr>
  </w:style>
  <w:style w:type="paragraph" w:customStyle="1" w:styleId="Footnote">
    <w:name w:val="Footnote"/>
    <w:basedOn w:val="BodyText"/>
    <w:uiPriority w:val="99"/>
    <w:rsid w:val="008D2828"/>
    <w:pPr>
      <w:spacing w:line="180" w:lineRule="atLeast"/>
    </w:pPr>
    <w:rPr>
      <w:sz w:val="16"/>
      <w:szCs w:val="16"/>
    </w:rPr>
  </w:style>
  <w:style w:type="character" w:customStyle="1" w:styleId="Heading2Char">
    <w:name w:val="Heading 2 Char"/>
    <w:basedOn w:val="DefaultParagraphFont"/>
    <w:link w:val="Heading2"/>
    <w:uiPriority w:val="9"/>
    <w:rsid w:val="00257F90"/>
    <w:rPr>
      <w:rFonts w:ascii="Arial" w:eastAsiaTheme="majorEastAsia" w:hAnsi="Arial" w:cs="Arial"/>
      <w:b/>
      <w:bCs/>
      <w:color w:val="0070C0"/>
      <w:sz w:val="36"/>
      <w:szCs w:val="26"/>
      <w:lang w:val="en-US"/>
    </w:rPr>
  </w:style>
  <w:style w:type="character" w:customStyle="1" w:styleId="Heading3Char">
    <w:name w:val="Heading 3 Char"/>
    <w:basedOn w:val="DefaultParagraphFont"/>
    <w:link w:val="Heading3"/>
    <w:uiPriority w:val="9"/>
    <w:rsid w:val="00C94930"/>
    <w:rPr>
      <w:rFonts w:ascii="Arial" w:eastAsiaTheme="majorEastAsia" w:hAnsi="Arial" w:cstheme="majorBidi"/>
      <w:b/>
      <w:bCs/>
      <w:color w:val="0070C0"/>
      <w:sz w:val="26"/>
      <w:szCs w:val="24"/>
    </w:rPr>
  </w:style>
  <w:style w:type="paragraph" w:customStyle="1" w:styleId="Figuretitlefullwidth">
    <w:name w:val="Figure title full width"/>
    <w:basedOn w:val="Figuretitlecolumnwidth"/>
    <w:uiPriority w:val="99"/>
    <w:rsid w:val="00CC620A"/>
    <w:pPr>
      <w:tabs>
        <w:tab w:val="left" w:pos="980"/>
      </w:tabs>
      <w:spacing w:line="220" w:lineRule="atLeast"/>
      <w:ind w:left="850"/>
    </w:pPr>
  </w:style>
  <w:style w:type="paragraph" w:customStyle="1" w:styleId="Tablefootnote-columnwidthTableformating">
    <w:name w:val="Table footnote - column width (Table formating)"/>
    <w:basedOn w:val="Normal"/>
    <w:uiPriority w:val="99"/>
    <w:rsid w:val="00900086"/>
    <w:pPr>
      <w:suppressAutoHyphens/>
      <w:autoSpaceDE w:val="0"/>
      <w:autoSpaceDN w:val="0"/>
      <w:adjustRightInd w:val="0"/>
      <w:spacing w:after="170" w:line="160" w:lineRule="atLeast"/>
      <w:ind w:left="1134" w:hanging="113"/>
      <w:textAlignment w:val="center"/>
    </w:pPr>
    <w:rPr>
      <w:rFonts w:ascii="Arial" w:hAnsi="Arial" w:cs="Arial"/>
      <w:b/>
      <w:bCs/>
      <w:color w:val="000000"/>
      <w:sz w:val="14"/>
      <w:szCs w:val="14"/>
      <w:lang w:val="en-US"/>
    </w:rPr>
  </w:style>
  <w:style w:type="paragraph" w:customStyle="1" w:styleId="Glossaryitem">
    <w:name w:val="Glossary item"/>
    <w:basedOn w:val="Heading2"/>
    <w:uiPriority w:val="99"/>
    <w:rsid w:val="007C5BCC"/>
    <w:pPr>
      <w:keepNext w:val="0"/>
      <w:keepLines w:val="0"/>
      <w:tabs>
        <w:tab w:val="left" w:pos="3200"/>
      </w:tabs>
      <w:suppressAutoHyphens/>
      <w:autoSpaceDE w:val="0"/>
      <w:autoSpaceDN w:val="0"/>
      <w:adjustRightInd w:val="0"/>
      <w:spacing w:before="113" w:after="57" w:line="288" w:lineRule="auto"/>
      <w:ind w:left="3118" w:hanging="3118"/>
      <w:textAlignment w:val="center"/>
      <w:outlineLvl w:val="9"/>
    </w:pPr>
    <w:rPr>
      <w:rFonts w:eastAsia="Times New Roman"/>
      <w:color w:val="000000"/>
      <w:sz w:val="22"/>
      <w:szCs w:val="22"/>
      <w:lang w:val="en-GB"/>
    </w:rPr>
  </w:style>
  <w:style w:type="character" w:customStyle="1" w:styleId="Heading4Char">
    <w:name w:val="Heading 4 Char"/>
    <w:basedOn w:val="DefaultParagraphFont"/>
    <w:link w:val="Heading4"/>
    <w:uiPriority w:val="9"/>
    <w:rsid w:val="00430606"/>
    <w:rPr>
      <w:rFonts w:ascii="Arial" w:eastAsiaTheme="majorEastAsia" w:hAnsi="Arial" w:cstheme="majorBidi"/>
      <w:b/>
      <w:bCs/>
      <w:iCs/>
      <w:sz w:val="24"/>
      <w:szCs w:val="24"/>
    </w:rPr>
  </w:style>
  <w:style w:type="paragraph" w:customStyle="1" w:styleId="BodyText1">
    <w:name w:val="Body Text1"/>
    <w:basedOn w:val="Normal"/>
    <w:link w:val="BodytextChar0"/>
    <w:qFormat/>
    <w:rsid w:val="00513A50"/>
    <w:pPr>
      <w:spacing w:before="57" w:after="57" w:line="288" w:lineRule="auto"/>
    </w:pPr>
    <w:rPr>
      <w:rFonts w:ascii="Arial" w:hAnsi="Arial" w:cs="Arial"/>
      <w:sz w:val="20"/>
      <w:lang w:val="en-US"/>
    </w:rPr>
  </w:style>
  <w:style w:type="paragraph" w:customStyle="1" w:styleId="Figureheadings">
    <w:name w:val="Figure headings"/>
    <w:basedOn w:val="Normal"/>
    <w:link w:val="FigureheadingsChar"/>
    <w:autoRedefine/>
    <w:qFormat/>
    <w:rsid w:val="00513A50"/>
    <w:pPr>
      <w:spacing w:after="120"/>
    </w:pPr>
    <w:rPr>
      <w:rFonts w:ascii="Arial" w:hAnsi="Arial" w:cs="Arial"/>
      <w:b/>
      <w:sz w:val="20"/>
      <w:lang w:val="en-US"/>
    </w:rPr>
  </w:style>
  <w:style w:type="character" w:customStyle="1" w:styleId="BodytextChar0">
    <w:name w:val="Body text Char"/>
    <w:basedOn w:val="DefaultParagraphFont"/>
    <w:link w:val="BodyText1"/>
    <w:rsid w:val="00513A50"/>
    <w:rPr>
      <w:rFonts w:ascii="Arial" w:hAnsi="Arial" w:cs="Arial"/>
      <w:szCs w:val="24"/>
      <w:lang w:val="en-US"/>
    </w:rPr>
  </w:style>
  <w:style w:type="paragraph" w:customStyle="1" w:styleId="footnotes">
    <w:name w:val="footnotes"/>
    <w:basedOn w:val="Normal"/>
    <w:link w:val="footnotesChar"/>
    <w:qFormat/>
    <w:rsid w:val="00E852AC"/>
    <w:rPr>
      <w:rFonts w:ascii="Arial" w:hAnsi="Arial" w:cs="Arial"/>
      <w:sz w:val="16"/>
      <w:szCs w:val="16"/>
      <w:vertAlign w:val="superscript"/>
      <w:lang w:val="en-US"/>
    </w:rPr>
  </w:style>
  <w:style w:type="character" w:customStyle="1" w:styleId="FigureheadingsChar">
    <w:name w:val="Figure headings Char"/>
    <w:basedOn w:val="DefaultParagraphFont"/>
    <w:link w:val="Figureheadings"/>
    <w:rsid w:val="00513A50"/>
    <w:rPr>
      <w:rFonts w:ascii="Arial" w:hAnsi="Arial" w:cs="Arial"/>
      <w:b/>
      <w:szCs w:val="24"/>
      <w:lang w:val="en-US"/>
    </w:rPr>
  </w:style>
  <w:style w:type="paragraph" w:styleId="BalloonText">
    <w:name w:val="Balloon Text"/>
    <w:basedOn w:val="Normal"/>
    <w:link w:val="BalloonTextChar"/>
    <w:uiPriority w:val="99"/>
    <w:semiHidden/>
    <w:unhideWhenUsed/>
    <w:rsid w:val="001E343E"/>
    <w:rPr>
      <w:rFonts w:ascii="Tahoma" w:hAnsi="Tahoma" w:cs="Tahoma"/>
      <w:sz w:val="16"/>
      <w:szCs w:val="16"/>
    </w:rPr>
  </w:style>
  <w:style w:type="character" w:customStyle="1" w:styleId="footnotesChar">
    <w:name w:val="footnotes Char"/>
    <w:basedOn w:val="DefaultParagraphFont"/>
    <w:link w:val="footnotes"/>
    <w:rsid w:val="00E852AC"/>
    <w:rPr>
      <w:rFonts w:ascii="Arial" w:hAnsi="Arial" w:cs="Arial"/>
      <w:sz w:val="16"/>
      <w:szCs w:val="16"/>
      <w:vertAlign w:val="superscript"/>
      <w:lang w:val="en-US"/>
    </w:rPr>
  </w:style>
  <w:style w:type="character" w:customStyle="1" w:styleId="BalloonTextChar">
    <w:name w:val="Balloon Text Char"/>
    <w:basedOn w:val="DefaultParagraphFont"/>
    <w:link w:val="BalloonText"/>
    <w:uiPriority w:val="99"/>
    <w:semiHidden/>
    <w:rsid w:val="001E343E"/>
    <w:rPr>
      <w:rFonts w:ascii="Tahoma" w:hAnsi="Tahoma" w:cs="Tahoma"/>
      <w:sz w:val="16"/>
      <w:szCs w:val="16"/>
    </w:rPr>
  </w:style>
  <w:style w:type="paragraph" w:customStyle="1" w:styleId="Tableheading">
    <w:name w:val="Table heading"/>
    <w:basedOn w:val="Figureheadings"/>
    <w:link w:val="TableheadingChar"/>
    <w:autoRedefine/>
    <w:qFormat/>
    <w:rsid w:val="008D72B2"/>
  </w:style>
  <w:style w:type="paragraph" w:customStyle="1" w:styleId="NoParagraphStyle">
    <w:name w:val="[No Paragraph Style]"/>
    <w:rsid w:val="00C47A24"/>
    <w:pPr>
      <w:autoSpaceDE w:val="0"/>
      <w:autoSpaceDN w:val="0"/>
      <w:adjustRightInd w:val="0"/>
      <w:spacing w:line="288" w:lineRule="auto"/>
      <w:textAlignment w:val="center"/>
    </w:pPr>
    <w:rPr>
      <w:rFonts w:ascii="Arial" w:hAnsi="Arial" w:cs="Arial"/>
      <w:color w:val="000000"/>
      <w:sz w:val="24"/>
      <w:szCs w:val="24"/>
      <w:lang w:val="en-GB"/>
    </w:rPr>
  </w:style>
  <w:style w:type="character" w:customStyle="1" w:styleId="TableheadingChar">
    <w:name w:val="Table heading Char"/>
    <w:basedOn w:val="FigureheadingsChar"/>
    <w:link w:val="Tableheading"/>
    <w:rsid w:val="008D72B2"/>
    <w:rPr>
      <w:rFonts w:ascii="Arial" w:hAnsi="Arial" w:cs="Arial"/>
      <w:b/>
      <w:sz w:val="22"/>
      <w:szCs w:val="24"/>
      <w:lang w:val="en-US"/>
    </w:rPr>
  </w:style>
  <w:style w:type="paragraph" w:customStyle="1" w:styleId="TableNumberTableformating">
    <w:name w:val="Table Number (Table formating)"/>
    <w:basedOn w:val="NoParagraphStyle"/>
    <w:uiPriority w:val="99"/>
    <w:rsid w:val="00C47A24"/>
    <w:pPr>
      <w:suppressAutoHyphens/>
      <w:ind w:right="170"/>
      <w:jc w:val="right"/>
    </w:pPr>
    <w:rPr>
      <w:sz w:val="16"/>
      <w:szCs w:val="16"/>
    </w:rPr>
  </w:style>
  <w:style w:type="paragraph" w:customStyle="1" w:styleId="TablecolumnheadersTableformating">
    <w:name w:val="Table column headers (Table formating)"/>
    <w:basedOn w:val="NoParagraphStyle"/>
    <w:uiPriority w:val="99"/>
    <w:rsid w:val="00C47A24"/>
    <w:pPr>
      <w:suppressAutoHyphens/>
      <w:spacing w:line="180" w:lineRule="atLeast"/>
      <w:jc w:val="center"/>
    </w:pPr>
    <w:rPr>
      <w:b/>
      <w:bCs/>
      <w:sz w:val="18"/>
      <w:szCs w:val="18"/>
      <w:lang w:val="en-US"/>
    </w:rPr>
  </w:style>
  <w:style w:type="paragraph" w:customStyle="1" w:styleId="TablestubheadingTableformating">
    <w:name w:val="Table stub heading (Table formating)"/>
    <w:basedOn w:val="Normal"/>
    <w:uiPriority w:val="99"/>
    <w:rsid w:val="00C47A24"/>
    <w:pPr>
      <w:suppressAutoHyphens/>
      <w:autoSpaceDE w:val="0"/>
      <w:autoSpaceDN w:val="0"/>
      <w:adjustRightInd w:val="0"/>
      <w:spacing w:line="160" w:lineRule="atLeast"/>
      <w:ind w:left="113" w:hanging="113"/>
      <w:textAlignment w:val="center"/>
    </w:pPr>
    <w:rPr>
      <w:rFonts w:ascii="Arial" w:hAnsi="Arial" w:cs="Arial"/>
      <w:b/>
      <w:bCs/>
      <w:color w:val="000000"/>
      <w:sz w:val="18"/>
      <w:szCs w:val="18"/>
      <w:lang w:val="en-US"/>
    </w:rPr>
  </w:style>
  <w:style w:type="paragraph" w:customStyle="1" w:styleId="TableStubsBoldTableformating">
    <w:name w:val="Table Stubs Bold (Table formating)"/>
    <w:basedOn w:val="Normal"/>
    <w:uiPriority w:val="99"/>
    <w:rsid w:val="00C47A24"/>
    <w:pPr>
      <w:suppressAutoHyphens/>
      <w:autoSpaceDE w:val="0"/>
      <w:autoSpaceDN w:val="0"/>
      <w:adjustRightInd w:val="0"/>
      <w:spacing w:line="140" w:lineRule="atLeast"/>
      <w:ind w:left="113" w:hanging="113"/>
      <w:textAlignment w:val="center"/>
    </w:pPr>
    <w:rPr>
      <w:rFonts w:ascii="Arial" w:hAnsi="Arial" w:cs="Arial"/>
      <w:b/>
      <w:bCs/>
      <w:color w:val="000000"/>
      <w:sz w:val="16"/>
      <w:szCs w:val="16"/>
      <w:lang w:val="en-US"/>
    </w:rPr>
  </w:style>
  <w:style w:type="paragraph" w:customStyle="1" w:styleId="TableNumberBoldTableformating">
    <w:name w:val="Table Number Bold (Table formating)"/>
    <w:basedOn w:val="TableNumberTableformating"/>
    <w:uiPriority w:val="99"/>
    <w:rsid w:val="00C47A24"/>
    <w:rPr>
      <w:b/>
      <w:bCs/>
    </w:rPr>
  </w:style>
  <w:style w:type="paragraph" w:customStyle="1" w:styleId="TablestubindentTableformating">
    <w:name w:val="Table stub indent (Table formating)"/>
    <w:basedOn w:val="Normal"/>
    <w:uiPriority w:val="99"/>
    <w:rsid w:val="00C47A24"/>
    <w:pPr>
      <w:suppressAutoHyphens/>
      <w:autoSpaceDE w:val="0"/>
      <w:autoSpaceDN w:val="0"/>
      <w:adjustRightInd w:val="0"/>
      <w:spacing w:line="140" w:lineRule="atLeast"/>
      <w:ind w:left="283" w:hanging="113"/>
      <w:textAlignment w:val="center"/>
    </w:pPr>
    <w:rPr>
      <w:rFonts w:ascii="Arial" w:hAnsi="Arial" w:cs="Arial"/>
      <w:color w:val="000000"/>
      <w:sz w:val="16"/>
      <w:szCs w:val="16"/>
      <w:lang w:val="en-US"/>
    </w:rPr>
  </w:style>
  <w:style w:type="table" w:styleId="TableGrid">
    <w:name w:val="Table Grid"/>
    <w:basedOn w:val="TableNormal"/>
    <w:uiPriority w:val="59"/>
    <w:rsid w:val="000928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owheadings">
    <w:name w:val="Table row headings"/>
    <w:basedOn w:val="Normal"/>
    <w:link w:val="TablerowheadingsChar"/>
    <w:qFormat/>
    <w:rsid w:val="004A7D8A"/>
    <w:pPr>
      <w:spacing w:before="20" w:after="20"/>
    </w:pPr>
    <w:rPr>
      <w:rFonts w:ascii="Arial" w:hAnsi="Arial" w:cs="Arial"/>
      <w:b/>
      <w:sz w:val="18"/>
      <w:szCs w:val="20"/>
    </w:rPr>
  </w:style>
  <w:style w:type="paragraph" w:customStyle="1" w:styleId="TableStubsTableformating">
    <w:name w:val="Table Stubs (Table formating)"/>
    <w:basedOn w:val="NoParagraphStyle"/>
    <w:uiPriority w:val="99"/>
    <w:rsid w:val="00C94930"/>
    <w:pPr>
      <w:suppressAutoHyphens/>
      <w:spacing w:line="140" w:lineRule="atLeast"/>
      <w:ind w:left="113" w:hanging="113"/>
    </w:pPr>
    <w:rPr>
      <w:sz w:val="16"/>
      <w:szCs w:val="16"/>
      <w:lang w:val="en-US"/>
    </w:rPr>
  </w:style>
  <w:style w:type="character" w:customStyle="1" w:styleId="TablerowheadingsChar">
    <w:name w:val="Table row headings Char"/>
    <w:basedOn w:val="DefaultParagraphFont"/>
    <w:link w:val="Tablerowheadings"/>
    <w:rsid w:val="004A7D8A"/>
    <w:rPr>
      <w:rFonts w:ascii="Arial" w:hAnsi="Arial" w:cs="Arial"/>
      <w:b/>
      <w:sz w:val="18"/>
    </w:rPr>
  </w:style>
  <w:style w:type="paragraph" w:styleId="NoSpacing">
    <w:name w:val="No Spacing"/>
    <w:uiPriority w:val="1"/>
    <w:qFormat/>
    <w:rsid w:val="00736F1C"/>
    <w:rPr>
      <w:rFonts w:ascii="Calibri" w:hAnsi="Calibri"/>
      <w:sz w:val="22"/>
      <w:szCs w:val="24"/>
    </w:rPr>
  </w:style>
  <w:style w:type="paragraph" w:customStyle="1" w:styleId="Tableheaderrow">
    <w:name w:val="Table header row"/>
    <w:basedOn w:val="BasicParagraph"/>
    <w:link w:val="TableheaderrowChar"/>
    <w:qFormat/>
    <w:rsid w:val="00A04693"/>
    <w:pPr>
      <w:jc w:val="center"/>
    </w:pPr>
    <w:rPr>
      <w:b/>
      <w:sz w:val="18"/>
      <w:szCs w:val="20"/>
      <w:lang w:val="en-US"/>
    </w:rPr>
  </w:style>
  <w:style w:type="paragraph" w:customStyle="1" w:styleId="Tabletext">
    <w:name w:val="Table text"/>
    <w:basedOn w:val="Normal"/>
    <w:link w:val="TabletextChar"/>
    <w:qFormat/>
    <w:rsid w:val="00A04693"/>
    <w:pPr>
      <w:spacing w:before="20" w:after="20"/>
    </w:pPr>
    <w:rPr>
      <w:rFonts w:ascii="Arial" w:hAnsi="Arial" w:cs="Arial"/>
      <w:sz w:val="18"/>
      <w:szCs w:val="20"/>
    </w:rPr>
  </w:style>
  <w:style w:type="character" w:customStyle="1" w:styleId="BasicParagraphChar">
    <w:name w:val="[Basic Paragraph] Char"/>
    <w:basedOn w:val="DefaultParagraphFont"/>
    <w:link w:val="BasicParagraph"/>
    <w:uiPriority w:val="99"/>
    <w:rsid w:val="00736F1C"/>
    <w:rPr>
      <w:rFonts w:ascii="Arial" w:hAnsi="Arial" w:cs="Arial"/>
      <w:color w:val="000000"/>
      <w:sz w:val="22"/>
      <w:szCs w:val="24"/>
      <w:lang w:val="en-GB"/>
    </w:rPr>
  </w:style>
  <w:style w:type="character" w:customStyle="1" w:styleId="TableheaderrowChar">
    <w:name w:val="Table header row Char"/>
    <w:basedOn w:val="BasicParagraphChar"/>
    <w:link w:val="Tableheaderrow"/>
    <w:rsid w:val="00A04693"/>
    <w:rPr>
      <w:rFonts w:ascii="Arial" w:hAnsi="Arial" w:cs="Arial"/>
      <w:b/>
      <w:color w:val="000000"/>
      <w:sz w:val="18"/>
      <w:szCs w:val="24"/>
      <w:lang w:val="en-US"/>
    </w:rPr>
  </w:style>
  <w:style w:type="character" w:customStyle="1" w:styleId="TabletextChar">
    <w:name w:val="Table text Char"/>
    <w:basedOn w:val="DefaultParagraphFont"/>
    <w:link w:val="Tabletext"/>
    <w:rsid w:val="00A04693"/>
    <w:rPr>
      <w:rFonts w:ascii="Arial" w:hAnsi="Arial" w:cs="Arial"/>
      <w:sz w:val="18"/>
    </w:rPr>
  </w:style>
  <w:style w:type="paragraph" w:styleId="Caption">
    <w:name w:val="caption"/>
    <w:basedOn w:val="Normal"/>
    <w:next w:val="Normal"/>
    <w:uiPriority w:val="35"/>
    <w:unhideWhenUsed/>
    <w:qFormat/>
    <w:rsid w:val="00FF645D"/>
    <w:pPr>
      <w:spacing w:after="200"/>
    </w:pPr>
    <w:rPr>
      <w:b/>
      <w:bCs/>
      <w:color w:val="4F81BD" w:themeColor="accent1"/>
      <w:sz w:val="18"/>
      <w:szCs w:val="18"/>
    </w:rPr>
  </w:style>
  <w:style w:type="paragraph" w:customStyle="1" w:styleId="Chaptertitle">
    <w:name w:val="Chapter title"/>
    <w:basedOn w:val="BodyText"/>
    <w:uiPriority w:val="99"/>
    <w:rsid w:val="008B170D"/>
    <w:pPr>
      <w:spacing w:line="520" w:lineRule="atLeast"/>
      <w:ind w:left="0"/>
    </w:pPr>
    <w:rPr>
      <w:color w:val="00A6D3"/>
      <w:sz w:val="48"/>
      <w:szCs w:val="48"/>
    </w:rPr>
  </w:style>
  <w:style w:type="paragraph" w:customStyle="1" w:styleId="Bullettpara">
    <w:name w:val="Bullett para"/>
    <w:basedOn w:val="BodyText"/>
    <w:uiPriority w:val="99"/>
    <w:rsid w:val="008B170D"/>
    <w:pPr>
      <w:spacing w:after="57" w:line="264" w:lineRule="atLeast"/>
      <w:ind w:left="2551" w:hanging="283"/>
    </w:pPr>
  </w:style>
  <w:style w:type="paragraph" w:styleId="Title">
    <w:name w:val="Title"/>
    <w:basedOn w:val="Normal"/>
    <w:next w:val="Normal"/>
    <w:link w:val="TitleChar"/>
    <w:uiPriority w:val="10"/>
    <w:qFormat/>
    <w:rsid w:val="006A6DE1"/>
    <w:pPr>
      <w:widowControl w:val="0"/>
      <w:spacing w:after="300"/>
      <w:contextualSpacing/>
      <w:jc w:val="center"/>
    </w:pPr>
    <w:rPr>
      <w:rFonts w:ascii="Arial Unicode MS" w:eastAsiaTheme="majorEastAsia" w:hAnsi="Arial Unicode MS" w:cstheme="majorBidi"/>
      <w:b/>
      <w:spacing w:val="5"/>
      <w:kern w:val="28"/>
      <w:sz w:val="52"/>
      <w:szCs w:val="52"/>
    </w:rPr>
  </w:style>
  <w:style w:type="character" w:customStyle="1" w:styleId="TitleChar">
    <w:name w:val="Title Char"/>
    <w:basedOn w:val="DefaultParagraphFont"/>
    <w:link w:val="Title"/>
    <w:uiPriority w:val="10"/>
    <w:rsid w:val="006A6DE1"/>
    <w:rPr>
      <w:rFonts w:ascii="Arial Unicode MS" w:eastAsiaTheme="majorEastAsia" w:hAnsi="Arial Unicode MS" w:cstheme="majorBidi"/>
      <w:b/>
      <w:spacing w:val="5"/>
      <w:kern w:val="28"/>
      <w:sz w:val="52"/>
      <w:szCs w:val="52"/>
    </w:rPr>
  </w:style>
  <w:style w:type="paragraph" w:customStyle="1" w:styleId="TextBody">
    <w:name w:val="Text (Body)"/>
    <w:basedOn w:val="Normal"/>
    <w:uiPriority w:val="99"/>
    <w:rsid w:val="007C1D92"/>
    <w:pPr>
      <w:suppressAutoHyphens/>
      <w:autoSpaceDE w:val="0"/>
      <w:autoSpaceDN w:val="0"/>
      <w:adjustRightInd w:val="0"/>
      <w:spacing w:after="170" w:line="288" w:lineRule="auto"/>
    </w:pPr>
    <w:rPr>
      <w:rFonts w:ascii="Arial" w:eastAsiaTheme="minorEastAsia" w:hAnsi="Arial" w:cs="Arial"/>
      <w:color w:val="000000"/>
      <w:sz w:val="20"/>
      <w:szCs w:val="20"/>
      <w:lang w:val="en-GB"/>
    </w:rPr>
  </w:style>
  <w:style w:type="paragraph" w:styleId="Header">
    <w:name w:val="header"/>
    <w:basedOn w:val="Normal"/>
    <w:link w:val="HeaderChar"/>
    <w:uiPriority w:val="99"/>
    <w:unhideWhenUsed/>
    <w:rsid w:val="007C1D92"/>
    <w:pPr>
      <w:tabs>
        <w:tab w:val="center" w:pos="4513"/>
        <w:tab w:val="right" w:pos="9026"/>
      </w:tabs>
    </w:pPr>
  </w:style>
  <w:style w:type="character" w:customStyle="1" w:styleId="HeaderChar">
    <w:name w:val="Header Char"/>
    <w:basedOn w:val="DefaultParagraphFont"/>
    <w:link w:val="Header"/>
    <w:uiPriority w:val="99"/>
    <w:rsid w:val="007C1D92"/>
    <w:rPr>
      <w:rFonts w:ascii="Calibri" w:hAnsi="Calibri"/>
      <w:sz w:val="22"/>
      <w:szCs w:val="24"/>
    </w:rPr>
  </w:style>
  <w:style w:type="paragraph" w:styleId="Footer">
    <w:name w:val="footer"/>
    <w:basedOn w:val="Normal"/>
    <w:link w:val="FooterChar"/>
    <w:uiPriority w:val="99"/>
    <w:unhideWhenUsed/>
    <w:rsid w:val="007C1D92"/>
    <w:pPr>
      <w:tabs>
        <w:tab w:val="center" w:pos="4513"/>
        <w:tab w:val="right" w:pos="9026"/>
      </w:tabs>
    </w:pPr>
  </w:style>
  <w:style w:type="character" w:customStyle="1" w:styleId="FooterChar">
    <w:name w:val="Footer Char"/>
    <w:basedOn w:val="DefaultParagraphFont"/>
    <w:link w:val="Footer"/>
    <w:uiPriority w:val="99"/>
    <w:rsid w:val="007C1D92"/>
    <w:rPr>
      <w:rFonts w:ascii="Calibri" w:hAnsi="Calibri"/>
      <w:sz w:val="22"/>
      <w:szCs w:val="24"/>
    </w:rPr>
  </w:style>
  <w:style w:type="paragraph" w:styleId="TOC1">
    <w:name w:val="toc 1"/>
    <w:basedOn w:val="Normal"/>
    <w:next w:val="Normal"/>
    <w:autoRedefine/>
    <w:uiPriority w:val="39"/>
    <w:unhideWhenUsed/>
    <w:qFormat/>
    <w:rsid w:val="00A442ED"/>
    <w:pPr>
      <w:spacing w:after="100"/>
    </w:pPr>
  </w:style>
  <w:style w:type="paragraph" w:styleId="TOC2">
    <w:name w:val="toc 2"/>
    <w:basedOn w:val="Normal"/>
    <w:next w:val="Normal"/>
    <w:autoRedefine/>
    <w:uiPriority w:val="39"/>
    <w:unhideWhenUsed/>
    <w:qFormat/>
    <w:rsid w:val="00A442ED"/>
    <w:pPr>
      <w:spacing w:after="100"/>
      <w:ind w:left="220"/>
    </w:pPr>
  </w:style>
  <w:style w:type="paragraph" w:styleId="TOC3">
    <w:name w:val="toc 3"/>
    <w:basedOn w:val="Normal"/>
    <w:next w:val="Normal"/>
    <w:autoRedefine/>
    <w:uiPriority w:val="39"/>
    <w:unhideWhenUsed/>
    <w:qFormat/>
    <w:rsid w:val="00A442ED"/>
    <w:pPr>
      <w:spacing w:after="100"/>
      <w:ind w:left="440"/>
    </w:pPr>
  </w:style>
  <w:style w:type="paragraph" w:styleId="TOCHeading">
    <w:name w:val="TOC Heading"/>
    <w:basedOn w:val="Heading1"/>
    <w:next w:val="Normal"/>
    <w:uiPriority w:val="39"/>
    <w:semiHidden/>
    <w:unhideWhenUsed/>
    <w:qFormat/>
    <w:rsid w:val="00A442ED"/>
    <w:pPr>
      <w:pageBreakBefore w:val="0"/>
      <w:spacing w:line="276" w:lineRule="auto"/>
      <w:outlineLvl w:val="9"/>
    </w:pPr>
    <w:rPr>
      <w:rFonts w:asciiTheme="majorHAnsi" w:hAnsiTheme="majorHAnsi"/>
      <w:color w:val="365F91" w:themeColor="accent1" w:themeShade="BF"/>
      <w:sz w:val="28"/>
      <w:lang w:val="en-US" w:eastAsia="ja-JP"/>
    </w:rPr>
  </w:style>
  <w:style w:type="paragraph" w:customStyle="1" w:styleId="Glossary-sub">
    <w:name w:val="Glossary-sub"/>
    <w:basedOn w:val="Normal"/>
    <w:qFormat/>
    <w:rsid w:val="00430606"/>
    <w:pPr>
      <w:spacing w:before="120" w:after="120"/>
    </w:pPr>
    <w:rPr>
      <w:rFonts w:ascii="Arial" w:hAnsi="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828"/>
    <w:rPr>
      <w:rFonts w:ascii="Calibri" w:hAnsi="Calibri"/>
      <w:sz w:val="22"/>
      <w:szCs w:val="24"/>
    </w:rPr>
  </w:style>
  <w:style w:type="paragraph" w:styleId="Heading1">
    <w:name w:val="heading 1"/>
    <w:basedOn w:val="Normal"/>
    <w:next w:val="Normal"/>
    <w:link w:val="Heading1Char"/>
    <w:autoRedefine/>
    <w:uiPriority w:val="9"/>
    <w:qFormat/>
    <w:rsid w:val="001F42A8"/>
    <w:pPr>
      <w:keepNext/>
      <w:keepLines/>
      <w:pageBreakBefore/>
      <w:spacing w:before="480"/>
      <w:outlineLvl w:val="0"/>
    </w:pPr>
    <w:rPr>
      <w:rFonts w:ascii="Arial" w:eastAsiaTheme="majorEastAsia" w:hAnsi="Arial" w:cstheme="majorBidi"/>
      <w:b/>
      <w:bCs/>
      <w:sz w:val="40"/>
      <w:szCs w:val="28"/>
    </w:rPr>
  </w:style>
  <w:style w:type="paragraph" w:styleId="Heading2">
    <w:name w:val="heading 2"/>
    <w:basedOn w:val="Normal"/>
    <w:next w:val="Normal"/>
    <w:link w:val="Heading2Char"/>
    <w:uiPriority w:val="9"/>
    <w:qFormat/>
    <w:rsid w:val="00257F90"/>
    <w:pPr>
      <w:keepNext/>
      <w:keepLines/>
      <w:spacing w:before="240" w:after="120"/>
      <w:outlineLvl w:val="1"/>
    </w:pPr>
    <w:rPr>
      <w:rFonts w:ascii="Arial" w:eastAsiaTheme="majorEastAsia" w:hAnsi="Arial" w:cs="Arial"/>
      <w:b/>
      <w:bCs/>
      <w:color w:val="0070C0"/>
      <w:sz w:val="36"/>
      <w:szCs w:val="26"/>
      <w:lang w:val="en-US"/>
    </w:rPr>
  </w:style>
  <w:style w:type="paragraph" w:styleId="Heading3">
    <w:name w:val="heading 3"/>
    <w:basedOn w:val="Normal"/>
    <w:next w:val="Normal"/>
    <w:link w:val="Heading3Char"/>
    <w:autoRedefine/>
    <w:uiPriority w:val="9"/>
    <w:qFormat/>
    <w:rsid w:val="00C94930"/>
    <w:pPr>
      <w:keepNext/>
      <w:keepLines/>
      <w:spacing w:before="240" w:after="120"/>
      <w:outlineLvl w:val="2"/>
    </w:pPr>
    <w:rPr>
      <w:rFonts w:ascii="Arial" w:eastAsiaTheme="majorEastAsia" w:hAnsi="Arial" w:cstheme="majorBidi"/>
      <w:b/>
      <w:bCs/>
      <w:color w:val="0070C0"/>
      <w:sz w:val="26"/>
    </w:rPr>
  </w:style>
  <w:style w:type="paragraph" w:styleId="Heading4">
    <w:name w:val="heading 4"/>
    <w:basedOn w:val="Normal"/>
    <w:next w:val="Normal"/>
    <w:link w:val="Heading4Char"/>
    <w:autoRedefine/>
    <w:uiPriority w:val="9"/>
    <w:qFormat/>
    <w:rsid w:val="00430606"/>
    <w:pPr>
      <w:keepNext/>
      <w:keepLines/>
      <w:spacing w:before="200"/>
      <w:outlineLvl w:val="3"/>
    </w:pPr>
    <w:rPr>
      <w:rFonts w:ascii="Arial" w:eastAsiaTheme="majorEastAsia" w:hAnsi="Arial"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oindent">
    <w:name w:val="body text no indent"/>
    <w:basedOn w:val="Normal"/>
    <w:uiPriority w:val="99"/>
    <w:rsid w:val="00F66D81"/>
    <w:pPr>
      <w:suppressAutoHyphens/>
      <w:autoSpaceDE w:val="0"/>
      <w:autoSpaceDN w:val="0"/>
      <w:adjustRightInd w:val="0"/>
      <w:spacing w:after="113" w:line="260" w:lineRule="atLeast"/>
      <w:textAlignment w:val="center"/>
    </w:pPr>
    <w:rPr>
      <w:rFonts w:ascii="Arial" w:hAnsi="Arial" w:cs="Arial"/>
      <w:color w:val="000000"/>
      <w:szCs w:val="22"/>
      <w:lang w:val="en-GB"/>
    </w:rPr>
  </w:style>
  <w:style w:type="character" w:customStyle="1" w:styleId="Heading1Char">
    <w:name w:val="Heading 1 Char"/>
    <w:basedOn w:val="DefaultParagraphFont"/>
    <w:link w:val="Heading1"/>
    <w:uiPriority w:val="9"/>
    <w:rsid w:val="001F42A8"/>
    <w:rPr>
      <w:rFonts w:ascii="Arial" w:eastAsiaTheme="majorEastAsia" w:hAnsi="Arial" w:cstheme="majorBidi"/>
      <w:b/>
      <w:bCs/>
      <w:sz w:val="40"/>
      <w:szCs w:val="28"/>
    </w:rPr>
  </w:style>
  <w:style w:type="paragraph" w:styleId="BodyText">
    <w:name w:val="Body Text"/>
    <w:basedOn w:val="Normal"/>
    <w:link w:val="BodyTextChar"/>
    <w:uiPriority w:val="99"/>
    <w:rsid w:val="00F66D81"/>
    <w:pPr>
      <w:suppressAutoHyphens/>
      <w:autoSpaceDE w:val="0"/>
      <w:autoSpaceDN w:val="0"/>
      <w:adjustRightInd w:val="0"/>
      <w:spacing w:after="113" w:line="288" w:lineRule="auto"/>
      <w:ind w:left="1984"/>
      <w:textAlignment w:val="center"/>
    </w:pPr>
    <w:rPr>
      <w:rFonts w:ascii="Arial" w:hAnsi="Arial" w:cs="Arial"/>
      <w:color w:val="000000"/>
      <w:szCs w:val="22"/>
      <w:lang w:val="en-US"/>
    </w:rPr>
  </w:style>
  <w:style w:type="character" w:customStyle="1" w:styleId="BodyTextChar">
    <w:name w:val="Body Text Char"/>
    <w:basedOn w:val="DefaultParagraphFont"/>
    <w:link w:val="BodyText"/>
    <w:uiPriority w:val="99"/>
    <w:rsid w:val="00F66D81"/>
    <w:rPr>
      <w:rFonts w:ascii="Arial" w:hAnsi="Arial" w:cs="Arial"/>
      <w:color w:val="000000"/>
      <w:sz w:val="22"/>
      <w:szCs w:val="22"/>
      <w:lang w:val="en-US"/>
    </w:rPr>
  </w:style>
  <w:style w:type="paragraph" w:customStyle="1" w:styleId="TOCHeading1">
    <w:name w:val="TOC Heading 1"/>
    <w:basedOn w:val="Normal"/>
    <w:uiPriority w:val="99"/>
    <w:rsid w:val="00F66D81"/>
    <w:pPr>
      <w:tabs>
        <w:tab w:val="left" w:leader="dot" w:pos="850"/>
        <w:tab w:val="left" w:leader="dot" w:pos="8277"/>
      </w:tabs>
      <w:autoSpaceDE w:val="0"/>
      <w:autoSpaceDN w:val="0"/>
      <w:adjustRightInd w:val="0"/>
      <w:spacing w:after="113" w:line="288" w:lineRule="auto"/>
      <w:textAlignment w:val="center"/>
    </w:pPr>
    <w:rPr>
      <w:rFonts w:ascii="Arial" w:hAnsi="Arial" w:cs="Arial"/>
      <w:b/>
      <w:bCs/>
      <w:color w:val="00A6D3"/>
      <w:lang w:val="en-GB"/>
    </w:rPr>
  </w:style>
  <w:style w:type="paragraph" w:customStyle="1" w:styleId="TOCHeading2">
    <w:name w:val="TOC Heading 2"/>
    <w:basedOn w:val="Normal"/>
    <w:uiPriority w:val="99"/>
    <w:rsid w:val="00F66D81"/>
    <w:pPr>
      <w:tabs>
        <w:tab w:val="right" w:leader="dot" w:pos="8400"/>
      </w:tabs>
      <w:suppressAutoHyphens/>
      <w:autoSpaceDE w:val="0"/>
      <w:autoSpaceDN w:val="0"/>
      <w:adjustRightInd w:val="0"/>
      <w:spacing w:after="57" w:line="288" w:lineRule="auto"/>
      <w:ind w:left="567"/>
      <w:textAlignment w:val="center"/>
    </w:pPr>
    <w:rPr>
      <w:rFonts w:ascii="Arial" w:hAnsi="Arial" w:cs="Arial"/>
      <w:color w:val="000000"/>
      <w:szCs w:val="22"/>
      <w:u w:color="26A146"/>
      <w:lang w:val="en-GB"/>
    </w:rPr>
  </w:style>
  <w:style w:type="paragraph" w:customStyle="1" w:styleId="TOCHeading3">
    <w:name w:val="TOC Heading 3"/>
    <w:basedOn w:val="TOCHeading2"/>
    <w:uiPriority w:val="99"/>
    <w:rsid w:val="00F66D81"/>
    <w:pPr>
      <w:ind w:left="850"/>
    </w:pPr>
    <w:rPr>
      <w:u w:color="000000"/>
    </w:rPr>
  </w:style>
  <w:style w:type="paragraph" w:customStyle="1" w:styleId="BasicParagraph">
    <w:name w:val="[Basic Paragraph]"/>
    <w:basedOn w:val="Normal"/>
    <w:link w:val="BasicParagraphChar"/>
    <w:uiPriority w:val="99"/>
    <w:rsid w:val="00F66D81"/>
    <w:pPr>
      <w:autoSpaceDE w:val="0"/>
      <w:autoSpaceDN w:val="0"/>
      <w:adjustRightInd w:val="0"/>
      <w:spacing w:line="288" w:lineRule="auto"/>
      <w:textAlignment w:val="center"/>
    </w:pPr>
    <w:rPr>
      <w:rFonts w:ascii="Arial" w:hAnsi="Arial" w:cs="Arial"/>
      <w:color w:val="000000"/>
      <w:lang w:val="en-GB"/>
    </w:rPr>
  </w:style>
  <w:style w:type="character" w:customStyle="1" w:styleId="Classificationitalics">
    <w:name w:val="Classification italics"/>
    <w:uiPriority w:val="99"/>
    <w:rsid w:val="00B8398D"/>
    <w:rPr>
      <w:rFonts w:ascii="Arial" w:hAnsi="Arial" w:cs="Arial"/>
      <w:i/>
      <w:iCs/>
      <w:color w:val="000000"/>
      <w:sz w:val="22"/>
      <w:szCs w:val="22"/>
    </w:rPr>
  </w:style>
  <w:style w:type="paragraph" w:styleId="ListParagraph">
    <w:name w:val="List Paragraph"/>
    <w:basedOn w:val="Normal"/>
    <w:uiPriority w:val="34"/>
    <w:qFormat/>
    <w:rsid w:val="00B8398D"/>
    <w:pPr>
      <w:ind w:left="720"/>
      <w:contextualSpacing/>
    </w:pPr>
  </w:style>
  <w:style w:type="character" w:styleId="Hyperlink">
    <w:name w:val="Hyperlink"/>
    <w:basedOn w:val="DefaultParagraphFont"/>
    <w:uiPriority w:val="99"/>
    <w:unhideWhenUsed/>
    <w:rsid w:val="00B8398D"/>
    <w:rPr>
      <w:color w:val="0000FF" w:themeColor="hyperlink"/>
      <w:u w:val="single"/>
    </w:rPr>
  </w:style>
  <w:style w:type="paragraph" w:customStyle="1" w:styleId="Figuretitlecolumnwidth">
    <w:name w:val="Figure title column width"/>
    <w:basedOn w:val="BodyText"/>
    <w:next w:val="BodyText"/>
    <w:uiPriority w:val="99"/>
    <w:rsid w:val="00B8398D"/>
    <w:pPr>
      <w:spacing w:after="57" w:line="240" w:lineRule="atLeast"/>
      <w:ind w:left="2835" w:hanging="850"/>
    </w:pPr>
    <w:rPr>
      <w:b/>
      <w:bCs/>
      <w:color w:val="00A6D3"/>
      <w:sz w:val="20"/>
      <w:szCs w:val="20"/>
    </w:rPr>
  </w:style>
  <w:style w:type="paragraph" w:customStyle="1" w:styleId="Tabletitle">
    <w:name w:val="Table title"/>
    <w:basedOn w:val="Normal"/>
    <w:next w:val="Normal"/>
    <w:uiPriority w:val="99"/>
    <w:rsid w:val="00B95D9B"/>
    <w:pPr>
      <w:keepLines/>
      <w:tabs>
        <w:tab w:val="left" w:pos="907"/>
      </w:tabs>
      <w:suppressAutoHyphens/>
      <w:autoSpaceDE w:val="0"/>
      <w:autoSpaceDN w:val="0"/>
      <w:adjustRightInd w:val="0"/>
      <w:spacing w:before="57" w:after="57" w:line="220" w:lineRule="atLeast"/>
      <w:ind w:left="850" w:hanging="850"/>
      <w:textAlignment w:val="center"/>
    </w:pPr>
    <w:rPr>
      <w:rFonts w:ascii="Arial" w:hAnsi="Arial" w:cs="Arial"/>
      <w:b/>
      <w:bCs/>
      <w:color w:val="00A6D3"/>
      <w:sz w:val="20"/>
      <w:szCs w:val="20"/>
      <w:lang w:val="en-US"/>
    </w:rPr>
  </w:style>
  <w:style w:type="paragraph" w:customStyle="1" w:styleId="Tabletitlecolumnwidth">
    <w:name w:val="Table title column width"/>
    <w:basedOn w:val="Tabletitle"/>
    <w:uiPriority w:val="99"/>
    <w:rsid w:val="00C95D45"/>
    <w:pPr>
      <w:ind w:left="2835"/>
    </w:pPr>
  </w:style>
  <w:style w:type="paragraph" w:customStyle="1" w:styleId="Boxedcomment">
    <w:name w:val="Boxed comment"/>
    <w:basedOn w:val="BodyText"/>
    <w:uiPriority w:val="99"/>
    <w:rsid w:val="00C95D45"/>
    <w:pPr>
      <w:pBdr>
        <w:top w:val="single" w:sz="5" w:space="11" w:color="auto"/>
      </w:pBdr>
      <w:spacing w:after="397" w:line="240" w:lineRule="atLeast"/>
      <w:ind w:left="0"/>
    </w:pPr>
    <w:rPr>
      <w:rFonts w:ascii="Arial Narrow" w:hAnsi="Arial Narrow" w:cs="Arial Narrow"/>
      <w:color w:val="00A6D3"/>
      <w:w w:val="95"/>
    </w:rPr>
  </w:style>
  <w:style w:type="paragraph" w:customStyle="1" w:styleId="Footnote">
    <w:name w:val="Footnote"/>
    <w:basedOn w:val="BodyText"/>
    <w:uiPriority w:val="99"/>
    <w:rsid w:val="008D2828"/>
    <w:pPr>
      <w:spacing w:line="180" w:lineRule="atLeast"/>
    </w:pPr>
    <w:rPr>
      <w:sz w:val="16"/>
      <w:szCs w:val="16"/>
    </w:rPr>
  </w:style>
  <w:style w:type="character" w:customStyle="1" w:styleId="Heading2Char">
    <w:name w:val="Heading 2 Char"/>
    <w:basedOn w:val="DefaultParagraphFont"/>
    <w:link w:val="Heading2"/>
    <w:uiPriority w:val="9"/>
    <w:rsid w:val="00257F90"/>
    <w:rPr>
      <w:rFonts w:ascii="Arial" w:eastAsiaTheme="majorEastAsia" w:hAnsi="Arial" w:cs="Arial"/>
      <w:b/>
      <w:bCs/>
      <w:color w:val="0070C0"/>
      <w:sz w:val="36"/>
      <w:szCs w:val="26"/>
      <w:lang w:val="en-US"/>
    </w:rPr>
  </w:style>
  <w:style w:type="character" w:customStyle="1" w:styleId="Heading3Char">
    <w:name w:val="Heading 3 Char"/>
    <w:basedOn w:val="DefaultParagraphFont"/>
    <w:link w:val="Heading3"/>
    <w:uiPriority w:val="9"/>
    <w:rsid w:val="00C94930"/>
    <w:rPr>
      <w:rFonts w:ascii="Arial" w:eastAsiaTheme="majorEastAsia" w:hAnsi="Arial" w:cstheme="majorBidi"/>
      <w:b/>
      <w:bCs/>
      <w:color w:val="0070C0"/>
      <w:sz w:val="26"/>
      <w:szCs w:val="24"/>
    </w:rPr>
  </w:style>
  <w:style w:type="paragraph" w:customStyle="1" w:styleId="Figuretitlefullwidth">
    <w:name w:val="Figure title full width"/>
    <w:basedOn w:val="Figuretitlecolumnwidth"/>
    <w:uiPriority w:val="99"/>
    <w:rsid w:val="00CC620A"/>
    <w:pPr>
      <w:tabs>
        <w:tab w:val="left" w:pos="980"/>
      </w:tabs>
      <w:spacing w:line="220" w:lineRule="atLeast"/>
      <w:ind w:left="850"/>
    </w:pPr>
  </w:style>
  <w:style w:type="paragraph" w:customStyle="1" w:styleId="Tablefootnote-columnwidthTableformating">
    <w:name w:val="Table footnote - column width (Table formating)"/>
    <w:basedOn w:val="Normal"/>
    <w:uiPriority w:val="99"/>
    <w:rsid w:val="00900086"/>
    <w:pPr>
      <w:suppressAutoHyphens/>
      <w:autoSpaceDE w:val="0"/>
      <w:autoSpaceDN w:val="0"/>
      <w:adjustRightInd w:val="0"/>
      <w:spacing w:after="170" w:line="160" w:lineRule="atLeast"/>
      <w:ind w:left="1134" w:hanging="113"/>
      <w:textAlignment w:val="center"/>
    </w:pPr>
    <w:rPr>
      <w:rFonts w:ascii="Arial" w:hAnsi="Arial" w:cs="Arial"/>
      <w:b/>
      <w:bCs/>
      <w:color w:val="000000"/>
      <w:sz w:val="14"/>
      <w:szCs w:val="14"/>
      <w:lang w:val="en-US"/>
    </w:rPr>
  </w:style>
  <w:style w:type="paragraph" w:customStyle="1" w:styleId="Glossaryitem">
    <w:name w:val="Glossary item"/>
    <w:basedOn w:val="Heading2"/>
    <w:uiPriority w:val="99"/>
    <w:rsid w:val="007C5BCC"/>
    <w:pPr>
      <w:keepNext w:val="0"/>
      <w:keepLines w:val="0"/>
      <w:tabs>
        <w:tab w:val="left" w:pos="3200"/>
      </w:tabs>
      <w:suppressAutoHyphens/>
      <w:autoSpaceDE w:val="0"/>
      <w:autoSpaceDN w:val="0"/>
      <w:adjustRightInd w:val="0"/>
      <w:spacing w:before="113" w:after="57" w:line="288" w:lineRule="auto"/>
      <w:ind w:left="3118" w:hanging="3118"/>
      <w:textAlignment w:val="center"/>
      <w:outlineLvl w:val="9"/>
    </w:pPr>
    <w:rPr>
      <w:rFonts w:eastAsia="Times New Roman"/>
      <w:color w:val="000000"/>
      <w:sz w:val="22"/>
      <w:szCs w:val="22"/>
      <w:lang w:val="en-GB"/>
    </w:rPr>
  </w:style>
  <w:style w:type="character" w:customStyle="1" w:styleId="Heading4Char">
    <w:name w:val="Heading 4 Char"/>
    <w:basedOn w:val="DefaultParagraphFont"/>
    <w:link w:val="Heading4"/>
    <w:uiPriority w:val="9"/>
    <w:rsid w:val="00430606"/>
    <w:rPr>
      <w:rFonts w:ascii="Arial" w:eastAsiaTheme="majorEastAsia" w:hAnsi="Arial" w:cstheme="majorBidi"/>
      <w:b/>
      <w:bCs/>
      <w:iCs/>
      <w:sz w:val="24"/>
      <w:szCs w:val="24"/>
    </w:rPr>
  </w:style>
  <w:style w:type="paragraph" w:customStyle="1" w:styleId="BodyText1">
    <w:name w:val="Body Text1"/>
    <w:basedOn w:val="Normal"/>
    <w:link w:val="BodytextChar0"/>
    <w:qFormat/>
    <w:rsid w:val="00513A50"/>
    <w:pPr>
      <w:spacing w:before="57" w:after="57" w:line="288" w:lineRule="auto"/>
    </w:pPr>
    <w:rPr>
      <w:rFonts w:ascii="Arial" w:hAnsi="Arial" w:cs="Arial"/>
      <w:sz w:val="20"/>
      <w:lang w:val="en-US"/>
    </w:rPr>
  </w:style>
  <w:style w:type="paragraph" w:customStyle="1" w:styleId="Figureheadings">
    <w:name w:val="Figure headings"/>
    <w:basedOn w:val="Normal"/>
    <w:link w:val="FigureheadingsChar"/>
    <w:autoRedefine/>
    <w:qFormat/>
    <w:rsid w:val="00513A50"/>
    <w:pPr>
      <w:spacing w:after="120"/>
    </w:pPr>
    <w:rPr>
      <w:rFonts w:ascii="Arial" w:hAnsi="Arial" w:cs="Arial"/>
      <w:b/>
      <w:sz w:val="20"/>
      <w:lang w:val="en-US"/>
    </w:rPr>
  </w:style>
  <w:style w:type="character" w:customStyle="1" w:styleId="BodytextChar0">
    <w:name w:val="Body text Char"/>
    <w:basedOn w:val="DefaultParagraphFont"/>
    <w:link w:val="BodyText1"/>
    <w:rsid w:val="00513A50"/>
    <w:rPr>
      <w:rFonts w:ascii="Arial" w:hAnsi="Arial" w:cs="Arial"/>
      <w:szCs w:val="24"/>
      <w:lang w:val="en-US"/>
    </w:rPr>
  </w:style>
  <w:style w:type="paragraph" w:customStyle="1" w:styleId="footnotes">
    <w:name w:val="footnotes"/>
    <w:basedOn w:val="Normal"/>
    <w:link w:val="footnotesChar"/>
    <w:qFormat/>
    <w:rsid w:val="00E852AC"/>
    <w:rPr>
      <w:rFonts w:ascii="Arial" w:hAnsi="Arial" w:cs="Arial"/>
      <w:sz w:val="16"/>
      <w:szCs w:val="16"/>
      <w:vertAlign w:val="superscript"/>
      <w:lang w:val="en-US"/>
    </w:rPr>
  </w:style>
  <w:style w:type="character" w:customStyle="1" w:styleId="FigureheadingsChar">
    <w:name w:val="Figure headings Char"/>
    <w:basedOn w:val="DefaultParagraphFont"/>
    <w:link w:val="Figureheadings"/>
    <w:rsid w:val="00513A50"/>
    <w:rPr>
      <w:rFonts w:ascii="Arial" w:hAnsi="Arial" w:cs="Arial"/>
      <w:b/>
      <w:szCs w:val="24"/>
      <w:lang w:val="en-US"/>
    </w:rPr>
  </w:style>
  <w:style w:type="paragraph" w:styleId="BalloonText">
    <w:name w:val="Balloon Text"/>
    <w:basedOn w:val="Normal"/>
    <w:link w:val="BalloonTextChar"/>
    <w:uiPriority w:val="99"/>
    <w:semiHidden/>
    <w:unhideWhenUsed/>
    <w:rsid w:val="001E343E"/>
    <w:rPr>
      <w:rFonts w:ascii="Tahoma" w:hAnsi="Tahoma" w:cs="Tahoma"/>
      <w:sz w:val="16"/>
      <w:szCs w:val="16"/>
    </w:rPr>
  </w:style>
  <w:style w:type="character" w:customStyle="1" w:styleId="footnotesChar">
    <w:name w:val="footnotes Char"/>
    <w:basedOn w:val="DefaultParagraphFont"/>
    <w:link w:val="footnotes"/>
    <w:rsid w:val="00E852AC"/>
    <w:rPr>
      <w:rFonts w:ascii="Arial" w:hAnsi="Arial" w:cs="Arial"/>
      <w:sz w:val="16"/>
      <w:szCs w:val="16"/>
      <w:vertAlign w:val="superscript"/>
      <w:lang w:val="en-US"/>
    </w:rPr>
  </w:style>
  <w:style w:type="character" w:customStyle="1" w:styleId="BalloonTextChar">
    <w:name w:val="Balloon Text Char"/>
    <w:basedOn w:val="DefaultParagraphFont"/>
    <w:link w:val="BalloonText"/>
    <w:uiPriority w:val="99"/>
    <w:semiHidden/>
    <w:rsid w:val="001E343E"/>
    <w:rPr>
      <w:rFonts w:ascii="Tahoma" w:hAnsi="Tahoma" w:cs="Tahoma"/>
      <w:sz w:val="16"/>
      <w:szCs w:val="16"/>
    </w:rPr>
  </w:style>
  <w:style w:type="paragraph" w:customStyle="1" w:styleId="Tableheading">
    <w:name w:val="Table heading"/>
    <w:basedOn w:val="Figureheadings"/>
    <w:link w:val="TableheadingChar"/>
    <w:autoRedefine/>
    <w:qFormat/>
    <w:rsid w:val="008D72B2"/>
  </w:style>
  <w:style w:type="paragraph" w:customStyle="1" w:styleId="NoParagraphStyle">
    <w:name w:val="[No Paragraph Style]"/>
    <w:rsid w:val="00C47A24"/>
    <w:pPr>
      <w:autoSpaceDE w:val="0"/>
      <w:autoSpaceDN w:val="0"/>
      <w:adjustRightInd w:val="0"/>
      <w:spacing w:line="288" w:lineRule="auto"/>
      <w:textAlignment w:val="center"/>
    </w:pPr>
    <w:rPr>
      <w:rFonts w:ascii="Arial" w:hAnsi="Arial" w:cs="Arial"/>
      <w:color w:val="000000"/>
      <w:sz w:val="24"/>
      <w:szCs w:val="24"/>
      <w:lang w:val="en-GB"/>
    </w:rPr>
  </w:style>
  <w:style w:type="character" w:customStyle="1" w:styleId="TableheadingChar">
    <w:name w:val="Table heading Char"/>
    <w:basedOn w:val="FigureheadingsChar"/>
    <w:link w:val="Tableheading"/>
    <w:rsid w:val="008D72B2"/>
    <w:rPr>
      <w:rFonts w:ascii="Arial" w:hAnsi="Arial" w:cs="Arial"/>
      <w:b/>
      <w:sz w:val="22"/>
      <w:szCs w:val="24"/>
      <w:lang w:val="en-US"/>
    </w:rPr>
  </w:style>
  <w:style w:type="paragraph" w:customStyle="1" w:styleId="TableNumberTableformating">
    <w:name w:val="Table Number (Table formating)"/>
    <w:basedOn w:val="NoParagraphStyle"/>
    <w:uiPriority w:val="99"/>
    <w:rsid w:val="00C47A24"/>
    <w:pPr>
      <w:suppressAutoHyphens/>
      <w:ind w:right="170"/>
      <w:jc w:val="right"/>
    </w:pPr>
    <w:rPr>
      <w:sz w:val="16"/>
      <w:szCs w:val="16"/>
    </w:rPr>
  </w:style>
  <w:style w:type="paragraph" w:customStyle="1" w:styleId="TablecolumnheadersTableformating">
    <w:name w:val="Table column headers (Table formating)"/>
    <w:basedOn w:val="NoParagraphStyle"/>
    <w:uiPriority w:val="99"/>
    <w:rsid w:val="00C47A24"/>
    <w:pPr>
      <w:suppressAutoHyphens/>
      <w:spacing w:line="180" w:lineRule="atLeast"/>
      <w:jc w:val="center"/>
    </w:pPr>
    <w:rPr>
      <w:b/>
      <w:bCs/>
      <w:sz w:val="18"/>
      <w:szCs w:val="18"/>
      <w:lang w:val="en-US"/>
    </w:rPr>
  </w:style>
  <w:style w:type="paragraph" w:customStyle="1" w:styleId="TablestubheadingTableformating">
    <w:name w:val="Table stub heading (Table formating)"/>
    <w:basedOn w:val="Normal"/>
    <w:uiPriority w:val="99"/>
    <w:rsid w:val="00C47A24"/>
    <w:pPr>
      <w:suppressAutoHyphens/>
      <w:autoSpaceDE w:val="0"/>
      <w:autoSpaceDN w:val="0"/>
      <w:adjustRightInd w:val="0"/>
      <w:spacing w:line="160" w:lineRule="atLeast"/>
      <w:ind w:left="113" w:hanging="113"/>
      <w:textAlignment w:val="center"/>
    </w:pPr>
    <w:rPr>
      <w:rFonts w:ascii="Arial" w:hAnsi="Arial" w:cs="Arial"/>
      <w:b/>
      <w:bCs/>
      <w:color w:val="000000"/>
      <w:sz w:val="18"/>
      <w:szCs w:val="18"/>
      <w:lang w:val="en-US"/>
    </w:rPr>
  </w:style>
  <w:style w:type="paragraph" w:customStyle="1" w:styleId="TableStubsBoldTableformating">
    <w:name w:val="Table Stubs Bold (Table formating)"/>
    <w:basedOn w:val="Normal"/>
    <w:uiPriority w:val="99"/>
    <w:rsid w:val="00C47A24"/>
    <w:pPr>
      <w:suppressAutoHyphens/>
      <w:autoSpaceDE w:val="0"/>
      <w:autoSpaceDN w:val="0"/>
      <w:adjustRightInd w:val="0"/>
      <w:spacing w:line="140" w:lineRule="atLeast"/>
      <w:ind w:left="113" w:hanging="113"/>
      <w:textAlignment w:val="center"/>
    </w:pPr>
    <w:rPr>
      <w:rFonts w:ascii="Arial" w:hAnsi="Arial" w:cs="Arial"/>
      <w:b/>
      <w:bCs/>
      <w:color w:val="000000"/>
      <w:sz w:val="16"/>
      <w:szCs w:val="16"/>
      <w:lang w:val="en-US"/>
    </w:rPr>
  </w:style>
  <w:style w:type="paragraph" w:customStyle="1" w:styleId="TableNumberBoldTableformating">
    <w:name w:val="Table Number Bold (Table formating)"/>
    <w:basedOn w:val="TableNumberTableformating"/>
    <w:uiPriority w:val="99"/>
    <w:rsid w:val="00C47A24"/>
    <w:rPr>
      <w:b/>
      <w:bCs/>
    </w:rPr>
  </w:style>
  <w:style w:type="paragraph" w:customStyle="1" w:styleId="TablestubindentTableformating">
    <w:name w:val="Table stub indent (Table formating)"/>
    <w:basedOn w:val="Normal"/>
    <w:uiPriority w:val="99"/>
    <w:rsid w:val="00C47A24"/>
    <w:pPr>
      <w:suppressAutoHyphens/>
      <w:autoSpaceDE w:val="0"/>
      <w:autoSpaceDN w:val="0"/>
      <w:adjustRightInd w:val="0"/>
      <w:spacing w:line="140" w:lineRule="atLeast"/>
      <w:ind w:left="283" w:hanging="113"/>
      <w:textAlignment w:val="center"/>
    </w:pPr>
    <w:rPr>
      <w:rFonts w:ascii="Arial" w:hAnsi="Arial" w:cs="Arial"/>
      <w:color w:val="000000"/>
      <w:sz w:val="16"/>
      <w:szCs w:val="16"/>
      <w:lang w:val="en-US"/>
    </w:rPr>
  </w:style>
  <w:style w:type="table" w:styleId="TableGrid">
    <w:name w:val="Table Grid"/>
    <w:basedOn w:val="TableNormal"/>
    <w:uiPriority w:val="59"/>
    <w:rsid w:val="000928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owheadings">
    <w:name w:val="Table row headings"/>
    <w:basedOn w:val="Normal"/>
    <w:link w:val="TablerowheadingsChar"/>
    <w:qFormat/>
    <w:rsid w:val="004A7D8A"/>
    <w:pPr>
      <w:spacing w:before="20" w:after="20"/>
    </w:pPr>
    <w:rPr>
      <w:rFonts w:ascii="Arial" w:hAnsi="Arial" w:cs="Arial"/>
      <w:b/>
      <w:sz w:val="18"/>
      <w:szCs w:val="20"/>
    </w:rPr>
  </w:style>
  <w:style w:type="paragraph" w:customStyle="1" w:styleId="TableStubsTableformating">
    <w:name w:val="Table Stubs (Table formating)"/>
    <w:basedOn w:val="NoParagraphStyle"/>
    <w:uiPriority w:val="99"/>
    <w:rsid w:val="00C94930"/>
    <w:pPr>
      <w:suppressAutoHyphens/>
      <w:spacing w:line="140" w:lineRule="atLeast"/>
      <w:ind w:left="113" w:hanging="113"/>
    </w:pPr>
    <w:rPr>
      <w:sz w:val="16"/>
      <w:szCs w:val="16"/>
      <w:lang w:val="en-US"/>
    </w:rPr>
  </w:style>
  <w:style w:type="character" w:customStyle="1" w:styleId="TablerowheadingsChar">
    <w:name w:val="Table row headings Char"/>
    <w:basedOn w:val="DefaultParagraphFont"/>
    <w:link w:val="Tablerowheadings"/>
    <w:rsid w:val="004A7D8A"/>
    <w:rPr>
      <w:rFonts w:ascii="Arial" w:hAnsi="Arial" w:cs="Arial"/>
      <w:b/>
      <w:sz w:val="18"/>
    </w:rPr>
  </w:style>
  <w:style w:type="paragraph" w:styleId="NoSpacing">
    <w:name w:val="No Spacing"/>
    <w:uiPriority w:val="1"/>
    <w:qFormat/>
    <w:rsid w:val="00736F1C"/>
    <w:rPr>
      <w:rFonts w:ascii="Calibri" w:hAnsi="Calibri"/>
      <w:sz w:val="22"/>
      <w:szCs w:val="24"/>
    </w:rPr>
  </w:style>
  <w:style w:type="paragraph" w:customStyle="1" w:styleId="Tableheaderrow">
    <w:name w:val="Table header row"/>
    <w:basedOn w:val="BasicParagraph"/>
    <w:link w:val="TableheaderrowChar"/>
    <w:qFormat/>
    <w:rsid w:val="00A04693"/>
    <w:pPr>
      <w:jc w:val="center"/>
    </w:pPr>
    <w:rPr>
      <w:b/>
      <w:sz w:val="18"/>
      <w:szCs w:val="20"/>
      <w:lang w:val="en-US"/>
    </w:rPr>
  </w:style>
  <w:style w:type="paragraph" w:customStyle="1" w:styleId="Tabletext">
    <w:name w:val="Table text"/>
    <w:basedOn w:val="Normal"/>
    <w:link w:val="TabletextChar"/>
    <w:qFormat/>
    <w:rsid w:val="00A04693"/>
    <w:pPr>
      <w:spacing w:before="20" w:after="20"/>
    </w:pPr>
    <w:rPr>
      <w:rFonts w:ascii="Arial" w:hAnsi="Arial" w:cs="Arial"/>
      <w:sz w:val="18"/>
      <w:szCs w:val="20"/>
    </w:rPr>
  </w:style>
  <w:style w:type="character" w:customStyle="1" w:styleId="BasicParagraphChar">
    <w:name w:val="[Basic Paragraph] Char"/>
    <w:basedOn w:val="DefaultParagraphFont"/>
    <w:link w:val="BasicParagraph"/>
    <w:uiPriority w:val="99"/>
    <w:rsid w:val="00736F1C"/>
    <w:rPr>
      <w:rFonts w:ascii="Arial" w:hAnsi="Arial" w:cs="Arial"/>
      <w:color w:val="000000"/>
      <w:sz w:val="22"/>
      <w:szCs w:val="24"/>
      <w:lang w:val="en-GB"/>
    </w:rPr>
  </w:style>
  <w:style w:type="character" w:customStyle="1" w:styleId="TableheaderrowChar">
    <w:name w:val="Table header row Char"/>
    <w:basedOn w:val="BasicParagraphChar"/>
    <w:link w:val="Tableheaderrow"/>
    <w:rsid w:val="00A04693"/>
    <w:rPr>
      <w:rFonts w:ascii="Arial" w:hAnsi="Arial" w:cs="Arial"/>
      <w:b/>
      <w:color w:val="000000"/>
      <w:sz w:val="18"/>
      <w:szCs w:val="24"/>
      <w:lang w:val="en-US"/>
    </w:rPr>
  </w:style>
  <w:style w:type="character" w:customStyle="1" w:styleId="TabletextChar">
    <w:name w:val="Table text Char"/>
    <w:basedOn w:val="DefaultParagraphFont"/>
    <w:link w:val="Tabletext"/>
    <w:rsid w:val="00A04693"/>
    <w:rPr>
      <w:rFonts w:ascii="Arial" w:hAnsi="Arial" w:cs="Arial"/>
      <w:sz w:val="18"/>
    </w:rPr>
  </w:style>
  <w:style w:type="paragraph" w:styleId="Caption">
    <w:name w:val="caption"/>
    <w:basedOn w:val="Normal"/>
    <w:next w:val="Normal"/>
    <w:uiPriority w:val="35"/>
    <w:unhideWhenUsed/>
    <w:qFormat/>
    <w:rsid w:val="00FF645D"/>
    <w:pPr>
      <w:spacing w:after="200"/>
    </w:pPr>
    <w:rPr>
      <w:b/>
      <w:bCs/>
      <w:color w:val="4F81BD" w:themeColor="accent1"/>
      <w:sz w:val="18"/>
      <w:szCs w:val="18"/>
    </w:rPr>
  </w:style>
  <w:style w:type="paragraph" w:customStyle="1" w:styleId="Chaptertitle">
    <w:name w:val="Chapter title"/>
    <w:basedOn w:val="BodyText"/>
    <w:uiPriority w:val="99"/>
    <w:rsid w:val="008B170D"/>
    <w:pPr>
      <w:spacing w:line="520" w:lineRule="atLeast"/>
      <w:ind w:left="0"/>
    </w:pPr>
    <w:rPr>
      <w:color w:val="00A6D3"/>
      <w:sz w:val="48"/>
      <w:szCs w:val="48"/>
    </w:rPr>
  </w:style>
  <w:style w:type="paragraph" w:customStyle="1" w:styleId="Bullettpara">
    <w:name w:val="Bullett para"/>
    <w:basedOn w:val="BodyText"/>
    <w:uiPriority w:val="99"/>
    <w:rsid w:val="008B170D"/>
    <w:pPr>
      <w:spacing w:after="57" w:line="264" w:lineRule="atLeast"/>
      <w:ind w:left="2551" w:hanging="283"/>
    </w:pPr>
  </w:style>
  <w:style w:type="paragraph" w:styleId="Title">
    <w:name w:val="Title"/>
    <w:basedOn w:val="Normal"/>
    <w:next w:val="Normal"/>
    <w:link w:val="TitleChar"/>
    <w:uiPriority w:val="10"/>
    <w:qFormat/>
    <w:rsid w:val="006A6DE1"/>
    <w:pPr>
      <w:widowControl w:val="0"/>
      <w:spacing w:after="300"/>
      <w:contextualSpacing/>
      <w:jc w:val="center"/>
    </w:pPr>
    <w:rPr>
      <w:rFonts w:ascii="Arial Unicode MS" w:eastAsiaTheme="majorEastAsia" w:hAnsi="Arial Unicode MS" w:cstheme="majorBidi"/>
      <w:b/>
      <w:spacing w:val="5"/>
      <w:kern w:val="28"/>
      <w:sz w:val="52"/>
      <w:szCs w:val="52"/>
    </w:rPr>
  </w:style>
  <w:style w:type="character" w:customStyle="1" w:styleId="TitleChar">
    <w:name w:val="Title Char"/>
    <w:basedOn w:val="DefaultParagraphFont"/>
    <w:link w:val="Title"/>
    <w:uiPriority w:val="10"/>
    <w:rsid w:val="006A6DE1"/>
    <w:rPr>
      <w:rFonts w:ascii="Arial Unicode MS" w:eastAsiaTheme="majorEastAsia" w:hAnsi="Arial Unicode MS" w:cstheme="majorBidi"/>
      <w:b/>
      <w:spacing w:val="5"/>
      <w:kern w:val="28"/>
      <w:sz w:val="52"/>
      <w:szCs w:val="52"/>
    </w:rPr>
  </w:style>
  <w:style w:type="paragraph" w:customStyle="1" w:styleId="TextBody">
    <w:name w:val="Text (Body)"/>
    <w:basedOn w:val="Normal"/>
    <w:uiPriority w:val="99"/>
    <w:rsid w:val="007C1D92"/>
    <w:pPr>
      <w:suppressAutoHyphens/>
      <w:autoSpaceDE w:val="0"/>
      <w:autoSpaceDN w:val="0"/>
      <w:adjustRightInd w:val="0"/>
      <w:spacing w:after="170" w:line="288" w:lineRule="auto"/>
    </w:pPr>
    <w:rPr>
      <w:rFonts w:ascii="Arial" w:eastAsiaTheme="minorEastAsia" w:hAnsi="Arial" w:cs="Arial"/>
      <w:color w:val="000000"/>
      <w:sz w:val="20"/>
      <w:szCs w:val="20"/>
      <w:lang w:val="en-GB"/>
    </w:rPr>
  </w:style>
  <w:style w:type="paragraph" w:styleId="Header">
    <w:name w:val="header"/>
    <w:basedOn w:val="Normal"/>
    <w:link w:val="HeaderChar"/>
    <w:uiPriority w:val="99"/>
    <w:unhideWhenUsed/>
    <w:rsid w:val="007C1D92"/>
    <w:pPr>
      <w:tabs>
        <w:tab w:val="center" w:pos="4513"/>
        <w:tab w:val="right" w:pos="9026"/>
      </w:tabs>
    </w:pPr>
  </w:style>
  <w:style w:type="character" w:customStyle="1" w:styleId="HeaderChar">
    <w:name w:val="Header Char"/>
    <w:basedOn w:val="DefaultParagraphFont"/>
    <w:link w:val="Header"/>
    <w:uiPriority w:val="99"/>
    <w:rsid w:val="007C1D92"/>
    <w:rPr>
      <w:rFonts w:ascii="Calibri" w:hAnsi="Calibri"/>
      <w:sz w:val="22"/>
      <w:szCs w:val="24"/>
    </w:rPr>
  </w:style>
  <w:style w:type="paragraph" w:styleId="Footer">
    <w:name w:val="footer"/>
    <w:basedOn w:val="Normal"/>
    <w:link w:val="FooterChar"/>
    <w:uiPriority w:val="99"/>
    <w:unhideWhenUsed/>
    <w:rsid w:val="007C1D92"/>
    <w:pPr>
      <w:tabs>
        <w:tab w:val="center" w:pos="4513"/>
        <w:tab w:val="right" w:pos="9026"/>
      </w:tabs>
    </w:pPr>
  </w:style>
  <w:style w:type="character" w:customStyle="1" w:styleId="FooterChar">
    <w:name w:val="Footer Char"/>
    <w:basedOn w:val="DefaultParagraphFont"/>
    <w:link w:val="Footer"/>
    <w:uiPriority w:val="99"/>
    <w:rsid w:val="007C1D92"/>
    <w:rPr>
      <w:rFonts w:ascii="Calibri" w:hAnsi="Calibri"/>
      <w:sz w:val="22"/>
      <w:szCs w:val="24"/>
    </w:rPr>
  </w:style>
  <w:style w:type="paragraph" w:styleId="TOC1">
    <w:name w:val="toc 1"/>
    <w:basedOn w:val="Normal"/>
    <w:next w:val="Normal"/>
    <w:autoRedefine/>
    <w:uiPriority w:val="39"/>
    <w:unhideWhenUsed/>
    <w:qFormat/>
    <w:rsid w:val="00A442ED"/>
    <w:pPr>
      <w:spacing w:after="100"/>
    </w:pPr>
  </w:style>
  <w:style w:type="paragraph" w:styleId="TOC2">
    <w:name w:val="toc 2"/>
    <w:basedOn w:val="Normal"/>
    <w:next w:val="Normal"/>
    <w:autoRedefine/>
    <w:uiPriority w:val="39"/>
    <w:unhideWhenUsed/>
    <w:qFormat/>
    <w:rsid w:val="00A442ED"/>
    <w:pPr>
      <w:spacing w:after="100"/>
      <w:ind w:left="220"/>
    </w:pPr>
  </w:style>
  <w:style w:type="paragraph" w:styleId="TOC3">
    <w:name w:val="toc 3"/>
    <w:basedOn w:val="Normal"/>
    <w:next w:val="Normal"/>
    <w:autoRedefine/>
    <w:uiPriority w:val="39"/>
    <w:unhideWhenUsed/>
    <w:qFormat/>
    <w:rsid w:val="00A442ED"/>
    <w:pPr>
      <w:spacing w:after="100"/>
      <w:ind w:left="440"/>
    </w:pPr>
  </w:style>
  <w:style w:type="paragraph" w:styleId="TOCHeading">
    <w:name w:val="TOC Heading"/>
    <w:basedOn w:val="Heading1"/>
    <w:next w:val="Normal"/>
    <w:uiPriority w:val="39"/>
    <w:semiHidden/>
    <w:unhideWhenUsed/>
    <w:qFormat/>
    <w:rsid w:val="00A442ED"/>
    <w:pPr>
      <w:pageBreakBefore w:val="0"/>
      <w:spacing w:line="276" w:lineRule="auto"/>
      <w:outlineLvl w:val="9"/>
    </w:pPr>
    <w:rPr>
      <w:rFonts w:asciiTheme="majorHAnsi" w:hAnsiTheme="majorHAnsi"/>
      <w:color w:val="365F91" w:themeColor="accent1" w:themeShade="BF"/>
      <w:sz w:val="28"/>
      <w:lang w:val="en-US" w:eastAsia="ja-JP"/>
    </w:rPr>
  </w:style>
  <w:style w:type="paragraph" w:customStyle="1" w:styleId="Glossary-sub">
    <w:name w:val="Glossary-sub"/>
    <w:basedOn w:val="Normal"/>
    <w:qFormat/>
    <w:rsid w:val="00430606"/>
    <w:pPr>
      <w:spacing w:before="120" w:after="120"/>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48413">
      <w:bodyDiv w:val="1"/>
      <w:marLeft w:val="0"/>
      <w:marRight w:val="0"/>
      <w:marTop w:val="0"/>
      <w:marBottom w:val="0"/>
      <w:divBdr>
        <w:top w:val="none" w:sz="0" w:space="0" w:color="auto"/>
        <w:left w:val="none" w:sz="0" w:space="0" w:color="auto"/>
        <w:bottom w:val="none" w:sz="0" w:space="0" w:color="auto"/>
        <w:right w:val="none" w:sz="0" w:space="0" w:color="auto"/>
      </w:divBdr>
    </w:div>
    <w:div w:id="1268973884">
      <w:bodyDiv w:val="1"/>
      <w:marLeft w:val="0"/>
      <w:marRight w:val="0"/>
      <w:marTop w:val="0"/>
      <w:marBottom w:val="0"/>
      <w:divBdr>
        <w:top w:val="none" w:sz="0" w:space="0" w:color="auto"/>
        <w:left w:val="none" w:sz="0" w:space="0" w:color="auto"/>
        <w:bottom w:val="none" w:sz="0" w:space="0" w:color="auto"/>
        <w:right w:val="none" w:sz="0" w:space="0" w:color="auto"/>
      </w:divBdr>
    </w:div>
    <w:div w:id="166370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wa.gov.a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EPNAS100\51000186\Data%20and%20Analysis\Publications\Construction\Old%20construction%20report%20files\ABS%20Labourforce%20dat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PNAS100\51000186\Data%20and%20Analysis\Publications\Construction\Old%20construction%20report%20files\Construction%20NDS%20claims%20fina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PNAS100\51000186\Data%20and%20Analysis\Publications\Construction\Old%20construction%20report%20files\Construction%20NDS%20claims%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100\51000186\Data%20and%20Analysis\Publications\Construction\Old%20construction%20report%20files\ABS%20Labourforce%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NAS100\51000186\Data%20and%20Analysis\Publications\Construction\Old%20construction%20report%20files\Copy%20of%20Construction%20fatalities.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EPNAS100\51000186\Data%20and%20Analysis\Publications\Construction\Old%20construction%20report%20files\Copy%20of%20Construction%20fatalities.xlsx"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EPNAS100\51000186\Data%20and%20Analysis\Publications\Construction\Old%20construction%20report%20files\Copy%20of%20Construction%20fatalities.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EPNAS100\51000186\Data%20and%20Analysis\Publications\Construction\Old%20construction%20report%20files\Copy%20of%20Construction%20fatalities.xlsx" TargetMode="External"/><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1" Type="http://schemas.openxmlformats.org/officeDocument/2006/relationships/oleObject" Target="file:///\\EPNAS100\51000186\Data%20and%20Analysis\Publications\Construction\Old%20construction%20report%20files\Construction%20NDS%20claim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PNAS100\51000186\Data%20and%20Analysis\Publications\Construction\Old%20construction%20report%20files\Construction%20NDS%20claims.xlsx"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file:///\\EPNAS100\51000186\Data%20and%20Analysis\Publications\Construction\Old%20construction%20report%20files\Construction%20NDS%20claims%20final.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533573928258968"/>
          <c:y val="2.8252405949256341E-2"/>
          <c:w val="0.83410870516185476"/>
          <c:h val="0.8326195683872849"/>
        </c:manualLayout>
      </c:layout>
      <c:barChart>
        <c:barDir val="col"/>
        <c:grouping val="clustered"/>
        <c:varyColors val="0"/>
        <c:ser>
          <c:idx val="0"/>
          <c:order val="0"/>
          <c:tx>
            <c:strRef>
              <c:f>Construction!$C$78</c:f>
              <c:strCache>
                <c:ptCount val="1"/>
                <c:pt idx="0">
                  <c:v>Employee</c:v>
                </c:pt>
              </c:strCache>
            </c:strRef>
          </c:tx>
          <c:spPr>
            <a:solidFill>
              <a:srgbClr val="00A6D3"/>
            </a:solidFill>
          </c:spPr>
          <c:invertIfNegative val="0"/>
          <c:cat>
            <c:strRef>
              <c:f>Construction!$B$79:$B$80</c:f>
              <c:strCache>
                <c:ptCount val="2"/>
                <c:pt idx="0">
                  <c:v>Males</c:v>
                </c:pt>
                <c:pt idx="1">
                  <c:v>Females</c:v>
                </c:pt>
              </c:strCache>
            </c:strRef>
          </c:cat>
          <c:val>
            <c:numRef>
              <c:f>Construction!$C$79:$C$80</c:f>
              <c:numCache>
                <c:formatCode>0.000</c:formatCode>
                <c:ptCount val="2"/>
                <c:pt idx="0">
                  <c:v>669.77050000000008</c:v>
                </c:pt>
                <c:pt idx="1">
                  <c:v>99.186500000000009</c:v>
                </c:pt>
              </c:numCache>
            </c:numRef>
          </c:val>
        </c:ser>
        <c:ser>
          <c:idx val="1"/>
          <c:order val="1"/>
          <c:tx>
            <c:strRef>
              <c:f>Construction!$D$78</c:f>
              <c:strCache>
                <c:ptCount val="1"/>
                <c:pt idx="0">
                  <c:v>Self-employed</c:v>
                </c:pt>
              </c:strCache>
            </c:strRef>
          </c:tx>
          <c:spPr>
            <a:solidFill>
              <a:schemeClr val="bg1">
                <a:lumMod val="50000"/>
              </a:schemeClr>
            </a:solidFill>
          </c:spPr>
          <c:invertIfNegative val="0"/>
          <c:cat>
            <c:strRef>
              <c:f>Construction!$B$79:$B$80</c:f>
              <c:strCache>
                <c:ptCount val="2"/>
                <c:pt idx="0">
                  <c:v>Males</c:v>
                </c:pt>
                <c:pt idx="1">
                  <c:v>Females</c:v>
                </c:pt>
              </c:strCache>
            </c:strRef>
          </c:cat>
          <c:val>
            <c:numRef>
              <c:f>Construction!$D$79:$D$80</c:f>
              <c:numCache>
                <c:formatCode>0.000</c:formatCode>
                <c:ptCount val="2"/>
                <c:pt idx="0">
                  <c:v>221.29849999999996</c:v>
                </c:pt>
                <c:pt idx="1">
                  <c:v>19.719500000000004</c:v>
                </c:pt>
              </c:numCache>
            </c:numRef>
          </c:val>
        </c:ser>
        <c:dLbls>
          <c:showLegendKey val="0"/>
          <c:showVal val="0"/>
          <c:showCatName val="0"/>
          <c:showSerName val="0"/>
          <c:showPercent val="0"/>
          <c:showBubbleSize val="0"/>
        </c:dLbls>
        <c:gapWidth val="150"/>
        <c:axId val="47512576"/>
        <c:axId val="48341376"/>
      </c:barChart>
      <c:catAx>
        <c:axId val="47512576"/>
        <c:scaling>
          <c:orientation val="minMax"/>
        </c:scaling>
        <c:delete val="0"/>
        <c:axPos val="b"/>
        <c:majorTickMark val="none"/>
        <c:minorTickMark val="none"/>
        <c:tickLblPos val="nextTo"/>
        <c:crossAx val="48341376"/>
        <c:crosses val="autoZero"/>
        <c:auto val="1"/>
        <c:lblAlgn val="ctr"/>
        <c:lblOffset val="100"/>
        <c:noMultiLvlLbl val="0"/>
      </c:catAx>
      <c:valAx>
        <c:axId val="48341376"/>
        <c:scaling>
          <c:orientation val="minMax"/>
          <c:max val="700"/>
        </c:scaling>
        <c:delete val="0"/>
        <c:axPos val="l"/>
        <c:majorGridlines/>
        <c:title>
          <c:tx>
            <c:rich>
              <a:bodyPr rot="-5400000" vert="horz"/>
              <a:lstStyle/>
              <a:p>
                <a:pPr>
                  <a:defRPr/>
                </a:pPr>
                <a:r>
                  <a:rPr lang="en-US" b="0"/>
                  <a:t>Number of workers ('000)</a:t>
                </a:r>
              </a:p>
            </c:rich>
          </c:tx>
          <c:layout>
            <c:manualLayout>
              <c:xMode val="edge"/>
              <c:yMode val="edge"/>
              <c:x val="2.4430664916885388E-2"/>
              <c:y val="0.22230497229512977"/>
            </c:manualLayout>
          </c:layout>
          <c:overlay val="0"/>
        </c:title>
        <c:numFmt formatCode="0" sourceLinked="0"/>
        <c:majorTickMark val="out"/>
        <c:minorTickMark val="none"/>
        <c:tickLblPos val="nextTo"/>
        <c:crossAx val="47512576"/>
        <c:crosses val="autoZero"/>
        <c:crossBetween val="between"/>
      </c:valAx>
      <c:spPr>
        <a:ln>
          <a:solidFill>
            <a:schemeClr val="tx1">
              <a:lumMod val="50000"/>
              <a:lumOff val="50000"/>
            </a:schemeClr>
          </a:solidFill>
        </a:ln>
      </c:spPr>
    </c:plotArea>
    <c:legend>
      <c:legendPos val="r"/>
      <c:layout>
        <c:manualLayout>
          <c:xMode val="edge"/>
          <c:yMode val="edge"/>
          <c:x val="0.74579265091863522"/>
          <c:y val="0.1616531787693205"/>
          <c:w val="0.18106036745406826"/>
          <c:h val="0.1374591717701954"/>
        </c:manualLayout>
      </c:layout>
      <c:overlay val="1"/>
      <c:spPr>
        <a:solidFill>
          <a:schemeClr val="bg1"/>
        </a:solidFill>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533764665286402"/>
          <c:y val="2.2514682539682539E-2"/>
          <c:w val="0.73233310778909688"/>
          <c:h val="0.69637406435306692"/>
        </c:manualLayout>
      </c:layout>
      <c:lineChart>
        <c:grouping val="standard"/>
        <c:varyColors val="0"/>
        <c:ser>
          <c:idx val="1"/>
          <c:order val="0"/>
          <c:tx>
            <c:strRef>
              <c:f>structure!$A$2</c:f>
              <c:strCache>
                <c:ptCount val="1"/>
                <c:pt idx="0">
                  <c:v>Construction services</c:v>
                </c:pt>
              </c:strCache>
            </c:strRef>
          </c:tx>
          <c:spPr>
            <a:ln>
              <a:solidFill>
                <a:schemeClr val="tx1">
                  <a:lumMod val="65000"/>
                  <a:lumOff val="35000"/>
                </a:schemeClr>
              </a:solidFill>
            </a:ln>
          </c:spPr>
          <c:marker>
            <c:symbol val="none"/>
          </c:marker>
          <c:dPt>
            <c:idx val="11"/>
            <c:bubble3D val="0"/>
            <c:spPr>
              <a:ln>
                <a:solidFill>
                  <a:schemeClr val="tx1">
                    <a:lumMod val="65000"/>
                    <a:lumOff val="35000"/>
                  </a:schemeClr>
                </a:solidFill>
                <a:prstDash val="sysDash"/>
              </a:ln>
            </c:spPr>
          </c:dPt>
          <c:cat>
            <c:strRef>
              <c:f>structure!$B$1:$M$1</c:f>
              <c:strCache>
                <c:ptCount val="12"/>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2012-13p</c:v>
                </c:pt>
              </c:strCache>
            </c:strRef>
          </c:cat>
          <c:val>
            <c:numRef>
              <c:f>structure!$B$2:$M$2</c:f>
              <c:numCache>
                <c:formatCode>General</c:formatCode>
                <c:ptCount val="12"/>
                <c:pt idx="0">
                  <c:v>6790</c:v>
                </c:pt>
                <c:pt idx="1">
                  <c:v>7570</c:v>
                </c:pt>
                <c:pt idx="2">
                  <c:v>8095</c:v>
                </c:pt>
                <c:pt idx="3">
                  <c:v>8195</c:v>
                </c:pt>
                <c:pt idx="4">
                  <c:v>8190</c:v>
                </c:pt>
                <c:pt idx="5">
                  <c:v>8440</c:v>
                </c:pt>
                <c:pt idx="6">
                  <c:v>8710</c:v>
                </c:pt>
                <c:pt idx="7">
                  <c:v>8590</c:v>
                </c:pt>
                <c:pt idx="8">
                  <c:v>7950</c:v>
                </c:pt>
                <c:pt idx="9">
                  <c:v>7945</c:v>
                </c:pt>
                <c:pt idx="10">
                  <c:v>8060</c:v>
                </c:pt>
                <c:pt idx="11">
                  <c:v>7825</c:v>
                </c:pt>
              </c:numCache>
            </c:numRef>
          </c:val>
          <c:smooth val="0"/>
        </c:ser>
        <c:ser>
          <c:idx val="0"/>
          <c:order val="1"/>
          <c:tx>
            <c:strRef>
              <c:f>structure!$A$3</c:f>
              <c:strCache>
                <c:ptCount val="1"/>
                <c:pt idx="0">
                  <c:v>Building construction</c:v>
                </c:pt>
              </c:strCache>
            </c:strRef>
          </c:tx>
          <c:spPr>
            <a:ln>
              <a:solidFill>
                <a:srgbClr val="00A7B8"/>
              </a:solidFill>
            </a:ln>
          </c:spPr>
          <c:marker>
            <c:symbol val="none"/>
          </c:marker>
          <c:dPt>
            <c:idx val="11"/>
            <c:bubble3D val="0"/>
            <c:spPr>
              <a:ln>
                <a:solidFill>
                  <a:srgbClr val="00A7B8"/>
                </a:solidFill>
                <a:prstDash val="sysDash"/>
              </a:ln>
            </c:spPr>
          </c:dPt>
          <c:cat>
            <c:strRef>
              <c:f>structure!$B$1:$M$1</c:f>
              <c:strCache>
                <c:ptCount val="12"/>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2012-13p</c:v>
                </c:pt>
              </c:strCache>
            </c:strRef>
          </c:cat>
          <c:val>
            <c:numRef>
              <c:f>structure!$B$3:$M$3</c:f>
              <c:numCache>
                <c:formatCode>General</c:formatCode>
                <c:ptCount val="12"/>
                <c:pt idx="0">
                  <c:v>2055</c:v>
                </c:pt>
                <c:pt idx="1">
                  <c:v>2280</c:v>
                </c:pt>
                <c:pt idx="2">
                  <c:v>2495</c:v>
                </c:pt>
                <c:pt idx="3">
                  <c:v>2755</c:v>
                </c:pt>
                <c:pt idx="4">
                  <c:v>2530</c:v>
                </c:pt>
                <c:pt idx="5">
                  <c:v>2630</c:v>
                </c:pt>
                <c:pt idx="6">
                  <c:v>2745</c:v>
                </c:pt>
                <c:pt idx="7">
                  <c:v>2790</c:v>
                </c:pt>
                <c:pt idx="8">
                  <c:v>2465</c:v>
                </c:pt>
                <c:pt idx="9">
                  <c:v>2660</c:v>
                </c:pt>
                <c:pt idx="10">
                  <c:v>2600</c:v>
                </c:pt>
                <c:pt idx="11">
                  <c:v>2370</c:v>
                </c:pt>
              </c:numCache>
            </c:numRef>
          </c:val>
          <c:smooth val="0"/>
        </c:ser>
        <c:ser>
          <c:idx val="2"/>
          <c:order val="2"/>
          <c:tx>
            <c:strRef>
              <c:f>structure!$A$4</c:f>
              <c:strCache>
                <c:ptCount val="1"/>
                <c:pt idx="0">
                  <c:v>Heavy &amp; civil engineering </c:v>
                </c:pt>
              </c:strCache>
            </c:strRef>
          </c:tx>
          <c:spPr>
            <a:ln>
              <a:solidFill>
                <a:srgbClr val="26A146"/>
              </a:solidFill>
            </a:ln>
          </c:spPr>
          <c:marker>
            <c:symbol val="none"/>
          </c:marker>
          <c:dPt>
            <c:idx val="11"/>
            <c:bubble3D val="0"/>
            <c:spPr>
              <a:ln>
                <a:solidFill>
                  <a:srgbClr val="26A146"/>
                </a:solidFill>
                <a:prstDash val="sysDash"/>
              </a:ln>
            </c:spPr>
          </c:dPt>
          <c:cat>
            <c:strRef>
              <c:f>structure!$B$1:$M$1</c:f>
              <c:strCache>
                <c:ptCount val="12"/>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2012-13p</c:v>
                </c:pt>
              </c:strCache>
            </c:strRef>
          </c:cat>
          <c:val>
            <c:numRef>
              <c:f>structure!$B$4:$M$4</c:f>
              <c:numCache>
                <c:formatCode>General</c:formatCode>
                <c:ptCount val="12"/>
                <c:pt idx="0">
                  <c:v>2320</c:v>
                </c:pt>
                <c:pt idx="1">
                  <c:v>2010</c:v>
                </c:pt>
                <c:pt idx="2">
                  <c:v>2175</c:v>
                </c:pt>
                <c:pt idx="3">
                  <c:v>2265</c:v>
                </c:pt>
                <c:pt idx="4">
                  <c:v>2130</c:v>
                </c:pt>
                <c:pt idx="5">
                  <c:v>2035</c:v>
                </c:pt>
                <c:pt idx="6">
                  <c:v>1965</c:v>
                </c:pt>
                <c:pt idx="7">
                  <c:v>2100</c:v>
                </c:pt>
                <c:pt idx="8">
                  <c:v>1920</c:v>
                </c:pt>
                <c:pt idx="9">
                  <c:v>1865</c:v>
                </c:pt>
                <c:pt idx="10">
                  <c:v>1975</c:v>
                </c:pt>
                <c:pt idx="11">
                  <c:v>2110</c:v>
                </c:pt>
              </c:numCache>
            </c:numRef>
          </c:val>
          <c:smooth val="0"/>
        </c:ser>
        <c:dLbls>
          <c:showLegendKey val="0"/>
          <c:showVal val="0"/>
          <c:showCatName val="0"/>
          <c:showSerName val="0"/>
          <c:showPercent val="0"/>
          <c:showBubbleSize val="0"/>
        </c:dLbls>
        <c:marker val="1"/>
        <c:smooth val="0"/>
        <c:axId val="119334784"/>
        <c:axId val="119336320"/>
      </c:lineChart>
      <c:catAx>
        <c:axId val="119334784"/>
        <c:scaling>
          <c:orientation val="minMax"/>
        </c:scaling>
        <c:delete val="0"/>
        <c:axPos val="b"/>
        <c:numFmt formatCode="General" sourceLinked="1"/>
        <c:majorTickMark val="none"/>
        <c:minorTickMark val="none"/>
        <c:tickLblPos val="nextTo"/>
        <c:crossAx val="119336320"/>
        <c:crosses val="autoZero"/>
        <c:auto val="1"/>
        <c:lblAlgn val="ctr"/>
        <c:lblOffset val="100"/>
        <c:noMultiLvlLbl val="0"/>
      </c:catAx>
      <c:valAx>
        <c:axId val="119336320"/>
        <c:scaling>
          <c:orientation val="minMax"/>
          <c:max val="10000"/>
          <c:min val="0"/>
        </c:scaling>
        <c:delete val="0"/>
        <c:axPos val="l"/>
        <c:majorGridlines/>
        <c:title>
          <c:tx>
            <c:rich>
              <a:bodyPr rot="-5400000" vert="horz"/>
              <a:lstStyle/>
              <a:p>
                <a:pPr>
                  <a:defRPr b="0"/>
                </a:pPr>
                <a:r>
                  <a:rPr lang="en-US" b="0"/>
                  <a:t>No. of serious claims ('000)</a:t>
                </a:r>
              </a:p>
            </c:rich>
          </c:tx>
          <c:layout>
            <c:manualLayout>
              <c:xMode val="edge"/>
              <c:yMode val="edge"/>
              <c:x val="0.210351966873706"/>
              <c:y val="5.9719047619047616E-2"/>
            </c:manualLayout>
          </c:layout>
          <c:overlay val="0"/>
        </c:title>
        <c:numFmt formatCode="0" sourceLinked="0"/>
        <c:majorTickMark val="none"/>
        <c:minorTickMark val="none"/>
        <c:tickLblPos val="nextTo"/>
        <c:txPr>
          <a:bodyPr/>
          <a:lstStyle/>
          <a:p>
            <a:pPr>
              <a:defRPr b="0">
                <a:solidFill>
                  <a:schemeClr val="tx1"/>
                </a:solidFill>
              </a:defRPr>
            </a:pPr>
            <a:endParaRPr lang="en-US"/>
          </a:p>
        </c:txPr>
        <c:crossAx val="119334784"/>
        <c:crosses val="autoZero"/>
        <c:crossBetween val="between"/>
        <c:majorUnit val="2000"/>
        <c:minorUnit val="1"/>
        <c:dispUnits>
          <c:builtInUnit val="thousands"/>
        </c:dispUnits>
      </c:valAx>
      <c:dTable>
        <c:showHorzBorder val="0"/>
        <c:showVertBorder val="0"/>
        <c:showOutline val="0"/>
        <c:showKeys val="1"/>
        <c:txPr>
          <a:bodyPr/>
          <a:lstStyle/>
          <a:p>
            <a:pPr rtl="0">
              <a:defRPr sz="700"/>
            </a:pPr>
            <a:endParaRPr lang="en-US"/>
          </a:p>
        </c:txPr>
      </c:dTable>
      <c:spPr>
        <a:noFill/>
        <a:ln>
          <a:solidFill>
            <a:schemeClr val="tx1">
              <a:lumMod val="50000"/>
              <a:lumOff val="50000"/>
            </a:schemeClr>
          </a:solidFill>
        </a:ln>
      </c:spPr>
    </c:plotArea>
    <c:plotVisOnly val="1"/>
    <c:dispBlanksAs val="gap"/>
    <c:showDLblsOverMax val="0"/>
  </c:chart>
  <c:spPr>
    <a:ln>
      <a:noFill/>
    </a:ln>
  </c:spPr>
  <c:txPr>
    <a:bodyPr/>
    <a:lstStyle/>
    <a:p>
      <a:pPr>
        <a:defRPr sz="800">
          <a:latin typeface="Arial" pitchFamily="34" charset="0"/>
          <a:cs typeface="Arial" pitchFamily="34"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994276317869905"/>
          <c:y val="2.2514682539682539E-2"/>
          <c:w val="0.76601629615575162"/>
          <c:h val="0.71522059704926655"/>
        </c:manualLayout>
      </c:layout>
      <c:lineChart>
        <c:grouping val="standard"/>
        <c:varyColors val="0"/>
        <c:ser>
          <c:idx val="2"/>
          <c:order val="0"/>
          <c:tx>
            <c:strRef>
              <c:f>structure!$A$29</c:f>
              <c:strCache>
                <c:ptCount val="1"/>
                <c:pt idx="0">
                  <c:v>Heavy &amp; civil engineering</c:v>
                </c:pt>
              </c:strCache>
            </c:strRef>
          </c:tx>
          <c:spPr>
            <a:ln>
              <a:solidFill>
                <a:srgbClr val="26A146"/>
              </a:solidFill>
            </a:ln>
          </c:spPr>
          <c:marker>
            <c:symbol val="none"/>
          </c:marker>
          <c:dPt>
            <c:idx val="11"/>
            <c:bubble3D val="0"/>
            <c:spPr>
              <a:ln>
                <a:solidFill>
                  <a:srgbClr val="26A146"/>
                </a:solidFill>
                <a:prstDash val="sysDash"/>
              </a:ln>
            </c:spPr>
          </c:dPt>
          <c:cat>
            <c:strRef>
              <c:f>structure!$B$28:$M$28</c:f>
              <c:strCache>
                <c:ptCount val="12"/>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2012-13p</c:v>
                </c:pt>
              </c:strCache>
            </c:strRef>
          </c:cat>
          <c:val>
            <c:numRef>
              <c:f>structure!$B$29:$M$29</c:f>
              <c:numCache>
                <c:formatCode>0.0</c:formatCode>
                <c:ptCount val="12"/>
                <c:pt idx="0">
                  <c:v>47.4</c:v>
                </c:pt>
                <c:pt idx="1">
                  <c:v>44.7</c:v>
                </c:pt>
                <c:pt idx="2">
                  <c:v>49</c:v>
                </c:pt>
                <c:pt idx="3">
                  <c:v>48.4</c:v>
                </c:pt>
                <c:pt idx="4">
                  <c:v>45.8</c:v>
                </c:pt>
                <c:pt idx="5">
                  <c:v>33.200000000000003</c:v>
                </c:pt>
                <c:pt idx="6">
                  <c:v>35</c:v>
                </c:pt>
                <c:pt idx="7">
                  <c:v>31.8</c:v>
                </c:pt>
                <c:pt idx="8">
                  <c:v>28.3</c:v>
                </c:pt>
                <c:pt idx="9">
                  <c:v>28.3</c:v>
                </c:pt>
                <c:pt idx="10">
                  <c:v>28.9</c:v>
                </c:pt>
                <c:pt idx="11">
                  <c:v>30.8</c:v>
                </c:pt>
              </c:numCache>
            </c:numRef>
          </c:val>
          <c:smooth val="0"/>
        </c:ser>
        <c:ser>
          <c:idx val="1"/>
          <c:order val="1"/>
          <c:tx>
            <c:strRef>
              <c:f>structure!$A$30</c:f>
              <c:strCache>
                <c:ptCount val="1"/>
                <c:pt idx="0">
                  <c:v>Construction services</c:v>
                </c:pt>
              </c:strCache>
            </c:strRef>
          </c:tx>
          <c:spPr>
            <a:ln>
              <a:solidFill>
                <a:schemeClr val="tx1">
                  <a:lumMod val="65000"/>
                  <a:lumOff val="35000"/>
                </a:schemeClr>
              </a:solidFill>
            </a:ln>
          </c:spPr>
          <c:marker>
            <c:symbol val="none"/>
          </c:marker>
          <c:dPt>
            <c:idx val="11"/>
            <c:bubble3D val="0"/>
            <c:spPr>
              <a:ln>
                <a:solidFill>
                  <a:schemeClr val="tx1">
                    <a:lumMod val="65000"/>
                    <a:lumOff val="35000"/>
                  </a:schemeClr>
                </a:solidFill>
                <a:prstDash val="sysDash"/>
              </a:ln>
            </c:spPr>
          </c:dPt>
          <c:cat>
            <c:strRef>
              <c:f>structure!$B$28:$M$28</c:f>
              <c:strCache>
                <c:ptCount val="12"/>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2012-13p</c:v>
                </c:pt>
              </c:strCache>
            </c:strRef>
          </c:cat>
          <c:val>
            <c:numRef>
              <c:f>structure!$B$30:$M$30</c:f>
              <c:numCache>
                <c:formatCode>0.0</c:formatCode>
                <c:ptCount val="12"/>
                <c:pt idx="0">
                  <c:v>27.4</c:v>
                </c:pt>
                <c:pt idx="1">
                  <c:v>27.3</c:v>
                </c:pt>
                <c:pt idx="2">
                  <c:v>25.9</c:v>
                </c:pt>
                <c:pt idx="3">
                  <c:v>23.9</c:v>
                </c:pt>
                <c:pt idx="4">
                  <c:v>23.6</c:v>
                </c:pt>
                <c:pt idx="5">
                  <c:v>21.3</c:v>
                </c:pt>
                <c:pt idx="6">
                  <c:v>21.7</c:v>
                </c:pt>
                <c:pt idx="7">
                  <c:v>21</c:v>
                </c:pt>
                <c:pt idx="8">
                  <c:v>19.399999999999999</c:v>
                </c:pt>
                <c:pt idx="9">
                  <c:v>18</c:v>
                </c:pt>
                <c:pt idx="10">
                  <c:v>17.899999999999999</c:v>
                </c:pt>
                <c:pt idx="11">
                  <c:v>16.8</c:v>
                </c:pt>
              </c:numCache>
            </c:numRef>
          </c:val>
          <c:smooth val="0"/>
        </c:ser>
        <c:ser>
          <c:idx val="0"/>
          <c:order val="2"/>
          <c:tx>
            <c:strRef>
              <c:f>structure!$A$31</c:f>
              <c:strCache>
                <c:ptCount val="1"/>
                <c:pt idx="0">
                  <c:v>Building construction</c:v>
                </c:pt>
              </c:strCache>
            </c:strRef>
          </c:tx>
          <c:spPr>
            <a:ln>
              <a:solidFill>
                <a:srgbClr val="00A6D3"/>
              </a:solidFill>
            </a:ln>
          </c:spPr>
          <c:marker>
            <c:symbol val="none"/>
          </c:marker>
          <c:dPt>
            <c:idx val="11"/>
            <c:bubble3D val="0"/>
            <c:spPr>
              <a:ln>
                <a:solidFill>
                  <a:srgbClr val="00A6D3"/>
                </a:solidFill>
                <a:prstDash val="sysDash"/>
              </a:ln>
            </c:spPr>
          </c:dPt>
          <c:cat>
            <c:strRef>
              <c:f>structure!$B$28:$M$28</c:f>
              <c:strCache>
                <c:ptCount val="12"/>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2012-13p</c:v>
                </c:pt>
              </c:strCache>
            </c:strRef>
          </c:cat>
          <c:val>
            <c:numRef>
              <c:f>structure!$B$31:$M$31</c:f>
              <c:numCache>
                <c:formatCode>0.0</c:formatCode>
                <c:ptCount val="12"/>
                <c:pt idx="0">
                  <c:v>13.9</c:v>
                </c:pt>
                <c:pt idx="1">
                  <c:v>16.8</c:v>
                </c:pt>
                <c:pt idx="2">
                  <c:v>16.2</c:v>
                </c:pt>
                <c:pt idx="3">
                  <c:v>16.7</c:v>
                </c:pt>
                <c:pt idx="4">
                  <c:v>13.7</c:v>
                </c:pt>
                <c:pt idx="5">
                  <c:v>13.7</c:v>
                </c:pt>
                <c:pt idx="6">
                  <c:v>13.5</c:v>
                </c:pt>
                <c:pt idx="7">
                  <c:v>13.7</c:v>
                </c:pt>
                <c:pt idx="8">
                  <c:v>12.1</c:v>
                </c:pt>
                <c:pt idx="9">
                  <c:v>13</c:v>
                </c:pt>
                <c:pt idx="10">
                  <c:v>12.9</c:v>
                </c:pt>
                <c:pt idx="11">
                  <c:v>12.6</c:v>
                </c:pt>
              </c:numCache>
            </c:numRef>
          </c:val>
          <c:smooth val="0"/>
        </c:ser>
        <c:dLbls>
          <c:showLegendKey val="0"/>
          <c:showVal val="0"/>
          <c:showCatName val="0"/>
          <c:showSerName val="0"/>
          <c:showPercent val="0"/>
          <c:showBubbleSize val="0"/>
        </c:dLbls>
        <c:marker val="1"/>
        <c:smooth val="0"/>
        <c:axId val="162816000"/>
        <c:axId val="162817536"/>
      </c:lineChart>
      <c:catAx>
        <c:axId val="162816000"/>
        <c:scaling>
          <c:orientation val="minMax"/>
        </c:scaling>
        <c:delete val="0"/>
        <c:axPos val="b"/>
        <c:numFmt formatCode="General" sourceLinked="1"/>
        <c:majorTickMark val="none"/>
        <c:minorTickMark val="none"/>
        <c:tickLblPos val="nextTo"/>
        <c:crossAx val="162817536"/>
        <c:crosses val="autoZero"/>
        <c:auto val="1"/>
        <c:lblAlgn val="ctr"/>
        <c:lblOffset val="100"/>
        <c:noMultiLvlLbl val="0"/>
      </c:catAx>
      <c:valAx>
        <c:axId val="162817536"/>
        <c:scaling>
          <c:orientation val="minMax"/>
          <c:max val="60"/>
          <c:min val="0"/>
        </c:scaling>
        <c:delete val="0"/>
        <c:axPos val="l"/>
        <c:majorGridlines/>
        <c:title>
          <c:tx>
            <c:rich>
              <a:bodyPr rot="-5400000" vert="horz"/>
              <a:lstStyle/>
              <a:p>
                <a:pPr>
                  <a:defRPr b="0"/>
                </a:pPr>
                <a:r>
                  <a:rPr lang="en-US" b="0"/>
                  <a:t>Claims per 1000 employees</a:t>
                </a:r>
              </a:p>
            </c:rich>
          </c:tx>
          <c:layout>
            <c:manualLayout>
              <c:xMode val="edge"/>
              <c:yMode val="edge"/>
              <c:x val="0.14600877701532289"/>
              <c:y val="5.9719545434948881E-2"/>
            </c:manualLayout>
          </c:layout>
          <c:overlay val="0"/>
        </c:title>
        <c:numFmt formatCode="0" sourceLinked="0"/>
        <c:majorTickMark val="none"/>
        <c:minorTickMark val="none"/>
        <c:tickLblPos val="nextTo"/>
        <c:txPr>
          <a:bodyPr/>
          <a:lstStyle/>
          <a:p>
            <a:pPr>
              <a:defRPr b="0">
                <a:solidFill>
                  <a:schemeClr val="tx1"/>
                </a:solidFill>
              </a:defRPr>
            </a:pPr>
            <a:endParaRPr lang="en-US"/>
          </a:p>
        </c:txPr>
        <c:crossAx val="162816000"/>
        <c:crosses val="autoZero"/>
        <c:crossBetween val="between"/>
        <c:majorUnit val="10"/>
        <c:minorUnit val="1"/>
      </c:valAx>
      <c:dTable>
        <c:showHorzBorder val="0"/>
        <c:showVertBorder val="0"/>
        <c:showOutline val="0"/>
        <c:showKeys val="1"/>
      </c:dTable>
      <c:spPr>
        <a:noFill/>
        <a:ln>
          <a:solidFill>
            <a:schemeClr val="tx1">
              <a:lumMod val="50000"/>
              <a:lumOff val="50000"/>
            </a:schemeClr>
          </a:solidFill>
        </a:ln>
      </c:spPr>
    </c:plotArea>
    <c:plotVisOnly val="1"/>
    <c:dispBlanksAs val="gap"/>
    <c:showDLblsOverMax val="0"/>
  </c:chart>
  <c:spPr>
    <a:ln>
      <a:noFill/>
    </a:ln>
  </c:spPr>
  <c:txPr>
    <a:bodyPr/>
    <a:lstStyle/>
    <a:p>
      <a:pPr>
        <a:defRPr sz="800">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Construction!$C$83</c:f>
              <c:strCache>
                <c:ptCount val="1"/>
                <c:pt idx="0">
                  <c:v>Employees</c:v>
                </c:pt>
              </c:strCache>
            </c:strRef>
          </c:tx>
          <c:spPr>
            <a:ln>
              <a:solidFill>
                <a:srgbClr val="00A6D3"/>
              </a:solidFill>
            </a:ln>
          </c:spPr>
          <c:marker>
            <c:symbol val="none"/>
          </c:marker>
          <c:cat>
            <c:numRef>
              <c:f>Construction!$B$84:$B$94</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Construction!$C$84:$C$94</c:f>
              <c:numCache>
                <c:formatCode>0.000</c:formatCode>
                <c:ptCount val="11"/>
                <c:pt idx="0">
                  <c:v>492.09374999999994</c:v>
                </c:pt>
                <c:pt idx="1">
                  <c:v>534.16324999999995</c:v>
                </c:pt>
                <c:pt idx="2">
                  <c:v>576.93850000000009</c:v>
                </c:pt>
                <c:pt idx="3">
                  <c:v>623.46499999999992</c:v>
                </c:pt>
                <c:pt idx="4">
                  <c:v>673.95</c:v>
                </c:pt>
                <c:pt idx="5">
                  <c:v>708.11974999999995</c:v>
                </c:pt>
                <c:pt idx="6">
                  <c:v>702.67375000000015</c:v>
                </c:pt>
                <c:pt idx="7">
                  <c:v>726.65474999999992</c:v>
                </c:pt>
                <c:pt idx="8">
                  <c:v>740.55274999999983</c:v>
                </c:pt>
                <c:pt idx="9">
                  <c:v>736.36374999999998</c:v>
                </c:pt>
                <c:pt idx="10">
                  <c:v>768.95700000000011</c:v>
                </c:pt>
              </c:numCache>
            </c:numRef>
          </c:val>
          <c:smooth val="0"/>
        </c:ser>
        <c:ser>
          <c:idx val="1"/>
          <c:order val="1"/>
          <c:tx>
            <c:strRef>
              <c:f>Construction!$D$83</c:f>
              <c:strCache>
                <c:ptCount val="1"/>
                <c:pt idx="0">
                  <c:v>Self-employed</c:v>
                </c:pt>
              </c:strCache>
            </c:strRef>
          </c:tx>
          <c:spPr>
            <a:ln>
              <a:solidFill>
                <a:srgbClr val="FF0000"/>
              </a:solidFill>
            </a:ln>
          </c:spPr>
          <c:marker>
            <c:symbol val="none"/>
          </c:marker>
          <c:cat>
            <c:numRef>
              <c:f>Construction!$B$84:$B$94</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Construction!$D$84:$D$94</c:f>
              <c:numCache>
                <c:formatCode>General</c:formatCode>
                <c:ptCount val="11"/>
                <c:pt idx="0">
                  <c:v>253.23324999999997</c:v>
                </c:pt>
                <c:pt idx="1">
                  <c:v>257.738</c:v>
                </c:pt>
                <c:pt idx="2">
                  <c:v>266.11399999999998</c:v>
                </c:pt>
                <c:pt idx="3">
                  <c:v>277.36950000000002</c:v>
                </c:pt>
                <c:pt idx="4">
                  <c:v>262.43725000000001</c:v>
                </c:pt>
                <c:pt idx="5">
                  <c:v>278.33549999999997</c:v>
                </c:pt>
                <c:pt idx="6">
                  <c:v>281.10250000000002</c:v>
                </c:pt>
                <c:pt idx="7">
                  <c:v>271.99199999999996</c:v>
                </c:pt>
                <c:pt idx="8">
                  <c:v>273.33000000000004</c:v>
                </c:pt>
                <c:pt idx="9">
                  <c:v>245.99875000000003</c:v>
                </c:pt>
                <c:pt idx="10">
                  <c:v>241.01799999999997</c:v>
                </c:pt>
              </c:numCache>
            </c:numRef>
          </c:val>
          <c:smooth val="0"/>
        </c:ser>
        <c:ser>
          <c:idx val="2"/>
          <c:order val="2"/>
          <c:tx>
            <c:strRef>
              <c:f>Construction!$E$83</c:f>
              <c:strCache>
                <c:ptCount val="1"/>
                <c:pt idx="0">
                  <c:v>Total</c:v>
                </c:pt>
              </c:strCache>
            </c:strRef>
          </c:tx>
          <c:spPr>
            <a:ln>
              <a:solidFill>
                <a:schemeClr val="tx1"/>
              </a:solidFill>
            </a:ln>
          </c:spPr>
          <c:marker>
            <c:symbol val="none"/>
          </c:marker>
          <c:cat>
            <c:numRef>
              <c:f>Construction!$B$84:$B$94</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Construction!$E$84:$E$94</c:f>
              <c:numCache>
                <c:formatCode>General</c:formatCode>
                <c:ptCount val="11"/>
                <c:pt idx="0">
                  <c:v>745.327</c:v>
                </c:pt>
                <c:pt idx="1">
                  <c:v>791.90124999999989</c:v>
                </c:pt>
                <c:pt idx="2">
                  <c:v>843.05250000000001</c:v>
                </c:pt>
                <c:pt idx="3">
                  <c:v>900.83449999999993</c:v>
                </c:pt>
                <c:pt idx="4">
                  <c:v>936.38724999999999</c:v>
                </c:pt>
                <c:pt idx="5">
                  <c:v>986.45524999999998</c:v>
                </c:pt>
                <c:pt idx="6">
                  <c:v>983.77625000000012</c:v>
                </c:pt>
                <c:pt idx="7">
                  <c:v>998.64674999999988</c:v>
                </c:pt>
                <c:pt idx="8">
                  <c:v>1013.88275</c:v>
                </c:pt>
                <c:pt idx="9">
                  <c:v>982.36249999999995</c:v>
                </c:pt>
                <c:pt idx="10">
                  <c:v>1009.9750000000001</c:v>
                </c:pt>
              </c:numCache>
            </c:numRef>
          </c:val>
          <c:smooth val="0"/>
        </c:ser>
        <c:dLbls>
          <c:showLegendKey val="0"/>
          <c:showVal val="0"/>
          <c:showCatName val="0"/>
          <c:showSerName val="0"/>
          <c:showPercent val="0"/>
          <c:showBubbleSize val="0"/>
        </c:dLbls>
        <c:marker val="1"/>
        <c:smooth val="0"/>
        <c:axId val="53780480"/>
        <c:axId val="53782784"/>
      </c:lineChart>
      <c:catAx>
        <c:axId val="53780480"/>
        <c:scaling>
          <c:orientation val="minMax"/>
        </c:scaling>
        <c:delete val="0"/>
        <c:axPos val="b"/>
        <c:numFmt formatCode="General" sourceLinked="1"/>
        <c:majorTickMark val="none"/>
        <c:minorTickMark val="none"/>
        <c:tickLblPos val="nextTo"/>
        <c:crossAx val="53782784"/>
        <c:crosses val="autoZero"/>
        <c:auto val="1"/>
        <c:lblAlgn val="ctr"/>
        <c:lblOffset val="100"/>
        <c:noMultiLvlLbl val="0"/>
      </c:catAx>
      <c:valAx>
        <c:axId val="53782784"/>
        <c:scaling>
          <c:orientation val="minMax"/>
        </c:scaling>
        <c:delete val="0"/>
        <c:axPos val="l"/>
        <c:majorGridlines/>
        <c:title>
          <c:tx>
            <c:rich>
              <a:bodyPr rot="-5400000" vert="horz"/>
              <a:lstStyle/>
              <a:p>
                <a:pPr>
                  <a:defRPr b="0"/>
                </a:pPr>
                <a:r>
                  <a:rPr lang="en-AU" b="0"/>
                  <a:t>Number of workers ('000)</a:t>
                </a:r>
              </a:p>
            </c:rich>
          </c:tx>
          <c:layout/>
          <c:overlay val="0"/>
        </c:title>
        <c:numFmt formatCode="0" sourceLinked="0"/>
        <c:majorTickMark val="out"/>
        <c:minorTickMark val="none"/>
        <c:tickLblPos val="nextTo"/>
        <c:crossAx val="53780480"/>
        <c:crosses val="autoZero"/>
        <c:crossBetween val="between"/>
      </c:valAx>
      <c:spPr>
        <a:ln>
          <a:solidFill>
            <a:schemeClr val="tx1">
              <a:lumMod val="50000"/>
              <a:lumOff val="50000"/>
            </a:schemeClr>
          </a:solidFill>
        </a:ln>
      </c:spPr>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009316239316238"/>
          <c:y val="5.3740903912825932E-2"/>
          <c:w val="0.66353141025641027"/>
          <c:h val="0.75637361111111112"/>
        </c:manualLayout>
      </c:layout>
      <c:lineChart>
        <c:grouping val="standard"/>
        <c:varyColors val="0"/>
        <c:ser>
          <c:idx val="0"/>
          <c:order val="0"/>
          <c:tx>
            <c:strRef>
              <c:f>'Age &amp; sex'!$B$9</c:f>
              <c:strCache>
                <c:ptCount val="1"/>
                <c:pt idx="0">
                  <c:v>Number</c:v>
                </c:pt>
              </c:strCache>
            </c:strRef>
          </c:tx>
          <c:spPr>
            <a:ln>
              <a:solidFill>
                <a:srgbClr val="008AD3"/>
              </a:solidFill>
            </a:ln>
          </c:spPr>
          <c:marker>
            <c:symbol val="none"/>
          </c:marker>
          <c:cat>
            <c:numRef>
              <c:f>'Age &amp; sex'!$C$8:$M$8</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'Age &amp; sex'!$C$9:$M$9</c:f>
              <c:numCache>
                <c:formatCode>General</c:formatCode>
                <c:ptCount val="11"/>
                <c:pt idx="0">
                  <c:v>43</c:v>
                </c:pt>
                <c:pt idx="1">
                  <c:v>35</c:v>
                </c:pt>
                <c:pt idx="2">
                  <c:v>30</c:v>
                </c:pt>
                <c:pt idx="3">
                  <c:v>43</c:v>
                </c:pt>
                <c:pt idx="4">
                  <c:v>45</c:v>
                </c:pt>
                <c:pt idx="5">
                  <c:v>38</c:v>
                </c:pt>
                <c:pt idx="6">
                  <c:v>36</c:v>
                </c:pt>
                <c:pt idx="7">
                  <c:v>41</c:v>
                </c:pt>
                <c:pt idx="8">
                  <c:v>41</c:v>
                </c:pt>
                <c:pt idx="9">
                  <c:v>30</c:v>
                </c:pt>
                <c:pt idx="10">
                  <c:v>19</c:v>
                </c:pt>
              </c:numCache>
            </c:numRef>
          </c:val>
          <c:smooth val="0"/>
        </c:ser>
        <c:dLbls>
          <c:showLegendKey val="0"/>
          <c:showVal val="0"/>
          <c:showCatName val="0"/>
          <c:showSerName val="0"/>
          <c:showPercent val="0"/>
          <c:showBubbleSize val="0"/>
        </c:dLbls>
        <c:marker val="1"/>
        <c:smooth val="0"/>
        <c:axId val="54720768"/>
        <c:axId val="89076480"/>
      </c:lineChart>
      <c:lineChart>
        <c:grouping val="standard"/>
        <c:varyColors val="0"/>
        <c:ser>
          <c:idx val="1"/>
          <c:order val="1"/>
          <c:tx>
            <c:strRef>
              <c:f>'Age &amp; sex'!$B$10</c:f>
              <c:strCache>
                <c:ptCount val="1"/>
                <c:pt idx="0">
                  <c:v>Fatality rate</c:v>
                </c:pt>
              </c:strCache>
            </c:strRef>
          </c:tx>
          <c:spPr>
            <a:ln>
              <a:solidFill>
                <a:schemeClr val="bg1">
                  <a:lumMod val="50000"/>
                </a:schemeClr>
              </a:solidFill>
            </a:ln>
          </c:spPr>
          <c:marker>
            <c:symbol val="none"/>
          </c:marker>
          <c:val>
            <c:numRef>
              <c:f>'Age &amp; sex'!$C$10:$M$10</c:f>
              <c:numCache>
                <c:formatCode>0.00</c:formatCode>
                <c:ptCount val="11"/>
                <c:pt idx="0">
                  <c:v>5.7096440202931378</c:v>
                </c:pt>
                <c:pt idx="1">
                  <c:v>4.3796944850261381</c:v>
                </c:pt>
                <c:pt idx="2">
                  <c:v>3.5092685631533822</c:v>
                </c:pt>
                <c:pt idx="3">
                  <c:v>4.7003615179216318</c:v>
                </c:pt>
                <c:pt idx="4">
                  <c:v>4.7335634897092334</c:v>
                </c:pt>
                <c:pt idx="5">
                  <c:v>3.8064910188098251</c:v>
                </c:pt>
                <c:pt idx="6">
                  <c:v>3.6144433154886935</c:v>
                </c:pt>
                <c:pt idx="7">
                  <c:v>4.0305832794693384</c:v>
                </c:pt>
                <c:pt idx="8">
                  <c:v>3.9678574513338658</c:v>
                </c:pt>
                <c:pt idx="9">
                  <c:v>2.9971571963992147</c:v>
                </c:pt>
                <c:pt idx="10">
                  <c:v>1.8452652799498086</c:v>
                </c:pt>
              </c:numCache>
            </c:numRef>
          </c:val>
          <c:smooth val="0"/>
        </c:ser>
        <c:dLbls>
          <c:showLegendKey val="0"/>
          <c:showVal val="0"/>
          <c:showCatName val="0"/>
          <c:showSerName val="0"/>
          <c:showPercent val="0"/>
          <c:showBubbleSize val="0"/>
        </c:dLbls>
        <c:marker val="1"/>
        <c:smooth val="0"/>
        <c:axId val="92317184"/>
        <c:axId val="89078784"/>
      </c:lineChart>
      <c:catAx>
        <c:axId val="54720768"/>
        <c:scaling>
          <c:orientation val="minMax"/>
        </c:scaling>
        <c:delete val="0"/>
        <c:axPos val="b"/>
        <c:numFmt formatCode="General" sourceLinked="1"/>
        <c:majorTickMark val="none"/>
        <c:minorTickMark val="none"/>
        <c:tickLblPos val="nextTo"/>
        <c:crossAx val="89076480"/>
        <c:crosses val="autoZero"/>
        <c:auto val="1"/>
        <c:lblAlgn val="ctr"/>
        <c:lblOffset val="100"/>
        <c:noMultiLvlLbl val="0"/>
      </c:catAx>
      <c:valAx>
        <c:axId val="89076480"/>
        <c:scaling>
          <c:orientation val="minMax"/>
          <c:max val="60"/>
          <c:min val="0"/>
        </c:scaling>
        <c:delete val="0"/>
        <c:axPos val="l"/>
        <c:majorGridlines/>
        <c:title>
          <c:tx>
            <c:rich>
              <a:bodyPr/>
              <a:lstStyle/>
              <a:p>
                <a:pPr>
                  <a:defRPr b="0">
                    <a:solidFill>
                      <a:srgbClr val="008AD3"/>
                    </a:solidFill>
                  </a:defRPr>
                </a:pPr>
                <a:r>
                  <a:rPr lang="en-US" b="0">
                    <a:solidFill>
                      <a:srgbClr val="008AD3"/>
                    </a:solidFill>
                  </a:rPr>
                  <a:t>Number of fatalities</a:t>
                </a:r>
              </a:p>
            </c:rich>
          </c:tx>
          <c:layout>
            <c:manualLayout>
              <c:xMode val="edge"/>
              <c:yMode val="edge"/>
              <c:x val="0.12878593474426808"/>
              <c:y val="0.15079259259259259"/>
            </c:manualLayout>
          </c:layout>
          <c:overlay val="0"/>
        </c:title>
        <c:numFmt formatCode="General" sourceLinked="1"/>
        <c:majorTickMark val="none"/>
        <c:minorTickMark val="none"/>
        <c:tickLblPos val="nextTo"/>
        <c:txPr>
          <a:bodyPr/>
          <a:lstStyle/>
          <a:p>
            <a:pPr>
              <a:defRPr b="0">
                <a:solidFill>
                  <a:srgbClr val="008AD3"/>
                </a:solidFill>
              </a:defRPr>
            </a:pPr>
            <a:endParaRPr lang="en-US"/>
          </a:p>
        </c:txPr>
        <c:crossAx val="54720768"/>
        <c:crosses val="autoZero"/>
        <c:crossBetween val="between"/>
        <c:majorUnit val="10"/>
        <c:minorUnit val="10"/>
      </c:valAx>
      <c:valAx>
        <c:axId val="89078784"/>
        <c:scaling>
          <c:orientation val="minMax"/>
          <c:max val="10"/>
        </c:scaling>
        <c:delete val="0"/>
        <c:axPos val="r"/>
        <c:title>
          <c:tx>
            <c:rich>
              <a:bodyPr rot="-5400000" vert="horz"/>
              <a:lstStyle/>
              <a:p>
                <a:pPr>
                  <a:defRPr b="0"/>
                </a:pPr>
                <a:r>
                  <a:rPr lang="en-US" b="0"/>
                  <a:t>Fatalities per 100 000 workers</a:t>
                </a:r>
              </a:p>
            </c:rich>
          </c:tx>
          <c:layout>
            <c:manualLayout>
              <c:xMode val="edge"/>
              <c:yMode val="edge"/>
              <c:x val="0.94743888888888894"/>
              <c:y val="2.1748611111111107E-2"/>
            </c:manualLayout>
          </c:layout>
          <c:overlay val="0"/>
        </c:title>
        <c:numFmt formatCode="0" sourceLinked="0"/>
        <c:majorTickMark val="out"/>
        <c:minorTickMark val="none"/>
        <c:tickLblPos val="nextTo"/>
        <c:crossAx val="92317184"/>
        <c:crosses val="max"/>
        <c:crossBetween val="between"/>
      </c:valAx>
      <c:catAx>
        <c:axId val="92317184"/>
        <c:scaling>
          <c:orientation val="minMax"/>
        </c:scaling>
        <c:delete val="1"/>
        <c:axPos val="b"/>
        <c:majorTickMark val="out"/>
        <c:minorTickMark val="none"/>
        <c:tickLblPos val="nextTo"/>
        <c:crossAx val="89078784"/>
        <c:crosses val="autoZero"/>
        <c:auto val="1"/>
        <c:lblAlgn val="ctr"/>
        <c:lblOffset val="100"/>
        <c:noMultiLvlLbl val="0"/>
      </c:catAx>
      <c:dTable>
        <c:showHorzBorder val="0"/>
        <c:showVertBorder val="0"/>
        <c:showOutline val="0"/>
        <c:showKeys val="1"/>
      </c:dTable>
      <c:spPr>
        <a:noFill/>
        <a:ln>
          <a:solidFill>
            <a:schemeClr val="tx1">
              <a:lumMod val="50000"/>
              <a:lumOff val="50000"/>
            </a:schemeClr>
          </a:solidFill>
        </a:ln>
      </c:spPr>
    </c:plotArea>
    <c:plotVisOnly val="1"/>
    <c:dispBlanksAs val="gap"/>
    <c:showDLblsOverMax val="0"/>
  </c:chart>
  <c:spPr>
    <a:ln>
      <a:noFill/>
    </a:ln>
  </c:spPr>
  <c:txPr>
    <a:bodyPr/>
    <a:lstStyle/>
    <a:p>
      <a:pPr>
        <a:defRPr sz="800">
          <a:latin typeface="Arial" pitchFamily="34" charset="0"/>
          <a:cs typeface="Arial"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structure!$B$5</c:f>
              <c:strCache>
                <c:ptCount val="1"/>
                <c:pt idx="0">
                  <c:v>Construction services</c:v>
                </c:pt>
              </c:strCache>
            </c:strRef>
          </c:tx>
          <c:spPr>
            <a:ln>
              <a:solidFill>
                <a:sysClr val="windowText" lastClr="000000"/>
              </a:solidFill>
            </a:ln>
          </c:spPr>
          <c:marker>
            <c:symbol val="none"/>
          </c:marker>
          <c:val>
            <c:numRef>
              <c:f>structure!$D$10:$N$10</c:f>
              <c:numCache>
                <c:formatCode>General</c:formatCode>
                <c:ptCount val="11"/>
                <c:pt idx="0">
                  <c:v>31</c:v>
                </c:pt>
                <c:pt idx="1">
                  <c:v>27</c:v>
                </c:pt>
                <c:pt idx="2">
                  <c:v>23</c:v>
                </c:pt>
                <c:pt idx="3">
                  <c:v>26</c:v>
                </c:pt>
                <c:pt idx="4">
                  <c:v>31</c:v>
                </c:pt>
                <c:pt idx="5">
                  <c:v>20</c:v>
                </c:pt>
                <c:pt idx="6">
                  <c:v>26</c:v>
                </c:pt>
                <c:pt idx="7">
                  <c:v>29</c:v>
                </c:pt>
                <c:pt idx="8">
                  <c:v>30</c:v>
                </c:pt>
                <c:pt idx="9">
                  <c:v>25</c:v>
                </c:pt>
                <c:pt idx="10">
                  <c:v>9</c:v>
                </c:pt>
              </c:numCache>
            </c:numRef>
          </c:val>
          <c:smooth val="0"/>
        </c:ser>
        <c:ser>
          <c:idx val="2"/>
          <c:order val="1"/>
          <c:tx>
            <c:strRef>
              <c:f>structure!$B$11</c:f>
              <c:strCache>
                <c:ptCount val="1"/>
                <c:pt idx="0">
                  <c:v>Heavy &amp; civil engineering construction</c:v>
                </c:pt>
              </c:strCache>
            </c:strRef>
          </c:tx>
          <c:spPr>
            <a:ln>
              <a:solidFill>
                <a:sysClr val="window" lastClr="FFFFFF">
                  <a:lumMod val="65000"/>
                </a:sysClr>
              </a:solidFill>
            </a:ln>
          </c:spPr>
          <c:marker>
            <c:symbol val="none"/>
          </c:marker>
          <c:val>
            <c:numRef>
              <c:f>structure!$D$11:$N$11</c:f>
              <c:numCache>
                <c:formatCode>General</c:formatCode>
                <c:ptCount val="11"/>
                <c:pt idx="0">
                  <c:v>8</c:v>
                </c:pt>
                <c:pt idx="1">
                  <c:v>4</c:v>
                </c:pt>
                <c:pt idx="2">
                  <c:v>6</c:v>
                </c:pt>
                <c:pt idx="3">
                  <c:v>11</c:v>
                </c:pt>
                <c:pt idx="4">
                  <c:v>9</c:v>
                </c:pt>
                <c:pt idx="5">
                  <c:v>10</c:v>
                </c:pt>
                <c:pt idx="6">
                  <c:v>6</c:v>
                </c:pt>
                <c:pt idx="7">
                  <c:v>5</c:v>
                </c:pt>
                <c:pt idx="8">
                  <c:v>8</c:v>
                </c:pt>
                <c:pt idx="9">
                  <c:v>2</c:v>
                </c:pt>
                <c:pt idx="10">
                  <c:v>6</c:v>
                </c:pt>
              </c:numCache>
            </c:numRef>
          </c:val>
          <c:smooth val="0"/>
        </c:ser>
        <c:ser>
          <c:idx val="1"/>
          <c:order val="2"/>
          <c:tx>
            <c:strRef>
              <c:f>structure!$B$2</c:f>
              <c:strCache>
                <c:ptCount val="1"/>
                <c:pt idx="0">
                  <c:v>Building construction</c:v>
                </c:pt>
              </c:strCache>
            </c:strRef>
          </c:tx>
          <c:spPr>
            <a:ln>
              <a:solidFill>
                <a:srgbClr val="008AD3"/>
              </a:solidFill>
            </a:ln>
          </c:spPr>
          <c:marker>
            <c:symbol val="none"/>
          </c:marker>
          <c:cat>
            <c:numRef>
              <c:f>'Employment status'!$C$20:$M$20</c:f>
              <c:numCache>
                <c:formatCode>General</c:formatCode>
                <c:ptCount val="11"/>
                <c:pt idx="0">
                  <c:v>4</c:v>
                </c:pt>
                <c:pt idx="1">
                  <c:v>4</c:v>
                </c:pt>
                <c:pt idx="2">
                  <c:v>1</c:v>
                </c:pt>
                <c:pt idx="3">
                  <c:v>5</c:v>
                </c:pt>
                <c:pt idx="4">
                  <c:v>3</c:v>
                </c:pt>
                <c:pt idx="5">
                  <c:v>7</c:v>
                </c:pt>
                <c:pt idx="6">
                  <c:v>3</c:v>
                </c:pt>
                <c:pt idx="7">
                  <c:v>5</c:v>
                </c:pt>
                <c:pt idx="8">
                  <c:v>3</c:v>
                </c:pt>
                <c:pt idx="9">
                  <c:v>2</c:v>
                </c:pt>
                <c:pt idx="10">
                  <c:v>4</c:v>
                </c:pt>
              </c:numCache>
            </c:numRef>
          </c:cat>
          <c:val>
            <c:numRef>
              <c:f>structure!$D$4:$N$4</c:f>
              <c:numCache>
                <c:formatCode>General</c:formatCode>
                <c:ptCount val="11"/>
                <c:pt idx="0">
                  <c:v>4</c:v>
                </c:pt>
                <c:pt idx="1">
                  <c:v>4</c:v>
                </c:pt>
                <c:pt idx="2">
                  <c:v>1</c:v>
                </c:pt>
                <c:pt idx="3">
                  <c:v>6</c:v>
                </c:pt>
                <c:pt idx="4">
                  <c:v>5</c:v>
                </c:pt>
                <c:pt idx="5">
                  <c:v>8</c:v>
                </c:pt>
                <c:pt idx="6">
                  <c:v>4</c:v>
                </c:pt>
                <c:pt idx="7">
                  <c:v>7</c:v>
                </c:pt>
                <c:pt idx="8">
                  <c:v>3</c:v>
                </c:pt>
                <c:pt idx="9">
                  <c:v>3</c:v>
                </c:pt>
                <c:pt idx="10">
                  <c:v>4</c:v>
                </c:pt>
              </c:numCache>
            </c:numRef>
          </c:val>
          <c:smooth val="0"/>
        </c:ser>
        <c:dLbls>
          <c:showLegendKey val="0"/>
          <c:showVal val="0"/>
          <c:showCatName val="0"/>
          <c:showSerName val="0"/>
          <c:showPercent val="0"/>
          <c:showBubbleSize val="0"/>
        </c:dLbls>
        <c:marker val="1"/>
        <c:smooth val="0"/>
        <c:axId val="97121408"/>
        <c:axId val="97123328"/>
      </c:lineChart>
      <c:catAx>
        <c:axId val="97121408"/>
        <c:scaling>
          <c:orientation val="minMax"/>
        </c:scaling>
        <c:delete val="0"/>
        <c:axPos val="b"/>
        <c:numFmt formatCode="General" sourceLinked="1"/>
        <c:majorTickMark val="none"/>
        <c:minorTickMark val="none"/>
        <c:tickLblPos val="nextTo"/>
        <c:crossAx val="97123328"/>
        <c:crosses val="autoZero"/>
        <c:auto val="1"/>
        <c:lblAlgn val="ctr"/>
        <c:lblOffset val="100"/>
        <c:noMultiLvlLbl val="0"/>
      </c:catAx>
      <c:valAx>
        <c:axId val="97123328"/>
        <c:scaling>
          <c:orientation val="minMax"/>
          <c:max val="40"/>
          <c:min val="0"/>
        </c:scaling>
        <c:delete val="0"/>
        <c:axPos val="l"/>
        <c:majorGridlines/>
        <c:title>
          <c:tx>
            <c:rich>
              <a:bodyPr rot="-5400000" vert="horz"/>
              <a:lstStyle/>
              <a:p>
                <a:pPr>
                  <a:defRPr b="0"/>
                </a:pPr>
                <a:r>
                  <a:rPr lang="en-AU"/>
                  <a:t>Number</a:t>
                </a:r>
                <a:r>
                  <a:rPr lang="en-AU" baseline="0"/>
                  <a:t> of fatalities</a:t>
                </a:r>
                <a:endParaRPr lang="en-AU"/>
              </a:p>
            </c:rich>
          </c:tx>
          <c:layout>
            <c:manualLayout>
              <c:xMode val="edge"/>
              <c:yMode val="edge"/>
              <c:x val="0.2215037037037037"/>
              <c:y val="0.12522564102564102"/>
            </c:manualLayout>
          </c:layout>
          <c:overlay val="0"/>
        </c:title>
        <c:numFmt formatCode="0" sourceLinked="0"/>
        <c:majorTickMark val="out"/>
        <c:minorTickMark val="none"/>
        <c:tickLblPos val="nextTo"/>
        <c:crossAx val="97121408"/>
        <c:crosses val="autoZero"/>
        <c:crossBetween val="between"/>
        <c:majorUnit val="10"/>
      </c:valAx>
      <c:dTable>
        <c:showHorzBorder val="0"/>
        <c:showVertBorder val="0"/>
        <c:showOutline val="0"/>
        <c:showKeys val="1"/>
      </c:dTable>
      <c:spPr>
        <a:ln>
          <a:solidFill>
            <a:schemeClr val="bg1">
              <a:lumMod val="65000"/>
            </a:schemeClr>
          </a:solidFill>
        </a:ln>
      </c:spPr>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009316239316238"/>
          <c:y val="5.3740903912825932E-2"/>
          <c:w val="0.72746752136752135"/>
          <c:h val="0.75637361111111112"/>
        </c:manualLayout>
      </c:layout>
      <c:lineChart>
        <c:grouping val="standard"/>
        <c:varyColors val="0"/>
        <c:ser>
          <c:idx val="0"/>
          <c:order val="0"/>
          <c:tx>
            <c:strRef>
              <c:f>'Employment status'!$B$15</c:f>
              <c:strCache>
                <c:ptCount val="1"/>
                <c:pt idx="0">
                  <c:v>Employee</c:v>
                </c:pt>
              </c:strCache>
            </c:strRef>
          </c:tx>
          <c:spPr>
            <a:ln>
              <a:solidFill>
                <a:srgbClr val="008AD3"/>
              </a:solidFill>
            </a:ln>
          </c:spPr>
          <c:marker>
            <c:symbol val="none"/>
          </c:marker>
          <c:cat>
            <c:numRef>
              <c:f>'Age &amp; sex'!$C$8:$M$8</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'Employment status'!$C$15:$M$15</c:f>
              <c:numCache>
                <c:formatCode>0.00</c:formatCode>
                <c:ptCount val="11"/>
                <c:pt idx="0">
                  <c:v>6.6447289932178464</c:v>
                </c:pt>
                <c:pt idx="1">
                  <c:v>4.6331752957239969</c:v>
                </c:pt>
                <c:pt idx="2">
                  <c:v>4.1019540683693192</c:v>
                </c:pt>
                <c:pt idx="3">
                  <c:v>4.893653799251271</c:v>
                </c:pt>
                <c:pt idx="4">
                  <c:v>5.5548530777906011</c:v>
                </c:pt>
                <c:pt idx="5">
                  <c:v>4.3295318414371806</c:v>
                </c:pt>
                <c:pt idx="6">
                  <c:v>3.9358623122909955</c:v>
                </c:pt>
                <c:pt idx="7">
                  <c:v>4.3211141452684307</c:v>
                </c:pt>
                <c:pt idx="8">
                  <c:v>4.2346639000195854</c:v>
                </c:pt>
                <c:pt idx="9">
                  <c:v>2.7964326840393938</c:v>
                </c:pt>
                <c:pt idx="10">
                  <c:v>2.0444808759578317</c:v>
                </c:pt>
              </c:numCache>
            </c:numRef>
          </c:val>
          <c:smooth val="0"/>
        </c:ser>
        <c:ser>
          <c:idx val="1"/>
          <c:order val="1"/>
          <c:tx>
            <c:strRef>
              <c:f>'Employment status'!$B$16</c:f>
              <c:strCache>
                <c:ptCount val="1"/>
                <c:pt idx="0">
                  <c:v>Self-employed</c:v>
                </c:pt>
              </c:strCache>
            </c:strRef>
          </c:tx>
          <c:spPr>
            <a:ln>
              <a:solidFill>
                <a:schemeClr val="bg1">
                  <a:lumMod val="50000"/>
                </a:schemeClr>
              </a:solidFill>
            </a:ln>
          </c:spPr>
          <c:marker>
            <c:symbol val="none"/>
          </c:marker>
          <c:cat>
            <c:numRef>
              <c:f>'Employment status'!$C$1:$M$1</c:f>
              <c:numCache>
                <c:formatCode>General</c:formatCode>
                <c:ptCount val="11"/>
                <c:pt idx="0">
                  <c:v>2003</c:v>
                </c:pt>
                <c:pt idx="1">
                  <c:v>2004</c:v>
                </c:pt>
                <c:pt idx="2">
                  <c:v>2005</c:v>
                </c:pt>
                <c:pt idx="3">
                  <c:v>2006</c:v>
                </c:pt>
                <c:pt idx="4">
                  <c:v>2007</c:v>
                </c:pt>
                <c:pt idx="5">
                  <c:v>2008</c:v>
                </c:pt>
                <c:pt idx="6">
                  <c:v>2009</c:v>
                </c:pt>
                <c:pt idx="7">
                  <c:v>2010</c:v>
                </c:pt>
                <c:pt idx="8">
                  <c:v>2011</c:v>
                </c:pt>
                <c:pt idx="9">
                  <c:v>2012</c:v>
                </c:pt>
                <c:pt idx="10">
                  <c:v>2013</c:v>
                </c:pt>
              </c:numCache>
            </c:numRef>
          </c:cat>
          <c:val>
            <c:numRef>
              <c:f>'Employment status'!$C$16:$M$16</c:f>
              <c:numCache>
                <c:formatCode>0.00</c:formatCode>
                <c:ptCount val="11"/>
                <c:pt idx="0">
                  <c:v>3.898973692649752</c:v>
                </c:pt>
                <c:pt idx="1">
                  <c:v>3.852744261578219</c:v>
                </c:pt>
                <c:pt idx="2">
                  <c:v>2.2239375370077101</c:v>
                </c:pt>
                <c:pt idx="3">
                  <c:v>4.2651653284710447</c:v>
                </c:pt>
                <c:pt idx="4">
                  <c:v>2.6259322059331063</c:v>
                </c:pt>
                <c:pt idx="5">
                  <c:v>2.4797919100331494</c:v>
                </c:pt>
                <c:pt idx="6">
                  <c:v>2.810989916452109</c:v>
                </c:pt>
                <c:pt idx="7">
                  <c:v>3.2529405226933261</c:v>
                </c:pt>
                <c:pt idx="8">
                  <c:v>3.3832615016794141</c:v>
                </c:pt>
                <c:pt idx="9">
                  <c:v>3.6001080032400976</c:v>
                </c:pt>
                <c:pt idx="10">
                  <c:v>1.2142393852710738</c:v>
                </c:pt>
              </c:numCache>
            </c:numRef>
          </c:val>
          <c:smooth val="0"/>
        </c:ser>
        <c:dLbls>
          <c:showLegendKey val="0"/>
          <c:showVal val="0"/>
          <c:showCatName val="0"/>
          <c:showSerName val="0"/>
          <c:showPercent val="0"/>
          <c:showBubbleSize val="0"/>
        </c:dLbls>
        <c:marker val="1"/>
        <c:smooth val="0"/>
        <c:axId val="159129600"/>
        <c:axId val="159131520"/>
      </c:lineChart>
      <c:catAx>
        <c:axId val="159129600"/>
        <c:scaling>
          <c:orientation val="minMax"/>
        </c:scaling>
        <c:delete val="0"/>
        <c:axPos val="b"/>
        <c:numFmt formatCode="General" sourceLinked="1"/>
        <c:majorTickMark val="none"/>
        <c:minorTickMark val="none"/>
        <c:tickLblPos val="nextTo"/>
        <c:crossAx val="159131520"/>
        <c:crosses val="autoZero"/>
        <c:auto val="1"/>
        <c:lblAlgn val="ctr"/>
        <c:lblOffset val="100"/>
        <c:noMultiLvlLbl val="0"/>
      </c:catAx>
      <c:valAx>
        <c:axId val="159131520"/>
        <c:scaling>
          <c:orientation val="minMax"/>
          <c:max val="8"/>
          <c:min val="0"/>
        </c:scaling>
        <c:delete val="0"/>
        <c:axPos val="l"/>
        <c:majorGridlines/>
        <c:title>
          <c:tx>
            <c:rich>
              <a:bodyPr rot="-5400000" vert="horz"/>
              <a:lstStyle/>
              <a:p>
                <a:pPr>
                  <a:defRPr b="0"/>
                </a:pPr>
                <a:r>
                  <a:rPr lang="en-US" b="0"/>
                  <a:t>Fatalities per 100 000 workers</a:t>
                </a:r>
              </a:p>
            </c:rich>
          </c:tx>
          <c:layout>
            <c:manualLayout>
              <c:xMode val="edge"/>
              <c:yMode val="edge"/>
              <c:x val="0.1411111111111111"/>
              <c:y val="5.6291666666666663E-2"/>
            </c:manualLayout>
          </c:layout>
          <c:overlay val="0"/>
        </c:title>
        <c:numFmt formatCode="0" sourceLinked="0"/>
        <c:majorTickMark val="none"/>
        <c:minorTickMark val="none"/>
        <c:tickLblPos val="nextTo"/>
        <c:txPr>
          <a:bodyPr/>
          <a:lstStyle/>
          <a:p>
            <a:pPr>
              <a:defRPr b="0">
                <a:solidFill>
                  <a:schemeClr val="tx1"/>
                </a:solidFill>
              </a:defRPr>
            </a:pPr>
            <a:endParaRPr lang="en-US"/>
          </a:p>
        </c:txPr>
        <c:crossAx val="159129600"/>
        <c:crosses val="autoZero"/>
        <c:crossBetween val="between"/>
        <c:majorUnit val="2"/>
        <c:minorUnit val="1"/>
      </c:valAx>
      <c:dTable>
        <c:showHorzBorder val="0"/>
        <c:showVertBorder val="0"/>
        <c:showOutline val="0"/>
        <c:showKeys val="1"/>
      </c:dTable>
      <c:spPr>
        <a:noFill/>
        <a:ln>
          <a:solidFill>
            <a:schemeClr val="tx1">
              <a:lumMod val="50000"/>
              <a:lumOff val="50000"/>
            </a:schemeClr>
          </a:solidFill>
        </a:ln>
      </c:spPr>
    </c:plotArea>
    <c:plotVisOnly val="1"/>
    <c:dispBlanksAs val="gap"/>
    <c:showDLblsOverMax val="0"/>
  </c:chart>
  <c:spPr>
    <a:ln>
      <a:noFill/>
    </a:ln>
  </c:spPr>
  <c:txPr>
    <a:bodyPr/>
    <a:lstStyle/>
    <a:p>
      <a:pPr>
        <a:defRPr sz="800">
          <a:latin typeface="Arial" pitchFamily="34" charset="0"/>
          <a:cs typeface="Arial"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tx>
            <c:strRef>
              <c:f>State!$B$79</c:f>
              <c:strCache>
                <c:ptCount val="1"/>
                <c:pt idx="0">
                  <c:v>New South Wales</c:v>
                </c:pt>
              </c:strCache>
            </c:strRef>
          </c:tx>
          <c:spPr>
            <a:solidFill>
              <a:srgbClr val="008AD3"/>
            </a:solidFill>
          </c:spPr>
          <c:invertIfNegative val="0"/>
          <c:cat>
            <c:strRef>
              <c:f>State!$A$80:$A$82</c:f>
              <c:strCache>
                <c:ptCount val="3"/>
                <c:pt idx="0">
                  <c:v>Falls from a height  </c:v>
                </c:pt>
                <c:pt idx="1">
                  <c:v>Vehicle collision</c:v>
                </c:pt>
                <c:pt idx="2">
                  <c:v>Contact with electricity</c:v>
                </c:pt>
              </c:strCache>
            </c:strRef>
          </c:cat>
          <c:val>
            <c:numRef>
              <c:f>State!$B$80:$B$82</c:f>
              <c:numCache>
                <c:formatCode>0.00</c:formatCode>
                <c:ptCount val="3"/>
                <c:pt idx="0">
                  <c:v>1.3492070758201369</c:v>
                </c:pt>
                <c:pt idx="1">
                  <c:v>0.61035558191863348</c:v>
                </c:pt>
                <c:pt idx="2">
                  <c:v>0.64247955991435091</c:v>
                </c:pt>
              </c:numCache>
            </c:numRef>
          </c:val>
        </c:ser>
        <c:ser>
          <c:idx val="0"/>
          <c:order val="1"/>
          <c:tx>
            <c:strRef>
              <c:f>State!$C$79</c:f>
              <c:strCache>
                <c:ptCount val="1"/>
                <c:pt idx="0">
                  <c:v>Victoria</c:v>
                </c:pt>
              </c:strCache>
            </c:strRef>
          </c:tx>
          <c:spPr>
            <a:solidFill>
              <a:srgbClr val="C4C6C8"/>
            </a:solidFill>
          </c:spPr>
          <c:invertIfNegative val="0"/>
          <c:cat>
            <c:strRef>
              <c:f>State!$A$80:$A$82</c:f>
              <c:strCache>
                <c:ptCount val="3"/>
                <c:pt idx="0">
                  <c:v>Falls from a height  </c:v>
                </c:pt>
                <c:pt idx="1">
                  <c:v>Vehicle collision</c:v>
                </c:pt>
                <c:pt idx="2">
                  <c:v>Contact with electricity</c:v>
                </c:pt>
              </c:strCache>
            </c:strRef>
          </c:cat>
          <c:val>
            <c:numRef>
              <c:f>State!$C$80:$C$82</c:f>
              <c:numCache>
                <c:formatCode>0.00</c:formatCode>
                <c:ptCount val="3"/>
                <c:pt idx="0">
                  <c:v>0.9339469093818723</c:v>
                </c:pt>
                <c:pt idx="1">
                  <c:v>0.60909581046643857</c:v>
                </c:pt>
                <c:pt idx="2">
                  <c:v>0.36545748627986308</c:v>
                </c:pt>
              </c:numCache>
            </c:numRef>
          </c:val>
        </c:ser>
        <c:ser>
          <c:idx val="2"/>
          <c:order val="2"/>
          <c:tx>
            <c:strRef>
              <c:f>State!$D$79</c:f>
              <c:strCache>
                <c:ptCount val="1"/>
                <c:pt idx="0">
                  <c:v>Queensland</c:v>
                </c:pt>
              </c:strCache>
            </c:strRef>
          </c:tx>
          <c:spPr>
            <a:solidFill>
              <a:srgbClr val="C0504D">
                <a:lumMod val="75000"/>
              </a:srgbClr>
            </a:solidFill>
          </c:spPr>
          <c:invertIfNegative val="0"/>
          <c:cat>
            <c:strRef>
              <c:f>State!$A$80:$A$82</c:f>
              <c:strCache>
                <c:ptCount val="3"/>
                <c:pt idx="0">
                  <c:v>Falls from a height  </c:v>
                </c:pt>
                <c:pt idx="1">
                  <c:v>Vehicle collision</c:v>
                </c:pt>
                <c:pt idx="2">
                  <c:v>Contact with electricity</c:v>
                </c:pt>
              </c:strCache>
            </c:strRef>
          </c:cat>
          <c:val>
            <c:numRef>
              <c:f>State!$D$80:$D$82</c:f>
              <c:numCache>
                <c:formatCode>0.00</c:formatCode>
                <c:ptCount val="3"/>
                <c:pt idx="0">
                  <c:v>0.95815238226364141</c:v>
                </c:pt>
                <c:pt idx="1">
                  <c:v>0.79151718534822557</c:v>
                </c:pt>
                <c:pt idx="2">
                  <c:v>0.83317598457707942</c:v>
                </c:pt>
              </c:numCache>
            </c:numRef>
          </c:val>
        </c:ser>
        <c:ser>
          <c:idx val="3"/>
          <c:order val="3"/>
          <c:tx>
            <c:strRef>
              <c:f>State!$J$79</c:f>
              <c:strCache>
                <c:ptCount val="1"/>
                <c:pt idx="0">
                  <c:v>Australia</c:v>
                </c:pt>
              </c:strCache>
            </c:strRef>
          </c:tx>
          <c:spPr>
            <a:solidFill>
              <a:sysClr val="windowText" lastClr="000000"/>
            </a:solidFill>
          </c:spPr>
          <c:invertIfNegative val="0"/>
          <c:val>
            <c:numRef>
              <c:f>State!$J$80:$J$82</c:f>
              <c:numCache>
                <c:formatCode>0.00</c:formatCode>
                <c:ptCount val="3"/>
                <c:pt idx="0">
                  <c:v>1.0823294948727178</c:v>
                </c:pt>
                <c:pt idx="1">
                  <c:v>0.62813765327434512</c:v>
                </c:pt>
                <c:pt idx="2">
                  <c:v>0.58948302845746225</c:v>
                </c:pt>
              </c:numCache>
            </c:numRef>
          </c:val>
        </c:ser>
        <c:dLbls>
          <c:showLegendKey val="0"/>
          <c:showVal val="0"/>
          <c:showCatName val="0"/>
          <c:showSerName val="0"/>
          <c:showPercent val="0"/>
          <c:showBubbleSize val="0"/>
        </c:dLbls>
        <c:gapWidth val="150"/>
        <c:axId val="163461760"/>
        <c:axId val="168039936"/>
      </c:barChart>
      <c:catAx>
        <c:axId val="163461760"/>
        <c:scaling>
          <c:orientation val="minMax"/>
        </c:scaling>
        <c:delete val="0"/>
        <c:axPos val="b"/>
        <c:majorTickMark val="none"/>
        <c:minorTickMark val="none"/>
        <c:tickLblPos val="nextTo"/>
        <c:crossAx val="168039936"/>
        <c:crosses val="autoZero"/>
        <c:auto val="1"/>
        <c:lblAlgn val="ctr"/>
        <c:lblOffset val="100"/>
        <c:noMultiLvlLbl val="0"/>
      </c:catAx>
      <c:valAx>
        <c:axId val="168039936"/>
        <c:scaling>
          <c:orientation val="minMax"/>
          <c:max val="1.5"/>
        </c:scaling>
        <c:delete val="0"/>
        <c:axPos val="l"/>
        <c:majorGridlines/>
        <c:title>
          <c:tx>
            <c:rich>
              <a:bodyPr rot="-5400000" vert="horz"/>
              <a:lstStyle/>
              <a:p>
                <a:pPr>
                  <a:defRPr b="0"/>
                </a:pPr>
                <a:r>
                  <a:rPr lang="en-US"/>
                  <a:t>Fatalities per 100 000 workers</a:t>
                </a:r>
              </a:p>
            </c:rich>
          </c:tx>
          <c:layout>
            <c:manualLayout>
              <c:xMode val="edge"/>
              <c:yMode val="edge"/>
              <c:x val="0.11388888888888889"/>
              <c:y val="4.755067074948964E-2"/>
            </c:manualLayout>
          </c:layout>
          <c:overlay val="0"/>
        </c:title>
        <c:numFmt formatCode="0.00" sourceLinked="1"/>
        <c:majorTickMark val="out"/>
        <c:minorTickMark val="none"/>
        <c:tickLblPos val="nextTo"/>
        <c:crossAx val="163461760"/>
        <c:crosses val="autoZero"/>
        <c:crossBetween val="between"/>
        <c:majorUnit val="0.5"/>
      </c:valAx>
      <c:dTable>
        <c:showHorzBorder val="0"/>
        <c:showVertBorder val="0"/>
        <c:showOutline val="0"/>
        <c:showKeys val="1"/>
      </c:dTable>
      <c:spPr>
        <a:ln>
          <a:solidFill>
            <a:schemeClr val="tx1">
              <a:lumMod val="95000"/>
              <a:lumOff val="5000"/>
            </a:schemeClr>
          </a:solidFill>
        </a:ln>
      </c:spPr>
    </c:plotArea>
    <c:plotVisOnly val="1"/>
    <c:dispBlanksAs val="gap"/>
    <c:showDLblsOverMax val="0"/>
  </c:chart>
  <c:spPr>
    <a:ln>
      <a:noFill/>
    </a:ln>
  </c:spPr>
  <c:txPr>
    <a:bodyPr/>
    <a:lstStyle/>
    <a:p>
      <a:pPr>
        <a:defRPr sz="800">
          <a:latin typeface="Arial" pitchFamily="34" charset="0"/>
          <a:cs typeface="Arial"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3159914057704"/>
          <c:y val="2.6356816017466842E-2"/>
          <c:w val="0.7356462553713935"/>
          <c:h val="0.74964206907764863"/>
        </c:manualLayout>
      </c:layout>
      <c:lineChart>
        <c:grouping val="standard"/>
        <c:varyColors val="0"/>
        <c:ser>
          <c:idx val="0"/>
          <c:order val="1"/>
          <c:tx>
            <c:strRef>
              <c:f>Sex!$A$5</c:f>
              <c:strCache>
                <c:ptCount val="1"/>
                <c:pt idx="0">
                  <c:v>Number ('000)</c:v>
                </c:pt>
              </c:strCache>
            </c:strRef>
          </c:tx>
          <c:spPr>
            <a:ln>
              <a:solidFill>
                <a:srgbClr val="00A6D3"/>
              </a:solidFill>
            </a:ln>
          </c:spPr>
          <c:marker>
            <c:symbol val="none"/>
          </c:marker>
          <c:cat>
            <c:strRef>
              <c:f>Sex!$B$15:$L$15</c:f>
              <c:strCache>
                <c:ptCount val="11"/>
                <c:pt idx="0">
                  <c:v>2001-02</c:v>
                </c:pt>
                <c:pt idx="1">
                  <c:v>2002-03</c:v>
                </c:pt>
                <c:pt idx="2">
                  <c:v>2003-04</c:v>
                </c:pt>
                <c:pt idx="3">
                  <c:v>2004-05</c:v>
                </c:pt>
                <c:pt idx="4">
                  <c:v>2005-06</c:v>
                </c:pt>
                <c:pt idx="5">
                  <c:v>2006-07</c:v>
                </c:pt>
                <c:pt idx="6">
                  <c:v>2007-08</c:v>
                </c:pt>
                <c:pt idx="7">
                  <c:v>2008-09</c:v>
                </c:pt>
                <c:pt idx="8">
                  <c:v>2009-10</c:v>
                </c:pt>
                <c:pt idx="9">
                  <c:v>2010-11</c:v>
                </c:pt>
                <c:pt idx="10">
                  <c:v>2011-12</c:v>
                </c:pt>
              </c:strCache>
            </c:strRef>
          </c:cat>
          <c:val>
            <c:numRef>
              <c:f>Sex!$B$5:$L$5</c:f>
              <c:numCache>
                <c:formatCode>#,##0.0</c:formatCode>
                <c:ptCount val="11"/>
                <c:pt idx="0">
                  <c:v>11.164999999999999</c:v>
                </c:pt>
                <c:pt idx="1">
                  <c:v>11.855</c:v>
                </c:pt>
                <c:pt idx="2">
                  <c:v>12.765000000000001</c:v>
                </c:pt>
                <c:pt idx="3">
                  <c:v>13.21</c:v>
                </c:pt>
                <c:pt idx="4">
                  <c:v>12.855</c:v>
                </c:pt>
                <c:pt idx="5">
                  <c:v>13.11</c:v>
                </c:pt>
                <c:pt idx="6">
                  <c:v>13.42</c:v>
                </c:pt>
                <c:pt idx="7">
                  <c:v>13.48</c:v>
                </c:pt>
                <c:pt idx="8">
                  <c:v>12.335000000000001</c:v>
                </c:pt>
                <c:pt idx="9">
                  <c:v>12.47</c:v>
                </c:pt>
                <c:pt idx="10">
                  <c:v>12.635</c:v>
                </c:pt>
              </c:numCache>
            </c:numRef>
          </c:val>
          <c:smooth val="0"/>
        </c:ser>
        <c:dLbls>
          <c:showLegendKey val="0"/>
          <c:showVal val="0"/>
          <c:showCatName val="0"/>
          <c:showSerName val="0"/>
          <c:showPercent val="0"/>
          <c:showBubbleSize val="0"/>
        </c:dLbls>
        <c:marker val="1"/>
        <c:smooth val="0"/>
        <c:axId val="119400704"/>
        <c:axId val="119402496"/>
      </c:lineChart>
      <c:lineChart>
        <c:grouping val="standard"/>
        <c:varyColors val="0"/>
        <c:ser>
          <c:idx val="1"/>
          <c:order val="0"/>
          <c:tx>
            <c:strRef>
              <c:f>Sex!$A$14</c:f>
              <c:strCache>
                <c:ptCount val="1"/>
                <c:pt idx="0">
                  <c:v>Incidence rate</c:v>
                </c:pt>
              </c:strCache>
            </c:strRef>
          </c:tx>
          <c:spPr>
            <a:ln>
              <a:solidFill>
                <a:schemeClr val="bg1">
                  <a:lumMod val="50000"/>
                </a:schemeClr>
              </a:solidFill>
            </a:ln>
          </c:spPr>
          <c:marker>
            <c:symbol val="none"/>
          </c:marker>
          <c:cat>
            <c:strRef>
              <c:f>Sex!$B$15:$L$15</c:f>
              <c:strCache>
                <c:ptCount val="11"/>
                <c:pt idx="0">
                  <c:v>2001-02</c:v>
                </c:pt>
                <c:pt idx="1">
                  <c:v>2002-03</c:v>
                </c:pt>
                <c:pt idx="2">
                  <c:v>2003-04</c:v>
                </c:pt>
                <c:pt idx="3">
                  <c:v>2004-05</c:v>
                </c:pt>
                <c:pt idx="4">
                  <c:v>2005-06</c:v>
                </c:pt>
                <c:pt idx="5">
                  <c:v>2006-07</c:v>
                </c:pt>
                <c:pt idx="6">
                  <c:v>2007-08</c:v>
                </c:pt>
                <c:pt idx="7">
                  <c:v>2008-09</c:v>
                </c:pt>
                <c:pt idx="8">
                  <c:v>2009-10</c:v>
                </c:pt>
                <c:pt idx="9">
                  <c:v>2010-11</c:v>
                </c:pt>
                <c:pt idx="10">
                  <c:v>2011-12</c:v>
                </c:pt>
              </c:strCache>
            </c:strRef>
          </c:cat>
          <c:val>
            <c:numRef>
              <c:f>Sex!$B$18:$L$18</c:f>
              <c:numCache>
                <c:formatCode>General</c:formatCode>
                <c:ptCount val="11"/>
                <c:pt idx="0">
                  <c:v>25.2</c:v>
                </c:pt>
                <c:pt idx="1">
                  <c:v>25.9</c:v>
                </c:pt>
                <c:pt idx="2" formatCode="0.0">
                  <c:v>25</c:v>
                </c:pt>
                <c:pt idx="3">
                  <c:v>23.8</c:v>
                </c:pt>
                <c:pt idx="4">
                  <c:v>22.2</c:v>
                </c:pt>
                <c:pt idx="5">
                  <c:v>20.2</c:v>
                </c:pt>
                <c:pt idx="6">
                  <c:v>20.3</c:v>
                </c:pt>
                <c:pt idx="7">
                  <c:v>19.8</c:v>
                </c:pt>
                <c:pt idx="8">
                  <c:v>18.100000000000001</c:v>
                </c:pt>
                <c:pt idx="9">
                  <c:v>17.600000000000001</c:v>
                </c:pt>
                <c:pt idx="10">
                  <c:v>17.5</c:v>
                </c:pt>
              </c:numCache>
            </c:numRef>
          </c:val>
          <c:smooth val="0"/>
        </c:ser>
        <c:dLbls>
          <c:showLegendKey val="0"/>
          <c:showVal val="0"/>
          <c:showCatName val="0"/>
          <c:showSerName val="0"/>
          <c:showPercent val="0"/>
          <c:showBubbleSize val="0"/>
        </c:dLbls>
        <c:marker val="1"/>
        <c:smooth val="0"/>
        <c:axId val="162598912"/>
        <c:axId val="119404416"/>
      </c:lineChart>
      <c:catAx>
        <c:axId val="119400704"/>
        <c:scaling>
          <c:orientation val="minMax"/>
        </c:scaling>
        <c:delete val="0"/>
        <c:axPos val="b"/>
        <c:numFmt formatCode="General" sourceLinked="1"/>
        <c:majorTickMark val="none"/>
        <c:minorTickMark val="none"/>
        <c:tickLblPos val="nextTo"/>
        <c:crossAx val="119402496"/>
        <c:crosses val="autoZero"/>
        <c:auto val="1"/>
        <c:lblAlgn val="ctr"/>
        <c:lblOffset val="100"/>
        <c:noMultiLvlLbl val="0"/>
      </c:catAx>
      <c:valAx>
        <c:axId val="119402496"/>
        <c:scaling>
          <c:orientation val="minMax"/>
          <c:max val="15"/>
          <c:min val="0"/>
        </c:scaling>
        <c:delete val="0"/>
        <c:axPos val="l"/>
        <c:majorGridlines/>
        <c:title>
          <c:tx>
            <c:rich>
              <a:bodyPr/>
              <a:lstStyle/>
              <a:p>
                <a:pPr>
                  <a:defRPr b="0">
                    <a:solidFill>
                      <a:srgbClr val="00A7B8"/>
                    </a:solidFill>
                  </a:defRPr>
                </a:pPr>
                <a:r>
                  <a:rPr lang="en-US" b="0">
                    <a:solidFill>
                      <a:srgbClr val="00A7B8"/>
                    </a:solidFill>
                  </a:rPr>
                  <a:t>Number of serious claims ('000)</a:t>
                </a:r>
              </a:p>
            </c:rich>
          </c:tx>
          <c:layout>
            <c:manualLayout>
              <c:xMode val="edge"/>
              <c:yMode val="edge"/>
              <c:x val="0.10761617556783303"/>
              <c:y val="3.8018256567486585E-3"/>
            </c:manualLayout>
          </c:layout>
          <c:overlay val="0"/>
        </c:title>
        <c:numFmt formatCode="0" sourceLinked="0"/>
        <c:majorTickMark val="none"/>
        <c:minorTickMark val="none"/>
        <c:tickLblPos val="nextTo"/>
        <c:txPr>
          <a:bodyPr/>
          <a:lstStyle/>
          <a:p>
            <a:pPr>
              <a:defRPr b="0">
                <a:solidFill>
                  <a:srgbClr val="00A6D3"/>
                </a:solidFill>
              </a:defRPr>
            </a:pPr>
            <a:endParaRPr lang="en-US"/>
          </a:p>
        </c:txPr>
        <c:crossAx val="119400704"/>
        <c:crosses val="autoZero"/>
        <c:crossBetween val="between"/>
        <c:majorUnit val="3"/>
      </c:valAx>
      <c:valAx>
        <c:axId val="119404416"/>
        <c:scaling>
          <c:orientation val="minMax"/>
        </c:scaling>
        <c:delete val="0"/>
        <c:axPos val="r"/>
        <c:title>
          <c:tx>
            <c:rich>
              <a:bodyPr rot="-5400000" vert="horz"/>
              <a:lstStyle/>
              <a:p>
                <a:pPr>
                  <a:defRPr b="0"/>
                </a:pPr>
                <a:r>
                  <a:rPr lang="en-US" b="0"/>
                  <a:t>Claims per 1000 employees</a:t>
                </a:r>
              </a:p>
            </c:rich>
          </c:tx>
          <c:layout>
            <c:manualLayout>
              <c:xMode val="edge"/>
              <c:yMode val="edge"/>
              <c:x val="0.97090677083333332"/>
              <c:y val="2.0145402178709967E-2"/>
            </c:manualLayout>
          </c:layout>
          <c:overlay val="0"/>
        </c:title>
        <c:numFmt formatCode="0" sourceLinked="0"/>
        <c:majorTickMark val="out"/>
        <c:minorTickMark val="none"/>
        <c:tickLblPos val="nextTo"/>
        <c:crossAx val="162598912"/>
        <c:crosses val="max"/>
        <c:crossBetween val="between"/>
      </c:valAx>
      <c:catAx>
        <c:axId val="162598912"/>
        <c:scaling>
          <c:orientation val="minMax"/>
        </c:scaling>
        <c:delete val="1"/>
        <c:axPos val="b"/>
        <c:majorTickMark val="out"/>
        <c:minorTickMark val="none"/>
        <c:tickLblPos val="nextTo"/>
        <c:crossAx val="119404416"/>
        <c:crosses val="autoZero"/>
        <c:auto val="1"/>
        <c:lblAlgn val="ctr"/>
        <c:lblOffset val="100"/>
        <c:noMultiLvlLbl val="0"/>
      </c:catAx>
      <c:dTable>
        <c:showHorzBorder val="0"/>
        <c:showVertBorder val="0"/>
        <c:showOutline val="0"/>
        <c:showKeys val="1"/>
        <c:txPr>
          <a:bodyPr/>
          <a:lstStyle/>
          <a:p>
            <a:pPr rtl="0">
              <a:defRPr sz="700"/>
            </a:pPr>
            <a:endParaRPr lang="en-US"/>
          </a:p>
        </c:txPr>
      </c:dTable>
      <c:spPr>
        <a:noFill/>
        <a:ln>
          <a:solidFill>
            <a:schemeClr val="tx1">
              <a:lumMod val="50000"/>
              <a:lumOff val="50000"/>
            </a:schemeClr>
          </a:solidFill>
        </a:ln>
      </c:spPr>
    </c:plotArea>
    <c:plotVisOnly val="1"/>
    <c:dispBlanksAs val="gap"/>
    <c:showDLblsOverMax val="0"/>
  </c:chart>
  <c:spPr>
    <a:ln>
      <a:noFill/>
    </a:ln>
  </c:spPr>
  <c:txPr>
    <a:bodyPr/>
    <a:lstStyle/>
    <a:p>
      <a:pPr>
        <a:defRPr sz="800">
          <a:latin typeface="Arial" pitchFamily="34" charset="0"/>
          <a:cs typeface="Arial"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47222222222221"/>
          <c:y val="2.6356816017466842E-2"/>
          <c:w val="0.7356462553713935"/>
          <c:h val="0.74964206907764863"/>
        </c:manualLayout>
      </c:layout>
      <c:lineChart>
        <c:grouping val="standard"/>
        <c:varyColors val="0"/>
        <c:ser>
          <c:idx val="0"/>
          <c:order val="1"/>
          <c:tx>
            <c:strRef>
              <c:f>Sex!$A$57</c:f>
              <c:strCache>
                <c:ptCount val="1"/>
                <c:pt idx="0">
                  <c:v>Time lost</c:v>
                </c:pt>
              </c:strCache>
            </c:strRef>
          </c:tx>
          <c:spPr>
            <a:ln>
              <a:solidFill>
                <a:srgbClr val="00A6D3"/>
              </a:solidFill>
            </a:ln>
          </c:spPr>
          <c:marker>
            <c:symbol val="none"/>
          </c:marker>
          <c:cat>
            <c:strRef>
              <c:f>Sex!$B$15:$L$15</c:f>
              <c:strCache>
                <c:ptCount val="11"/>
                <c:pt idx="0">
                  <c:v>2001-02</c:v>
                </c:pt>
                <c:pt idx="1">
                  <c:v>2002-03</c:v>
                </c:pt>
                <c:pt idx="2">
                  <c:v>2003-04</c:v>
                </c:pt>
                <c:pt idx="3">
                  <c:v>2004-05</c:v>
                </c:pt>
                <c:pt idx="4">
                  <c:v>2005-06</c:v>
                </c:pt>
                <c:pt idx="5">
                  <c:v>2006-07</c:v>
                </c:pt>
                <c:pt idx="6">
                  <c:v>2007-08</c:v>
                </c:pt>
                <c:pt idx="7">
                  <c:v>2008-09</c:v>
                </c:pt>
                <c:pt idx="8">
                  <c:v>2009-10</c:v>
                </c:pt>
                <c:pt idx="9">
                  <c:v>2010-11</c:v>
                </c:pt>
                <c:pt idx="10">
                  <c:v>2011-12</c:v>
                </c:pt>
              </c:strCache>
            </c:strRef>
          </c:cat>
          <c:val>
            <c:numRef>
              <c:f>Sex!$B$57:$L$57</c:f>
              <c:numCache>
                <c:formatCode>0.0</c:formatCode>
                <c:ptCount val="11"/>
                <c:pt idx="0">
                  <c:v>5.0999999999999996</c:v>
                </c:pt>
                <c:pt idx="1">
                  <c:v>4.9000000000000004</c:v>
                </c:pt>
                <c:pt idx="2">
                  <c:v>4.5999999999999996</c:v>
                </c:pt>
                <c:pt idx="3">
                  <c:v>4.5999999999999996</c:v>
                </c:pt>
                <c:pt idx="4">
                  <c:v>4.8</c:v>
                </c:pt>
                <c:pt idx="5">
                  <c:v>4.9000000000000004</c:v>
                </c:pt>
                <c:pt idx="6">
                  <c:v>5.2</c:v>
                </c:pt>
                <c:pt idx="7">
                  <c:v>5.6</c:v>
                </c:pt>
                <c:pt idx="8">
                  <c:v>5.9</c:v>
                </c:pt>
                <c:pt idx="9">
                  <c:v>6</c:v>
                </c:pt>
                <c:pt idx="10">
                  <c:v>6.4</c:v>
                </c:pt>
              </c:numCache>
            </c:numRef>
          </c:val>
          <c:smooth val="0"/>
        </c:ser>
        <c:dLbls>
          <c:showLegendKey val="0"/>
          <c:showVal val="0"/>
          <c:showCatName val="0"/>
          <c:showSerName val="0"/>
          <c:showPercent val="0"/>
          <c:showBubbleSize val="0"/>
        </c:dLbls>
        <c:marker val="1"/>
        <c:smooth val="0"/>
        <c:axId val="168045184"/>
        <c:axId val="168759680"/>
      </c:lineChart>
      <c:lineChart>
        <c:grouping val="standard"/>
        <c:varyColors val="0"/>
        <c:ser>
          <c:idx val="1"/>
          <c:order val="0"/>
          <c:tx>
            <c:strRef>
              <c:f>Sex!$A$56</c:f>
              <c:strCache>
                <c:ptCount val="1"/>
                <c:pt idx="0">
                  <c:v>Cost</c:v>
                </c:pt>
              </c:strCache>
            </c:strRef>
          </c:tx>
          <c:spPr>
            <a:ln>
              <a:solidFill>
                <a:schemeClr val="bg1">
                  <a:lumMod val="50000"/>
                </a:schemeClr>
              </a:solidFill>
            </a:ln>
          </c:spPr>
          <c:marker>
            <c:symbol val="none"/>
          </c:marker>
          <c:cat>
            <c:strRef>
              <c:f>Sex!$B$15:$L$15</c:f>
              <c:strCache>
                <c:ptCount val="11"/>
                <c:pt idx="0">
                  <c:v>2001-02</c:v>
                </c:pt>
                <c:pt idx="1">
                  <c:v>2002-03</c:v>
                </c:pt>
                <c:pt idx="2">
                  <c:v>2003-04</c:v>
                </c:pt>
                <c:pt idx="3">
                  <c:v>2004-05</c:v>
                </c:pt>
                <c:pt idx="4">
                  <c:v>2005-06</c:v>
                </c:pt>
                <c:pt idx="5">
                  <c:v>2006-07</c:v>
                </c:pt>
                <c:pt idx="6">
                  <c:v>2007-08</c:v>
                </c:pt>
                <c:pt idx="7">
                  <c:v>2008-09</c:v>
                </c:pt>
                <c:pt idx="8">
                  <c:v>2009-10</c:v>
                </c:pt>
                <c:pt idx="9">
                  <c:v>2010-11</c:v>
                </c:pt>
                <c:pt idx="10">
                  <c:v>2011-12</c:v>
                </c:pt>
              </c:strCache>
            </c:strRef>
          </c:cat>
          <c:val>
            <c:numRef>
              <c:f>Sex!$B$56:$L$56</c:f>
              <c:numCache>
                <c:formatCode>"$"#\ ##0</c:formatCode>
                <c:ptCount val="11"/>
                <c:pt idx="0">
                  <c:v>6300</c:v>
                </c:pt>
                <c:pt idx="1">
                  <c:v>6500</c:v>
                </c:pt>
                <c:pt idx="2">
                  <c:v>5800</c:v>
                </c:pt>
                <c:pt idx="3">
                  <c:v>6400</c:v>
                </c:pt>
                <c:pt idx="4">
                  <c:v>6800</c:v>
                </c:pt>
                <c:pt idx="5">
                  <c:v>7000</c:v>
                </c:pt>
                <c:pt idx="6">
                  <c:v>7500</c:v>
                </c:pt>
                <c:pt idx="7">
                  <c:v>8900</c:v>
                </c:pt>
                <c:pt idx="8">
                  <c:v>9600</c:v>
                </c:pt>
                <c:pt idx="9">
                  <c:v>10100</c:v>
                </c:pt>
                <c:pt idx="10">
                  <c:v>11000</c:v>
                </c:pt>
              </c:numCache>
            </c:numRef>
          </c:val>
          <c:smooth val="0"/>
        </c:ser>
        <c:dLbls>
          <c:showLegendKey val="0"/>
          <c:showVal val="0"/>
          <c:showCatName val="0"/>
          <c:showSerName val="0"/>
          <c:showPercent val="0"/>
          <c:showBubbleSize val="0"/>
        </c:dLbls>
        <c:marker val="1"/>
        <c:smooth val="0"/>
        <c:axId val="199680384"/>
        <c:axId val="168761600"/>
      </c:lineChart>
      <c:catAx>
        <c:axId val="168045184"/>
        <c:scaling>
          <c:orientation val="minMax"/>
        </c:scaling>
        <c:delete val="0"/>
        <c:axPos val="b"/>
        <c:numFmt formatCode="General" sourceLinked="1"/>
        <c:majorTickMark val="none"/>
        <c:minorTickMark val="none"/>
        <c:tickLblPos val="nextTo"/>
        <c:crossAx val="168759680"/>
        <c:crosses val="autoZero"/>
        <c:auto val="1"/>
        <c:lblAlgn val="ctr"/>
        <c:lblOffset val="100"/>
        <c:noMultiLvlLbl val="0"/>
      </c:catAx>
      <c:valAx>
        <c:axId val="168759680"/>
        <c:scaling>
          <c:orientation val="minMax"/>
          <c:max val="15"/>
          <c:min val="0"/>
        </c:scaling>
        <c:delete val="0"/>
        <c:axPos val="l"/>
        <c:majorGridlines/>
        <c:title>
          <c:tx>
            <c:rich>
              <a:bodyPr/>
              <a:lstStyle/>
              <a:p>
                <a:pPr>
                  <a:defRPr b="0">
                    <a:solidFill>
                      <a:srgbClr val="00A7B8"/>
                    </a:solidFill>
                  </a:defRPr>
                </a:pPr>
                <a:r>
                  <a:rPr lang="en-US" b="0">
                    <a:solidFill>
                      <a:srgbClr val="00A7B8"/>
                    </a:solidFill>
                  </a:rPr>
                  <a:t>Working weeks</a:t>
                </a:r>
              </a:p>
            </c:rich>
          </c:tx>
          <c:layout>
            <c:manualLayout>
              <c:xMode val="edge"/>
              <c:yMode val="edge"/>
              <c:x val="0.1010015625"/>
              <c:y val="0.16899356606972801"/>
            </c:manualLayout>
          </c:layout>
          <c:overlay val="0"/>
        </c:title>
        <c:numFmt formatCode="0" sourceLinked="0"/>
        <c:majorTickMark val="none"/>
        <c:minorTickMark val="none"/>
        <c:tickLblPos val="nextTo"/>
        <c:txPr>
          <a:bodyPr/>
          <a:lstStyle/>
          <a:p>
            <a:pPr>
              <a:defRPr b="0">
                <a:solidFill>
                  <a:srgbClr val="00A6D3"/>
                </a:solidFill>
              </a:defRPr>
            </a:pPr>
            <a:endParaRPr lang="en-US"/>
          </a:p>
        </c:txPr>
        <c:crossAx val="168045184"/>
        <c:crosses val="autoZero"/>
        <c:crossBetween val="between"/>
        <c:majorUnit val="3"/>
      </c:valAx>
      <c:valAx>
        <c:axId val="168761600"/>
        <c:scaling>
          <c:orientation val="minMax"/>
        </c:scaling>
        <c:delete val="0"/>
        <c:axPos val="r"/>
        <c:title>
          <c:tx>
            <c:rich>
              <a:bodyPr rot="-5400000" vert="horz"/>
              <a:lstStyle/>
              <a:p>
                <a:pPr>
                  <a:defRPr b="0"/>
                </a:pPr>
                <a:r>
                  <a:rPr lang="en-US" b="0"/>
                  <a:t>Median cost</a:t>
                </a:r>
              </a:p>
            </c:rich>
          </c:tx>
          <c:layout>
            <c:manualLayout>
              <c:xMode val="edge"/>
              <c:yMode val="edge"/>
              <c:x val="0.9731116319444445"/>
              <c:y val="0.25023389775393118"/>
            </c:manualLayout>
          </c:layout>
          <c:overlay val="0"/>
        </c:title>
        <c:numFmt formatCode="0" sourceLinked="0"/>
        <c:majorTickMark val="out"/>
        <c:minorTickMark val="none"/>
        <c:tickLblPos val="nextTo"/>
        <c:crossAx val="199680384"/>
        <c:crosses val="max"/>
        <c:crossBetween val="between"/>
      </c:valAx>
      <c:catAx>
        <c:axId val="199680384"/>
        <c:scaling>
          <c:orientation val="minMax"/>
        </c:scaling>
        <c:delete val="1"/>
        <c:axPos val="b"/>
        <c:majorTickMark val="out"/>
        <c:minorTickMark val="none"/>
        <c:tickLblPos val="nextTo"/>
        <c:crossAx val="168761600"/>
        <c:crosses val="autoZero"/>
        <c:auto val="1"/>
        <c:lblAlgn val="ctr"/>
        <c:lblOffset val="100"/>
        <c:noMultiLvlLbl val="0"/>
      </c:catAx>
      <c:dTable>
        <c:showHorzBorder val="0"/>
        <c:showVertBorder val="0"/>
        <c:showOutline val="0"/>
        <c:showKeys val="1"/>
        <c:txPr>
          <a:bodyPr/>
          <a:lstStyle/>
          <a:p>
            <a:pPr rtl="0">
              <a:defRPr sz="700"/>
            </a:pPr>
            <a:endParaRPr lang="en-US"/>
          </a:p>
        </c:txPr>
      </c:dTable>
      <c:spPr>
        <a:noFill/>
        <a:ln>
          <a:solidFill>
            <a:schemeClr val="tx1">
              <a:lumMod val="50000"/>
              <a:lumOff val="50000"/>
            </a:schemeClr>
          </a:solidFill>
        </a:ln>
      </c:spPr>
    </c:plotArea>
    <c:plotVisOnly val="1"/>
    <c:dispBlanksAs val="gap"/>
    <c:showDLblsOverMax val="0"/>
  </c:chart>
  <c:spPr>
    <a:ln>
      <a:noFill/>
    </a:ln>
  </c:spPr>
  <c:txPr>
    <a:bodyPr/>
    <a:lstStyle/>
    <a:p>
      <a:pPr>
        <a:defRPr sz="800">
          <a:latin typeface="Arial" pitchFamily="34" charset="0"/>
          <a:cs typeface="Arial"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62907212064417"/>
          <c:y val="6.5769805680119586E-2"/>
          <c:w val="0.83010005483874305"/>
          <c:h val="0.56670449977536597"/>
        </c:manualLayout>
      </c:layout>
      <c:lineChart>
        <c:grouping val="standard"/>
        <c:varyColors val="0"/>
        <c:ser>
          <c:idx val="0"/>
          <c:order val="0"/>
          <c:tx>
            <c:strRef>
              <c:f>Sex!$A$16</c:f>
              <c:strCache>
                <c:ptCount val="1"/>
                <c:pt idx="0">
                  <c:v>Male</c:v>
                </c:pt>
              </c:strCache>
            </c:strRef>
          </c:tx>
          <c:spPr>
            <a:ln>
              <a:solidFill>
                <a:srgbClr val="00A6D3"/>
              </a:solidFill>
            </a:ln>
          </c:spPr>
          <c:marker>
            <c:symbol val="none"/>
          </c:marker>
          <c:dPt>
            <c:idx val="11"/>
            <c:bubble3D val="0"/>
            <c:spPr>
              <a:ln>
                <a:solidFill>
                  <a:srgbClr val="00A6D3"/>
                </a:solidFill>
                <a:prstDash val="sysDash"/>
              </a:ln>
            </c:spPr>
          </c:dPt>
          <c:cat>
            <c:strRef>
              <c:f>Sex!$B$15:$M$15</c:f>
              <c:strCache>
                <c:ptCount val="12"/>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2012-13p</c:v>
                </c:pt>
              </c:strCache>
            </c:strRef>
          </c:cat>
          <c:val>
            <c:numRef>
              <c:f>Sex!$B$16:$M$16</c:f>
              <c:numCache>
                <c:formatCode>General</c:formatCode>
                <c:ptCount val="12"/>
                <c:pt idx="0">
                  <c:v>28.1</c:v>
                </c:pt>
                <c:pt idx="1">
                  <c:v>29.4</c:v>
                </c:pt>
                <c:pt idx="2">
                  <c:v>27.8</c:v>
                </c:pt>
                <c:pt idx="3">
                  <c:v>26.8</c:v>
                </c:pt>
                <c:pt idx="4">
                  <c:v>24.7</c:v>
                </c:pt>
                <c:pt idx="5">
                  <c:v>22.4</c:v>
                </c:pt>
                <c:pt idx="6">
                  <c:v>22.7</c:v>
                </c:pt>
                <c:pt idx="7">
                  <c:v>21.9</c:v>
                </c:pt>
                <c:pt idx="8">
                  <c:v>19.899999999999999</c:v>
                </c:pt>
                <c:pt idx="9">
                  <c:v>19.2</c:v>
                </c:pt>
                <c:pt idx="10">
                  <c:v>19.2</c:v>
                </c:pt>
                <c:pt idx="11">
                  <c:v>18.600000000000001</c:v>
                </c:pt>
              </c:numCache>
            </c:numRef>
          </c:val>
          <c:smooth val="0"/>
        </c:ser>
        <c:ser>
          <c:idx val="1"/>
          <c:order val="1"/>
          <c:tx>
            <c:strRef>
              <c:f>Sex!$A$17</c:f>
              <c:strCache>
                <c:ptCount val="1"/>
                <c:pt idx="0">
                  <c:v>Female</c:v>
                </c:pt>
              </c:strCache>
            </c:strRef>
          </c:tx>
          <c:marker>
            <c:symbol val="none"/>
          </c:marker>
          <c:dPt>
            <c:idx val="11"/>
            <c:bubble3D val="0"/>
            <c:spPr>
              <a:ln>
                <a:prstDash val="sysDash"/>
              </a:ln>
            </c:spPr>
          </c:dPt>
          <c:cat>
            <c:strRef>
              <c:f>Sex!$B$15:$M$15</c:f>
              <c:strCache>
                <c:ptCount val="12"/>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2012-13p</c:v>
                </c:pt>
              </c:strCache>
            </c:strRef>
          </c:cat>
          <c:val>
            <c:numRef>
              <c:f>Sex!$B$17:$M$17</c:f>
              <c:numCache>
                <c:formatCode>General</c:formatCode>
                <c:ptCount val="12"/>
                <c:pt idx="0">
                  <c:v>4.8</c:v>
                </c:pt>
                <c:pt idx="1">
                  <c:v>3.8</c:v>
                </c:pt>
                <c:pt idx="2">
                  <c:v>4.8</c:v>
                </c:pt>
                <c:pt idx="3">
                  <c:v>4.5</c:v>
                </c:pt>
                <c:pt idx="4">
                  <c:v>4.9000000000000004</c:v>
                </c:pt>
                <c:pt idx="5" formatCode="0.0">
                  <c:v>4</c:v>
                </c:pt>
                <c:pt idx="6">
                  <c:v>4.0999999999999996</c:v>
                </c:pt>
                <c:pt idx="7">
                  <c:v>4.9000000000000004</c:v>
                </c:pt>
                <c:pt idx="8">
                  <c:v>4.9000000000000004</c:v>
                </c:pt>
                <c:pt idx="9">
                  <c:v>5.4</c:v>
                </c:pt>
                <c:pt idx="10">
                  <c:v>5.2</c:v>
                </c:pt>
                <c:pt idx="11" formatCode="0.0">
                  <c:v>5.0999999999999996</c:v>
                </c:pt>
              </c:numCache>
            </c:numRef>
          </c:val>
          <c:smooth val="0"/>
        </c:ser>
        <c:ser>
          <c:idx val="2"/>
          <c:order val="2"/>
          <c:tx>
            <c:strRef>
              <c:f>Sex!$A$18</c:f>
              <c:strCache>
                <c:ptCount val="1"/>
                <c:pt idx="0">
                  <c:v>Total</c:v>
                </c:pt>
              </c:strCache>
            </c:strRef>
          </c:tx>
          <c:spPr>
            <a:ln>
              <a:solidFill>
                <a:sysClr val="windowText" lastClr="000000"/>
              </a:solidFill>
            </a:ln>
          </c:spPr>
          <c:marker>
            <c:symbol val="none"/>
          </c:marker>
          <c:dPt>
            <c:idx val="11"/>
            <c:bubble3D val="0"/>
            <c:spPr>
              <a:ln>
                <a:solidFill>
                  <a:sysClr val="windowText" lastClr="000000"/>
                </a:solidFill>
                <a:prstDash val="sysDash"/>
              </a:ln>
            </c:spPr>
          </c:dPt>
          <c:cat>
            <c:strRef>
              <c:f>Sex!$B$15:$M$15</c:f>
              <c:strCache>
                <c:ptCount val="12"/>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2012-13p</c:v>
                </c:pt>
              </c:strCache>
            </c:strRef>
          </c:cat>
          <c:val>
            <c:numRef>
              <c:f>Sex!$B$18:$M$18</c:f>
              <c:numCache>
                <c:formatCode>General</c:formatCode>
                <c:ptCount val="12"/>
                <c:pt idx="0">
                  <c:v>25.2</c:v>
                </c:pt>
                <c:pt idx="1">
                  <c:v>25.9</c:v>
                </c:pt>
                <c:pt idx="2" formatCode="0.0">
                  <c:v>25</c:v>
                </c:pt>
                <c:pt idx="3">
                  <c:v>23.8</c:v>
                </c:pt>
                <c:pt idx="4">
                  <c:v>22.2</c:v>
                </c:pt>
                <c:pt idx="5">
                  <c:v>20.2</c:v>
                </c:pt>
                <c:pt idx="6">
                  <c:v>20.3</c:v>
                </c:pt>
                <c:pt idx="7">
                  <c:v>19.8</c:v>
                </c:pt>
                <c:pt idx="8">
                  <c:v>18.100000000000001</c:v>
                </c:pt>
                <c:pt idx="9">
                  <c:v>17.600000000000001</c:v>
                </c:pt>
                <c:pt idx="10">
                  <c:v>17.5</c:v>
                </c:pt>
                <c:pt idx="11" formatCode="0.0">
                  <c:v>17</c:v>
                </c:pt>
              </c:numCache>
            </c:numRef>
          </c:val>
          <c:smooth val="0"/>
        </c:ser>
        <c:dLbls>
          <c:showLegendKey val="0"/>
          <c:showVal val="0"/>
          <c:showCatName val="0"/>
          <c:showSerName val="0"/>
          <c:showPercent val="0"/>
          <c:showBubbleSize val="0"/>
        </c:dLbls>
        <c:marker val="1"/>
        <c:smooth val="0"/>
        <c:axId val="119316864"/>
        <c:axId val="119318400"/>
      </c:lineChart>
      <c:catAx>
        <c:axId val="119316864"/>
        <c:scaling>
          <c:orientation val="minMax"/>
        </c:scaling>
        <c:delete val="0"/>
        <c:axPos val="b"/>
        <c:numFmt formatCode="General" sourceLinked="1"/>
        <c:majorTickMark val="none"/>
        <c:minorTickMark val="none"/>
        <c:tickLblPos val="nextTo"/>
        <c:crossAx val="119318400"/>
        <c:crosses val="autoZero"/>
        <c:auto val="1"/>
        <c:lblAlgn val="ctr"/>
        <c:lblOffset val="100"/>
        <c:noMultiLvlLbl val="0"/>
      </c:catAx>
      <c:valAx>
        <c:axId val="119318400"/>
        <c:scaling>
          <c:orientation val="minMax"/>
          <c:max val="30"/>
        </c:scaling>
        <c:delete val="0"/>
        <c:axPos val="l"/>
        <c:majorGridlines/>
        <c:title>
          <c:tx>
            <c:rich>
              <a:bodyPr rot="-5400000" vert="horz"/>
              <a:lstStyle/>
              <a:p>
                <a:pPr>
                  <a:defRPr b="0"/>
                </a:pPr>
                <a:r>
                  <a:rPr lang="en-US"/>
                  <a:t>Claims per 1000 employees</a:t>
                </a:r>
              </a:p>
            </c:rich>
          </c:tx>
          <c:layout>
            <c:manualLayout>
              <c:xMode val="edge"/>
              <c:yMode val="edge"/>
              <c:x val="4.7932167884159889E-2"/>
              <c:y val="2.463566493650177E-2"/>
            </c:manualLayout>
          </c:layout>
          <c:overlay val="0"/>
        </c:title>
        <c:numFmt formatCode="0" sourceLinked="0"/>
        <c:majorTickMark val="out"/>
        <c:minorTickMark val="none"/>
        <c:tickLblPos val="nextTo"/>
        <c:crossAx val="119316864"/>
        <c:crosses val="autoZero"/>
        <c:crossBetween val="between"/>
        <c:majorUnit val="5"/>
      </c:valAx>
      <c:dTable>
        <c:showHorzBorder val="0"/>
        <c:showVertBorder val="0"/>
        <c:showOutline val="0"/>
        <c:showKeys val="1"/>
      </c:dTable>
      <c:spPr>
        <a:ln>
          <a:solidFill>
            <a:schemeClr val="bg1">
              <a:lumMod val="65000"/>
            </a:schemeClr>
          </a:solidFill>
        </a:ln>
      </c:spPr>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978-1-76028-237-0</PublicationIdentifier>
    <ParentFolderID xmlns="http://schemas.microsoft.com/sharepoint/v3/fields">926</ParentFolderID>
  </documentManagement>
</p:properties>
</file>

<file path=customXml/itemProps1.xml><?xml version="1.0" encoding="utf-8"?>
<ds:datastoreItem xmlns:ds="http://schemas.openxmlformats.org/officeDocument/2006/customXml" ds:itemID="{2951C622-3CD1-4F6C-853C-639317B742B7}"/>
</file>

<file path=customXml/itemProps2.xml><?xml version="1.0" encoding="utf-8"?>
<ds:datastoreItem xmlns:ds="http://schemas.openxmlformats.org/officeDocument/2006/customXml" ds:itemID="{50CF7AD9-7D7C-4780-A658-DF55C7132EA7}"/>
</file>

<file path=customXml/itemProps3.xml><?xml version="1.0" encoding="utf-8"?>
<ds:datastoreItem xmlns:ds="http://schemas.openxmlformats.org/officeDocument/2006/customXml" ds:itemID="{3ED22D7C-666E-4A0E-B911-A151C325FD84}"/>
</file>

<file path=docProps/app.xml><?xml version="1.0" encoding="utf-8"?>
<Properties xmlns="http://schemas.openxmlformats.org/officeDocument/2006/extended-properties" xmlns:vt="http://schemas.openxmlformats.org/officeDocument/2006/docPropsVTypes">
  <Template>51683A68.dotm</Template>
  <TotalTime>0</TotalTime>
  <Pages>47</Pages>
  <Words>14942</Words>
  <Characters>81818</Characters>
  <Application>Microsoft Office Word</Application>
  <DocSecurity>0</DocSecurity>
  <Lines>3719</Lines>
  <Paragraphs>3455</Paragraphs>
  <ScaleCrop>false</ScaleCrop>
  <HeadingPairs>
    <vt:vector size="2" baseType="variant">
      <vt:variant>
        <vt:lpstr>Title</vt:lpstr>
      </vt:variant>
      <vt:variant>
        <vt:i4>1</vt:i4>
      </vt:variant>
    </vt:vector>
  </HeadingPairs>
  <TitlesOfParts>
    <vt:vector size="1" baseType="lpstr">
      <vt:lpstr>Work-related injuries and fatalities in construction, 2003 to 2013</vt:lpstr>
    </vt:vector>
  </TitlesOfParts>
  <LinksUpToDate>false</LinksUpToDate>
  <CharactersWithSpaces>93305</CharactersWithSpaces>
  <SharedDoc>false</SharedDoc>
  <HyperlinkBase>http://swa.gov.au</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Work-related injuries and fatalities in construction, Australia, 2003 to 2013</dc:title>
  <dc:creator/>
  <cp:keywords>injuries, fatalities, construction, 2003 to 2013, work-related, industry, statistics, report, analysis, data, compensation, claims</cp:keywords>
  <cp:lastModifiedBy/>
  <cp:revision>1</cp:revision>
  <dcterms:created xsi:type="dcterms:W3CDTF">2015-08-17T06:08:00Z</dcterms:created>
  <dcterms:modified xsi:type="dcterms:W3CDTF">2015-08-17T06:22:00Z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