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B30" w:rsidRDefault="00390B30" w:rsidP="002643CD">
      <w:pPr>
        <w:pStyle w:val="dotpoints"/>
        <w:numPr>
          <w:ilvl w:val="0"/>
          <w:numId w:val="0"/>
        </w:numPr>
        <w:spacing w:before="120" w:after="120"/>
      </w:pPr>
    </w:p>
    <w:p w:rsidR="00390B30" w:rsidRPr="00390B30" w:rsidRDefault="00390B30" w:rsidP="00390B30">
      <w:pPr>
        <w:tabs>
          <w:tab w:val="left" w:pos="966"/>
        </w:tabs>
        <w:spacing w:after="200" w:line="276" w:lineRule="auto"/>
        <w:jc w:val="center"/>
        <w:rPr>
          <w:rFonts w:eastAsiaTheme="majorEastAsia" w:cstheme="majorBidi"/>
          <w:b/>
          <w:bCs/>
          <w:i/>
          <w:caps/>
          <w:kern w:val="32"/>
          <w:sz w:val="32"/>
          <w:szCs w:val="40"/>
          <w:lang w:eastAsia="en-US"/>
        </w:rPr>
      </w:pPr>
      <w:r w:rsidRPr="00390B30">
        <w:rPr>
          <w:rFonts w:eastAsiaTheme="majorEastAsia" w:cstheme="majorBidi"/>
          <w:b/>
          <w:bCs/>
          <w:i/>
          <w:caps/>
          <w:kern w:val="32"/>
          <w:sz w:val="32"/>
          <w:szCs w:val="40"/>
          <w:lang w:eastAsia="en-US"/>
        </w:rPr>
        <w:t>THE First Progress Report ON</w:t>
      </w: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r w:rsidRPr="00390B30">
        <w:rPr>
          <w:rFonts w:eastAsiaTheme="majorEastAsia" w:cstheme="majorBidi"/>
          <w:b/>
          <w:bCs/>
          <w:i/>
          <w:caps/>
          <w:kern w:val="32"/>
          <w:sz w:val="32"/>
          <w:szCs w:val="40"/>
          <w:lang w:eastAsia="en-US"/>
        </w:rPr>
        <w:t>The Australian Work Health and Safety Strategy 2012-2022</w:t>
      </w: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autoSpaceDE w:val="0"/>
        <w:autoSpaceDN w:val="0"/>
        <w:adjustRightInd w:val="0"/>
        <w:spacing w:after="0"/>
        <w:rPr>
          <w:rFonts w:eastAsiaTheme="minorHAnsi" w:cs="Arial"/>
          <w:color w:val="000000"/>
          <w:sz w:val="20"/>
          <w:szCs w:val="24"/>
        </w:rPr>
      </w:pPr>
      <w:r w:rsidRPr="00390B30">
        <w:rPr>
          <w:rFonts w:eastAsiaTheme="minorHAnsi" w:cs="Arial"/>
          <w:noProof/>
          <w:color w:val="000000"/>
          <w:sz w:val="20"/>
          <w:szCs w:val="24"/>
        </w:rPr>
        <w:drawing>
          <wp:inline distT="0" distB="0" distL="0" distR="0" wp14:anchorId="16456F9B" wp14:editId="00D752C5">
            <wp:extent cx="1207770" cy="412115"/>
            <wp:effectExtent l="0" t="0" r="0" b="6985"/>
            <wp:docPr id="7" name="Picture 7" title="CC By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770" cy="412115"/>
                    </a:xfrm>
                    <a:prstGeom prst="rect">
                      <a:avLst/>
                    </a:prstGeom>
                    <a:noFill/>
                    <a:ln>
                      <a:noFill/>
                    </a:ln>
                  </pic:spPr>
                </pic:pic>
              </a:graphicData>
            </a:graphic>
          </wp:inline>
        </w:drawing>
      </w:r>
    </w:p>
    <w:p w:rsidR="00FF536C" w:rsidRPr="00FF536C" w:rsidRDefault="00FF536C" w:rsidP="00FF536C">
      <w:pPr>
        <w:pStyle w:val="Pa3"/>
        <w:spacing w:after="220"/>
        <w:rPr>
          <w:rFonts w:ascii="Arial" w:hAnsi="Arial" w:cs="Arial"/>
          <w:b/>
          <w:color w:val="211D1E"/>
          <w:sz w:val="20"/>
          <w:szCs w:val="20"/>
        </w:rPr>
      </w:pPr>
      <w:r w:rsidRPr="00FF536C">
        <w:rPr>
          <w:rStyle w:val="A3"/>
          <w:rFonts w:ascii="Arial" w:hAnsi="Arial" w:cs="Arial"/>
          <w:b/>
          <w:sz w:val="20"/>
          <w:szCs w:val="20"/>
        </w:rPr>
        <w:t>Creative Commons</w:t>
      </w:r>
    </w:p>
    <w:p w:rsidR="00FF536C" w:rsidRPr="00FF536C" w:rsidRDefault="00FF536C" w:rsidP="00FF536C">
      <w:pPr>
        <w:pStyle w:val="Pa3"/>
        <w:spacing w:after="220"/>
        <w:rPr>
          <w:rFonts w:ascii="Arial" w:hAnsi="Arial" w:cs="Arial"/>
          <w:color w:val="211D1E"/>
          <w:sz w:val="20"/>
          <w:szCs w:val="20"/>
        </w:rPr>
      </w:pPr>
      <w:r w:rsidRPr="00FF536C">
        <w:rPr>
          <w:rFonts w:ascii="Arial" w:hAnsi="Arial" w:cs="Arial"/>
          <w:color w:val="211D1E"/>
          <w:sz w:val="20"/>
          <w:szCs w:val="20"/>
        </w:rPr>
        <w:t xml:space="preserve">978-1-74361-824-0 [PDF] </w:t>
      </w:r>
    </w:p>
    <w:p w:rsidR="00FF536C" w:rsidRPr="00FF536C" w:rsidRDefault="00FF536C" w:rsidP="00FF536C">
      <w:pPr>
        <w:pStyle w:val="Pa3"/>
        <w:spacing w:after="220"/>
        <w:rPr>
          <w:rFonts w:ascii="Arial" w:hAnsi="Arial" w:cs="Arial"/>
          <w:color w:val="211D1E"/>
          <w:sz w:val="20"/>
          <w:szCs w:val="20"/>
        </w:rPr>
      </w:pPr>
      <w:r w:rsidRPr="00FF536C">
        <w:rPr>
          <w:rFonts w:ascii="Arial" w:hAnsi="Arial" w:cs="Arial"/>
          <w:color w:val="211D1E"/>
          <w:sz w:val="20"/>
          <w:szCs w:val="20"/>
        </w:rPr>
        <w:t>978-1-74361-825-7 [</w:t>
      </w:r>
      <w:proofErr w:type="spellStart"/>
      <w:r w:rsidRPr="00FF536C">
        <w:rPr>
          <w:rFonts w:ascii="Arial" w:hAnsi="Arial" w:cs="Arial"/>
          <w:color w:val="211D1E"/>
          <w:sz w:val="20"/>
          <w:szCs w:val="20"/>
        </w:rPr>
        <w:t>DOCX</w:t>
      </w:r>
      <w:proofErr w:type="spellEnd"/>
      <w:r w:rsidRPr="00FF536C">
        <w:rPr>
          <w:rFonts w:ascii="Arial" w:hAnsi="Arial" w:cs="Arial"/>
          <w:color w:val="211D1E"/>
          <w:sz w:val="20"/>
          <w:szCs w:val="20"/>
        </w:rPr>
        <w:t>]</w:t>
      </w:r>
    </w:p>
    <w:p w:rsidR="00FF536C" w:rsidRPr="00FF536C" w:rsidRDefault="00FF536C" w:rsidP="00FF536C">
      <w:pPr>
        <w:pStyle w:val="Pa0"/>
        <w:spacing w:after="160"/>
        <w:rPr>
          <w:rFonts w:ascii="Arial" w:hAnsi="Arial" w:cs="Arial"/>
          <w:color w:val="211D1E"/>
          <w:sz w:val="20"/>
          <w:szCs w:val="20"/>
        </w:rPr>
      </w:pPr>
      <w:r w:rsidRPr="00FF536C">
        <w:rPr>
          <w:rStyle w:val="A3"/>
          <w:rFonts w:ascii="Arial" w:hAnsi="Arial" w:cs="Arial"/>
          <w:sz w:val="20"/>
          <w:szCs w:val="20"/>
        </w:rPr>
        <w:t>With the exception of the Safe Work Australia logo and all other images, this report is licensed by Safe Work Australia under a Creative Commons 3.0 Australia Licence.</w:t>
      </w:r>
    </w:p>
    <w:p w:rsidR="00FF536C" w:rsidRPr="00FF536C" w:rsidRDefault="00FF536C" w:rsidP="00FF536C">
      <w:pPr>
        <w:pStyle w:val="Pa0"/>
        <w:spacing w:after="160"/>
        <w:rPr>
          <w:rFonts w:ascii="Arial" w:hAnsi="Arial" w:cs="Arial"/>
          <w:color w:val="211D1E"/>
          <w:sz w:val="20"/>
          <w:szCs w:val="20"/>
        </w:rPr>
      </w:pPr>
      <w:r w:rsidRPr="00FF536C">
        <w:rPr>
          <w:rStyle w:val="A3"/>
          <w:rFonts w:ascii="Arial" w:hAnsi="Arial" w:cs="Arial"/>
          <w:sz w:val="20"/>
          <w:szCs w:val="20"/>
        </w:rPr>
        <w:t xml:space="preserve">To view a copy of this licence, visit </w:t>
      </w:r>
      <w:r w:rsidRPr="00FF536C">
        <w:rPr>
          <w:rStyle w:val="A4"/>
          <w:rFonts w:ascii="Arial" w:hAnsi="Arial" w:cs="Arial"/>
          <w:sz w:val="20"/>
          <w:szCs w:val="20"/>
        </w:rPr>
        <w:t>http://creativecommons.org/licences/by/3.0/au/deed.en</w:t>
      </w:r>
    </w:p>
    <w:p w:rsidR="00FF536C" w:rsidRPr="00FF536C" w:rsidRDefault="00FF536C" w:rsidP="00FF536C">
      <w:pPr>
        <w:pStyle w:val="Pa0"/>
        <w:spacing w:after="160"/>
        <w:rPr>
          <w:rFonts w:ascii="Arial" w:hAnsi="Arial" w:cs="Arial"/>
          <w:color w:val="211D1E"/>
          <w:sz w:val="20"/>
          <w:szCs w:val="20"/>
        </w:rPr>
      </w:pPr>
      <w:r w:rsidRPr="00FF536C">
        <w:rPr>
          <w:rStyle w:val="A3"/>
          <w:rFonts w:ascii="Arial" w:hAnsi="Arial" w:cs="Arial"/>
          <w:sz w:val="20"/>
          <w:szCs w:val="20"/>
        </w:rPr>
        <w:t xml:space="preserve">In essence, you are free to copy, communicate and adapt the work, as long as you attribute the work to Safe Work Australia and abide by the other licensing terms. The report should be attributed as </w:t>
      </w:r>
      <w:proofErr w:type="gramStart"/>
      <w:r w:rsidRPr="00FF536C">
        <w:rPr>
          <w:rStyle w:val="A3"/>
          <w:rFonts w:ascii="Arial" w:hAnsi="Arial" w:cs="Arial"/>
          <w:sz w:val="20"/>
          <w:szCs w:val="20"/>
        </w:rPr>
        <w:t>The</w:t>
      </w:r>
      <w:proofErr w:type="gramEnd"/>
      <w:r w:rsidRPr="00FF536C">
        <w:rPr>
          <w:rStyle w:val="A3"/>
          <w:rFonts w:ascii="Arial" w:hAnsi="Arial" w:cs="Arial"/>
          <w:sz w:val="20"/>
          <w:szCs w:val="20"/>
        </w:rPr>
        <w:t xml:space="preserve"> first progress report on the Australian Work Health and Safety Strategy 2012-2022.</w:t>
      </w:r>
    </w:p>
    <w:p w:rsidR="00390B30" w:rsidRPr="00FF536C" w:rsidRDefault="00FF536C" w:rsidP="00FF536C">
      <w:pPr>
        <w:tabs>
          <w:tab w:val="left" w:pos="966"/>
        </w:tabs>
        <w:spacing w:after="200" w:line="276" w:lineRule="auto"/>
        <w:rPr>
          <w:rFonts w:eastAsiaTheme="majorEastAsia" w:cs="Arial"/>
          <w:b/>
          <w:bCs/>
          <w:i/>
          <w:caps/>
          <w:kern w:val="32"/>
          <w:sz w:val="20"/>
          <w:szCs w:val="20"/>
          <w:lang w:eastAsia="en-US"/>
        </w:rPr>
      </w:pPr>
      <w:r w:rsidRPr="00FF536C">
        <w:rPr>
          <w:rStyle w:val="A3"/>
          <w:rFonts w:cs="Arial"/>
          <w:sz w:val="20"/>
          <w:szCs w:val="20"/>
        </w:rPr>
        <w:t xml:space="preserve">Enquiries regarding the licence and any use of this publication are welcome at: </w:t>
      </w:r>
      <w:r w:rsidRPr="00FF536C">
        <w:rPr>
          <w:rStyle w:val="A3"/>
          <w:rFonts w:cs="Arial"/>
          <w:sz w:val="20"/>
          <w:szCs w:val="20"/>
        </w:rPr>
        <w:br/>
        <w:t>Copyright Officer</w:t>
      </w:r>
      <w:r w:rsidRPr="00FF536C">
        <w:rPr>
          <w:rStyle w:val="A3"/>
          <w:rFonts w:cs="Arial"/>
          <w:sz w:val="20"/>
          <w:szCs w:val="20"/>
        </w:rPr>
        <w:br/>
        <w:t>Safe Work Australia</w:t>
      </w:r>
      <w:r w:rsidRPr="00FF536C">
        <w:rPr>
          <w:rStyle w:val="A3"/>
          <w:rFonts w:cs="Arial"/>
          <w:sz w:val="20"/>
          <w:szCs w:val="20"/>
        </w:rPr>
        <w:br/>
        <w:t>GPO Box 641 Canberra ACT 2601</w:t>
      </w:r>
      <w:r w:rsidRPr="00FF536C">
        <w:rPr>
          <w:rStyle w:val="A3"/>
          <w:rFonts w:cs="Arial"/>
          <w:sz w:val="20"/>
          <w:szCs w:val="20"/>
        </w:rPr>
        <w:br/>
        <w:t xml:space="preserve">Email: </w:t>
      </w:r>
      <w:r w:rsidRPr="00FF536C">
        <w:rPr>
          <w:rStyle w:val="A4"/>
          <w:rFonts w:ascii="Arial" w:hAnsi="Arial" w:cs="Arial"/>
          <w:sz w:val="20"/>
          <w:szCs w:val="20"/>
        </w:rPr>
        <w:t>copyrightrequests@swa.gov.au</w:t>
      </w: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pPr>
    </w:p>
    <w:p w:rsidR="008731FC" w:rsidRPr="00390B30" w:rsidRDefault="008731FC" w:rsidP="00390B30">
      <w:pPr>
        <w:tabs>
          <w:tab w:val="left" w:pos="966"/>
        </w:tabs>
        <w:spacing w:after="200" w:line="276" w:lineRule="auto"/>
        <w:jc w:val="center"/>
        <w:rPr>
          <w:rFonts w:eastAsiaTheme="majorEastAsia" w:cstheme="majorBidi"/>
          <w:b/>
          <w:bCs/>
          <w:i/>
          <w:caps/>
          <w:kern w:val="32"/>
          <w:sz w:val="24"/>
          <w:szCs w:val="40"/>
          <w:lang w:eastAsia="en-US"/>
        </w:rPr>
      </w:pPr>
    </w:p>
    <w:p w:rsidR="00390B30" w:rsidRPr="00390B30" w:rsidRDefault="00390B30" w:rsidP="00390B30">
      <w:pPr>
        <w:tabs>
          <w:tab w:val="left" w:pos="966"/>
        </w:tabs>
        <w:spacing w:after="200" w:line="276" w:lineRule="auto"/>
        <w:jc w:val="center"/>
        <w:rPr>
          <w:rFonts w:eastAsiaTheme="majorEastAsia" w:cstheme="majorBidi"/>
          <w:b/>
          <w:bCs/>
          <w:i/>
          <w:caps/>
          <w:kern w:val="32"/>
          <w:sz w:val="24"/>
          <w:szCs w:val="40"/>
          <w:lang w:eastAsia="en-US"/>
        </w:rPr>
        <w:sectPr w:rsidR="00390B30" w:rsidRPr="00390B30" w:rsidSect="00A22C9C">
          <w:footerReference w:type="default" r:id="rId12"/>
          <w:type w:val="continuous"/>
          <w:pgSz w:w="11906" w:h="16838" w:code="9"/>
          <w:pgMar w:top="1418" w:right="1134" w:bottom="1418" w:left="1418" w:header="567" w:footer="567" w:gutter="0"/>
          <w:cols w:space="708"/>
          <w:docGrid w:linePitch="360"/>
        </w:sectPr>
      </w:pPr>
    </w:p>
    <w:p w:rsidR="00390B30" w:rsidRPr="00390B30" w:rsidRDefault="00390B30" w:rsidP="00145652">
      <w:pPr>
        <w:pStyle w:val="Heading1"/>
      </w:pPr>
      <w:r w:rsidRPr="00390B30">
        <w:lastRenderedPageBreak/>
        <w:t>Introduction</w:t>
      </w:r>
    </w:p>
    <w:p w:rsidR="00390B30" w:rsidRPr="00390B30" w:rsidRDefault="00390B30" w:rsidP="00390B30">
      <w:pPr>
        <w:tabs>
          <w:tab w:val="left" w:pos="966"/>
        </w:tabs>
      </w:pPr>
      <w:r w:rsidRPr="00390B30">
        <w:t xml:space="preserve">The </w:t>
      </w:r>
      <w:hyperlink r:id="rId13" w:history="1">
        <w:r w:rsidRPr="00D83F35">
          <w:rPr>
            <w:rStyle w:val="Hyperlink"/>
          </w:rPr>
          <w:t>Australian Strategy</w:t>
        </w:r>
      </w:hyperlink>
      <w:r w:rsidRPr="00390B30">
        <w:t xml:space="preserve"> builds on the work of the </w:t>
      </w:r>
      <w:hyperlink r:id="rId14" w:history="1">
        <w:r w:rsidRPr="00390B30">
          <w:rPr>
            <w:color w:val="0000FF"/>
            <w:u w:val="single"/>
          </w:rPr>
          <w:t>National OHS Strategy 2002-2012</w:t>
        </w:r>
      </w:hyperlink>
      <w:r w:rsidRPr="00390B30">
        <w:t xml:space="preserve"> and provides a framework to drive improvements in work health and safety</w:t>
      </w:r>
      <w:r w:rsidR="00E94491">
        <w:t xml:space="preserve"> (WHS)</w:t>
      </w:r>
      <w:r w:rsidRPr="00390B30">
        <w:t xml:space="preserve"> in Australia. It promotes a collaborative approach between the Commonwealth, state and territory governments, industry and unions and other organisations to achieve the vision of </w:t>
      </w:r>
      <w:r w:rsidRPr="00390B30">
        <w:rPr>
          <w:i/>
          <w:iCs/>
        </w:rPr>
        <w:t>healthy, safe and productive working lives</w:t>
      </w:r>
      <w:r w:rsidRPr="00390B30">
        <w:t>.</w:t>
      </w:r>
    </w:p>
    <w:p w:rsidR="00390B30" w:rsidRPr="00390B30" w:rsidRDefault="00390B30" w:rsidP="00390B30">
      <w:pPr>
        <w:tabs>
          <w:tab w:val="left" w:pos="966"/>
          <w:tab w:val="decimal" w:pos="5529"/>
          <w:tab w:val="decimal" w:pos="8931"/>
        </w:tabs>
      </w:pPr>
      <w:r w:rsidRPr="00390B30">
        <w:t xml:space="preserve">The Australian Strategy sets </w:t>
      </w:r>
      <w:hyperlink r:id="rId15" w:history="1">
        <w:r w:rsidRPr="00390B30">
          <w:rPr>
            <w:color w:val="0000FF"/>
            <w:u w:val="single"/>
          </w:rPr>
          <w:t>four outcomes to be achieved by 2022</w:t>
        </w:r>
      </w:hyperlink>
      <w:r w:rsidRPr="00390B30" w:rsidDel="00C42706">
        <w:t xml:space="preserve"> </w:t>
      </w:r>
    </w:p>
    <w:p w:rsidR="00390B30" w:rsidRPr="00390B30" w:rsidRDefault="00390B30" w:rsidP="00390B30">
      <w:pPr>
        <w:numPr>
          <w:ilvl w:val="0"/>
          <w:numId w:val="9"/>
        </w:numPr>
        <w:tabs>
          <w:tab w:val="left" w:pos="966"/>
          <w:tab w:val="decimal" w:pos="5529"/>
          <w:tab w:val="decimal" w:pos="8931"/>
        </w:tabs>
        <w:contextualSpacing/>
      </w:pPr>
      <w:r w:rsidRPr="00390B30">
        <w:t>reduced incidence of work-related death, injury and illness, achieved by</w:t>
      </w:r>
    </w:p>
    <w:p w:rsidR="00390B30" w:rsidRPr="00390B30" w:rsidRDefault="00390B30" w:rsidP="00390B30">
      <w:pPr>
        <w:numPr>
          <w:ilvl w:val="0"/>
          <w:numId w:val="9"/>
        </w:numPr>
        <w:tabs>
          <w:tab w:val="left" w:pos="966"/>
          <w:tab w:val="decimal" w:pos="5529"/>
          <w:tab w:val="decimal" w:pos="8931"/>
        </w:tabs>
        <w:contextualSpacing/>
      </w:pPr>
      <w:r w:rsidRPr="00390B30">
        <w:t xml:space="preserve">reduced exposure to hazards and risks using </w:t>
      </w:r>
    </w:p>
    <w:p w:rsidR="00390B30" w:rsidRPr="00390B30" w:rsidRDefault="00390B30" w:rsidP="00390B30">
      <w:pPr>
        <w:numPr>
          <w:ilvl w:val="0"/>
          <w:numId w:val="9"/>
        </w:numPr>
        <w:tabs>
          <w:tab w:val="left" w:pos="966"/>
          <w:tab w:val="decimal" w:pos="5529"/>
          <w:tab w:val="decimal" w:pos="8931"/>
        </w:tabs>
        <w:contextualSpacing/>
      </w:pPr>
      <w:r w:rsidRPr="00390B30">
        <w:t>improved hazard controls and supported by</w:t>
      </w:r>
    </w:p>
    <w:p w:rsidR="00390B30" w:rsidRPr="00390B30" w:rsidRDefault="00390B30" w:rsidP="00390B30">
      <w:pPr>
        <w:numPr>
          <w:ilvl w:val="0"/>
          <w:numId w:val="9"/>
        </w:numPr>
        <w:tabs>
          <w:tab w:val="left" w:pos="966"/>
          <w:tab w:val="decimal" w:pos="5529"/>
          <w:tab w:val="decimal" w:pos="8931"/>
        </w:tabs>
        <w:contextualSpacing/>
      </w:pPr>
      <w:proofErr w:type="gramStart"/>
      <w:r w:rsidRPr="00390B30">
        <w:t>an</w:t>
      </w:r>
      <w:proofErr w:type="gramEnd"/>
      <w:r w:rsidRPr="00390B30">
        <w:t xml:space="preserve"> improved work health and safety infrastructure.</w:t>
      </w:r>
    </w:p>
    <w:p w:rsidR="00390B30" w:rsidRPr="00390B30" w:rsidRDefault="00390B30" w:rsidP="00390B30">
      <w:pPr>
        <w:tabs>
          <w:tab w:val="left" w:pos="966"/>
        </w:tabs>
        <w:rPr>
          <w:b/>
        </w:rPr>
      </w:pPr>
    </w:p>
    <w:p w:rsidR="00390B30" w:rsidRPr="00390B30" w:rsidRDefault="00390B30" w:rsidP="00390B30">
      <w:pPr>
        <w:tabs>
          <w:tab w:val="left" w:pos="966"/>
        </w:tabs>
      </w:pPr>
      <w:r w:rsidRPr="00390B30">
        <w:rPr>
          <w:b/>
        </w:rPr>
        <w:t>Figure 1:</w:t>
      </w:r>
      <w:r w:rsidRPr="00390B30">
        <w:t xml:space="preserve"> The Australian Strategy</w:t>
      </w:r>
    </w:p>
    <w:p w:rsidR="00390B30" w:rsidRPr="00390B30" w:rsidRDefault="00390B30" w:rsidP="00390B30">
      <w:pPr>
        <w:tabs>
          <w:tab w:val="left" w:pos="966"/>
          <w:tab w:val="decimal" w:pos="5529"/>
          <w:tab w:val="decimal" w:pos="8931"/>
        </w:tabs>
        <w:spacing w:before="240"/>
      </w:pPr>
      <w:r w:rsidRPr="00390B30">
        <w:rPr>
          <w:noProof/>
        </w:rPr>
        <w:drawing>
          <wp:inline distT="0" distB="0" distL="0" distR="0" wp14:anchorId="0860B308" wp14:editId="00C0E179">
            <wp:extent cx="2745105" cy="2679550"/>
            <wp:effectExtent l="0" t="0" r="0" b="6985"/>
            <wp:docPr id="8" name="Picture 8" descr="Australian Strategy Vis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trategy Vision dia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5105" cy="2679550"/>
                    </a:xfrm>
                    <a:prstGeom prst="rect">
                      <a:avLst/>
                    </a:prstGeom>
                    <a:noFill/>
                    <a:ln>
                      <a:noFill/>
                    </a:ln>
                  </pic:spPr>
                </pic:pic>
              </a:graphicData>
            </a:graphic>
          </wp:inline>
        </w:drawing>
      </w:r>
    </w:p>
    <w:p w:rsidR="00390B30" w:rsidRPr="00390B30" w:rsidRDefault="003C34DF" w:rsidP="00390B30">
      <w:pPr>
        <w:tabs>
          <w:tab w:val="left" w:pos="966"/>
        </w:tabs>
      </w:pPr>
      <w:r>
        <w:lastRenderedPageBreak/>
        <w:t xml:space="preserve">Development of the </w:t>
      </w:r>
      <w:hyperlink r:id="rId17" w:history="1">
        <w:r w:rsidRPr="003C34DF">
          <w:rPr>
            <w:rStyle w:val="Hyperlink"/>
          </w:rPr>
          <w:t>Australian Strategy</w:t>
        </w:r>
      </w:hyperlink>
      <w:r>
        <w:rPr>
          <w:color w:val="0000FF"/>
          <w:u w:val="single"/>
        </w:rPr>
        <w:t xml:space="preserve"> </w:t>
      </w:r>
      <w:r w:rsidR="00390B30" w:rsidRPr="00390B30">
        <w:t xml:space="preserve">began in 2011 with an extensive consultation process across Australia involving industry organisations, unions, government representatives, leading businesses, academics and professional practitioners and community organisations. </w:t>
      </w:r>
    </w:p>
    <w:p w:rsidR="00390B30" w:rsidRPr="00390B30" w:rsidRDefault="00390B30" w:rsidP="00390B30">
      <w:pPr>
        <w:tabs>
          <w:tab w:val="left" w:pos="966"/>
        </w:tabs>
      </w:pPr>
      <w:r w:rsidRPr="00390B30">
        <w:t xml:space="preserve">The Australian Strategy was formally endorsed by Workplace Relations Ministers, the ACTU, </w:t>
      </w:r>
      <w:proofErr w:type="spellStart"/>
      <w:r w:rsidRPr="00390B30">
        <w:t>ACCI</w:t>
      </w:r>
      <w:proofErr w:type="spellEnd"/>
      <w:r w:rsidRPr="00390B30">
        <w:t xml:space="preserve"> and the Ai Group and launched </w:t>
      </w:r>
      <w:r w:rsidR="00C253FB">
        <w:t xml:space="preserve">by the Commonwealth Minister </w:t>
      </w:r>
      <w:r w:rsidRPr="00390B30">
        <w:t>on 31 October 2012.</w:t>
      </w:r>
    </w:p>
    <w:p w:rsidR="00390B30" w:rsidRPr="00390B30" w:rsidRDefault="00390B30" w:rsidP="00390B30">
      <w:pPr>
        <w:tabs>
          <w:tab w:val="left" w:pos="966"/>
          <w:tab w:val="decimal" w:pos="5529"/>
          <w:tab w:val="decimal" w:pos="8931"/>
        </w:tabs>
        <w:spacing w:before="240"/>
      </w:pPr>
      <w:r w:rsidRPr="00390B30">
        <w:t xml:space="preserve">Activities to support the Australian Strategy are being coordinated by </w:t>
      </w:r>
      <w:hyperlink r:id="rId18" w:history="1">
        <w:r w:rsidRPr="00390B30">
          <w:rPr>
            <w:color w:val="0000FF"/>
            <w:u w:val="single"/>
          </w:rPr>
          <w:t>Safe Work Australia.</w:t>
        </w:r>
      </w:hyperlink>
      <w:r w:rsidRPr="00390B30">
        <w:t xml:space="preserve"> </w:t>
      </w:r>
      <w:r w:rsidR="007D38E7">
        <w:t>I</w:t>
      </w:r>
      <w:r w:rsidRPr="00390B30">
        <w:t xml:space="preserve">t is the </w:t>
      </w:r>
      <w:hyperlink r:id="rId19" w:history="1">
        <w:r w:rsidR="00FF3DD9" w:rsidRPr="000D6167">
          <w:rPr>
            <w:rStyle w:val="Hyperlink"/>
          </w:rPr>
          <w:t xml:space="preserve">Safe Work Australia </w:t>
        </w:r>
        <w:r w:rsidRPr="000D6167">
          <w:rPr>
            <w:rStyle w:val="Hyperlink"/>
          </w:rPr>
          <w:t>Members</w:t>
        </w:r>
      </w:hyperlink>
      <w:r w:rsidR="008F497E">
        <w:t>,</w:t>
      </w:r>
      <w:r w:rsidRPr="00390B30">
        <w:t xml:space="preserve"> in particular the </w:t>
      </w:r>
      <w:r w:rsidR="00E94491">
        <w:t>WHS</w:t>
      </w:r>
      <w:r w:rsidR="00657BF7">
        <w:t xml:space="preserve"> </w:t>
      </w:r>
      <w:r w:rsidRPr="00390B30">
        <w:t>regulators, who collectively and individually implement specific policies, program</w:t>
      </w:r>
      <w:r w:rsidR="008F497E">
        <w:t>s</w:t>
      </w:r>
      <w:r w:rsidRPr="00390B30">
        <w:t xml:space="preserve"> and services to support improvements in Australian workplaces.  </w:t>
      </w:r>
    </w:p>
    <w:p w:rsidR="00390B30" w:rsidRPr="00390B30" w:rsidRDefault="00390B30" w:rsidP="00390B30">
      <w:pPr>
        <w:tabs>
          <w:tab w:val="left" w:pos="966"/>
        </w:tabs>
      </w:pPr>
      <w:r w:rsidRPr="00390B30">
        <w:t xml:space="preserve">As the Australian Strategy evolves it is anticipated businesses and organisations with a commitment to achieving the vision of </w:t>
      </w:r>
      <w:r w:rsidRPr="00390B30">
        <w:rPr>
          <w:i/>
        </w:rPr>
        <w:t xml:space="preserve">healthy, safe and productive working lives </w:t>
      </w:r>
      <w:r w:rsidRPr="00390B30">
        <w:t xml:space="preserve">will independently implement activities within the scope of their interests. </w:t>
      </w:r>
    </w:p>
    <w:p w:rsidR="00390B30" w:rsidRPr="00390B30" w:rsidRDefault="00390B30" w:rsidP="00390B30">
      <w:pPr>
        <w:tabs>
          <w:tab w:val="left" w:pos="966"/>
        </w:tabs>
        <w:rPr>
          <w:rFonts w:eastAsia="Batang"/>
        </w:rPr>
      </w:pPr>
      <w:r w:rsidRPr="00390B30">
        <w:rPr>
          <w:rFonts w:eastAsia="Batang"/>
        </w:rPr>
        <w:t>This first annual progress report, covering the period 1 October 2012 to 30 September 2013 provides a snapshot of the diverse activities underta</w:t>
      </w:r>
      <w:r w:rsidR="003C34DF">
        <w:rPr>
          <w:rFonts w:eastAsia="Batang"/>
        </w:rPr>
        <w:t xml:space="preserve">ken by Safe Work Australia and </w:t>
      </w:r>
      <w:r w:rsidRPr="00390B30">
        <w:rPr>
          <w:rFonts w:eastAsia="Batang"/>
        </w:rPr>
        <w:t xml:space="preserve">Safe Work Australia Members. </w:t>
      </w:r>
    </w:p>
    <w:p w:rsidR="00390B30" w:rsidRPr="00390B30" w:rsidRDefault="00390B30" w:rsidP="008F497E">
      <w:pPr>
        <w:tabs>
          <w:tab w:val="left" w:pos="966"/>
          <w:tab w:val="decimal" w:pos="5529"/>
          <w:tab w:val="decimal" w:pos="8931"/>
        </w:tabs>
        <w:spacing w:before="240"/>
      </w:pPr>
      <w:r w:rsidRPr="00390B30">
        <w:t xml:space="preserve">The case studies included in this report and on </w:t>
      </w:r>
      <w:hyperlink r:id="rId20" w:history="1">
        <w:r w:rsidRPr="00390B30">
          <w:rPr>
            <w:color w:val="0000FF"/>
            <w:u w:val="single"/>
          </w:rPr>
          <w:t>www.swa.gov.au</w:t>
        </w:r>
      </w:hyperlink>
      <w:r w:rsidR="008F497E">
        <w:t xml:space="preserve"> </w:t>
      </w:r>
      <w:r w:rsidRPr="00390B30">
        <w:t xml:space="preserve">reflect just some of the innovative activities being undertaken by </w:t>
      </w:r>
      <w:r w:rsidR="00FF3DD9">
        <w:t>Safe Work Australia</w:t>
      </w:r>
      <w:r w:rsidRPr="00390B30">
        <w:t xml:space="preserve">, </w:t>
      </w:r>
      <w:r w:rsidR="00E94491">
        <w:t>WHS</w:t>
      </w:r>
      <w:r w:rsidR="00832968" w:rsidRPr="00390B30">
        <w:t xml:space="preserve"> </w:t>
      </w:r>
      <w:r w:rsidR="008F497E">
        <w:t>regulators</w:t>
      </w:r>
      <w:r w:rsidRPr="00390B30">
        <w:t xml:space="preserve">, employer organisations and unions.  </w:t>
      </w:r>
    </w:p>
    <w:p w:rsidR="00390B30" w:rsidRPr="00390B30" w:rsidRDefault="00390B30" w:rsidP="008F497E">
      <w:pPr>
        <w:tabs>
          <w:tab w:val="left" w:pos="966"/>
          <w:tab w:val="decimal" w:pos="5529"/>
          <w:tab w:val="decimal" w:pos="8931"/>
        </w:tabs>
        <w:spacing w:before="240"/>
      </w:pPr>
      <w:r w:rsidRPr="00390B30">
        <w:t xml:space="preserve">The following snapshot of activities shows the strong commitment between jurisdictions, industries, unions, researchers and professional associations to collaborate </w:t>
      </w:r>
      <w:r w:rsidRPr="00390B30">
        <w:lastRenderedPageBreak/>
        <w:t>and to create healthier, safer and more productive working lives for Australians.</w:t>
      </w:r>
    </w:p>
    <w:p w:rsidR="00390B30" w:rsidRPr="00390B30" w:rsidRDefault="00390B30" w:rsidP="00390B30">
      <w:pPr>
        <w:tabs>
          <w:tab w:val="left" w:pos="966"/>
          <w:tab w:val="decimal" w:pos="5529"/>
          <w:tab w:val="decimal" w:pos="8931"/>
        </w:tabs>
        <w:spacing w:before="240"/>
      </w:pPr>
    </w:p>
    <w:p w:rsidR="00390B30" w:rsidRPr="00390B30" w:rsidRDefault="00390B30" w:rsidP="00390B30">
      <w:pPr>
        <w:tabs>
          <w:tab w:val="left" w:pos="966"/>
        </w:tabs>
        <w:spacing w:after="200" w:line="276" w:lineRule="auto"/>
        <w:rPr>
          <w:rFonts w:eastAsiaTheme="majorEastAsia" w:cstheme="majorBidi"/>
          <w:bCs/>
          <w:caps/>
          <w:kern w:val="32"/>
          <w:sz w:val="28"/>
          <w:szCs w:val="40"/>
          <w:lang w:eastAsia="en-US"/>
        </w:rPr>
      </w:pPr>
      <w:r w:rsidRPr="00390B30">
        <w:rPr>
          <w:rFonts w:eastAsiaTheme="majorEastAsia" w:cstheme="majorBidi"/>
          <w:bCs/>
          <w:caps/>
          <w:kern w:val="32"/>
          <w:sz w:val="28"/>
          <w:szCs w:val="40"/>
          <w:lang w:eastAsia="en-US"/>
        </w:rPr>
        <w:br w:type="page"/>
      </w:r>
    </w:p>
    <w:p w:rsidR="00390B30" w:rsidRDefault="00390B30" w:rsidP="00145652">
      <w:pPr>
        <w:pStyle w:val="Heading1"/>
      </w:pPr>
      <w:r w:rsidRPr="00145652">
        <w:lastRenderedPageBreak/>
        <w:t>Action Areas</w:t>
      </w:r>
    </w:p>
    <w:p w:rsidR="00D01011" w:rsidRPr="004358B4" w:rsidRDefault="00D01011" w:rsidP="00D01011">
      <w:pPr>
        <w:pStyle w:val="breakoutbox"/>
        <w:rPr>
          <w:b/>
          <w:i/>
        </w:rPr>
      </w:pPr>
      <w:r w:rsidRPr="00D01011">
        <w:t>The</w:t>
      </w:r>
      <w:r w:rsidRPr="004358B4">
        <w:t xml:space="preserve"> action areas focus national strategic activity on areas which collectively are expected to result in the greatest improvement in WHS.</w:t>
      </w:r>
    </w:p>
    <w:p w:rsidR="00390B30" w:rsidRPr="00145652" w:rsidRDefault="004B5D98" w:rsidP="00145652">
      <w:pPr>
        <w:pStyle w:val="Heading2"/>
        <w:rPr>
          <w:b/>
          <w:i/>
          <w:color w:val="0000FF"/>
          <w:sz w:val="24"/>
          <w:u w:val="single"/>
        </w:rPr>
      </w:pPr>
      <w:hyperlink r:id="rId21" w:history="1">
        <w:r w:rsidR="00390B30" w:rsidRPr="00642E0A">
          <w:rPr>
            <w:rStyle w:val="Hyperlink"/>
            <w:b/>
            <w:i/>
            <w:sz w:val="24"/>
          </w:rPr>
          <w:t>Healthy and safe by design</w:t>
        </w:r>
      </w:hyperlink>
    </w:p>
    <w:p w:rsidR="00390B30" w:rsidRPr="00145652" w:rsidRDefault="00390B30" w:rsidP="00145652">
      <w:pPr>
        <w:pStyle w:val="Heading3"/>
      </w:pPr>
      <w:r w:rsidRPr="00145652">
        <w:t xml:space="preserve">Why is the design of structures, plant and substances important? </w:t>
      </w:r>
    </w:p>
    <w:p w:rsidR="00390B30" w:rsidRPr="00390B30" w:rsidRDefault="00390B30" w:rsidP="00390B30">
      <w:pPr>
        <w:tabs>
          <w:tab w:val="left" w:pos="966"/>
        </w:tabs>
      </w:pPr>
      <w:r w:rsidRPr="00390B30">
        <w:t xml:space="preserve">In 2012-13 vehicle collisions, being hit by moving or falling objects and falls from heights remained the most common cause of worker death and traumatic injuries in Australia. </w:t>
      </w:r>
    </w:p>
    <w:p w:rsidR="00390B30" w:rsidRPr="00390B30" w:rsidRDefault="00390B30" w:rsidP="00390B30">
      <w:pPr>
        <w:tabs>
          <w:tab w:val="left" w:pos="966"/>
        </w:tabs>
      </w:pPr>
      <w:r w:rsidRPr="00390B30">
        <w:t xml:space="preserve">The most effective and durable means of creating a healthy and safe working environment is to eliminate hazards and risks during the design of new plant, structures, substances and technology and of jobs, processes and systems. Design processes need to take into account hazards and risks that may be present at all stages of the lifecycle of structures, plant, products and substances. </w:t>
      </w:r>
    </w:p>
    <w:p w:rsidR="00390B30" w:rsidRPr="00390B30" w:rsidRDefault="00390B30" w:rsidP="00145652">
      <w:pPr>
        <w:pStyle w:val="Heading3"/>
      </w:pPr>
      <w:r w:rsidRPr="00390B30">
        <w:t xml:space="preserve">What is being done? </w:t>
      </w:r>
    </w:p>
    <w:p w:rsidR="00390B30" w:rsidRPr="00390B30" w:rsidRDefault="00FF3DD9" w:rsidP="008F497E">
      <w:pPr>
        <w:tabs>
          <w:tab w:val="left" w:pos="0"/>
          <w:tab w:val="left" w:pos="966"/>
          <w:tab w:val="right" w:leader="dot" w:pos="9062"/>
        </w:tabs>
        <w:spacing w:before="120"/>
        <w:rPr>
          <w:rFonts w:eastAsia="Batang"/>
        </w:rPr>
      </w:pPr>
      <w:r w:rsidRPr="00390B30">
        <w:rPr>
          <w:rFonts w:eastAsia="Batang"/>
        </w:rPr>
        <w:t>S</w:t>
      </w:r>
      <w:r>
        <w:rPr>
          <w:rFonts w:eastAsia="Batang"/>
        </w:rPr>
        <w:t>afe Work Australia</w:t>
      </w:r>
      <w:r w:rsidRPr="00390B30">
        <w:rPr>
          <w:rFonts w:eastAsia="Batang"/>
        </w:rPr>
        <w:t xml:space="preserve"> </w:t>
      </w:r>
      <w:r w:rsidR="00390B30" w:rsidRPr="00390B30">
        <w:rPr>
          <w:rFonts w:eastAsia="Batang"/>
        </w:rPr>
        <w:t xml:space="preserve">has undertaken a range of activities designed to increase awareness and knowledge of the importance of good design. </w:t>
      </w:r>
      <w:r>
        <w:rPr>
          <w:rFonts w:eastAsia="Batang"/>
        </w:rPr>
        <w:t xml:space="preserve">Safe Work Australia </w:t>
      </w:r>
      <w:r w:rsidR="008F497E">
        <w:rPr>
          <w:rFonts w:eastAsia="Batang"/>
        </w:rPr>
        <w:t>is revising</w:t>
      </w:r>
      <w:r w:rsidR="00390B30" w:rsidRPr="00390B30">
        <w:rPr>
          <w:rFonts w:eastAsia="Batang"/>
        </w:rPr>
        <w:t xml:space="preserve"> the </w:t>
      </w:r>
      <w:r w:rsidR="00390B30" w:rsidRPr="00390B30">
        <w:rPr>
          <w:rFonts w:eastAsia="Batang"/>
          <w:i/>
        </w:rPr>
        <w:t>Guidance on the principles of safe design at work</w:t>
      </w:r>
      <w:r w:rsidR="00390B30" w:rsidRPr="00390B30">
        <w:rPr>
          <w:rFonts w:eastAsia="Batang"/>
        </w:rPr>
        <w:t xml:space="preserve"> (</w:t>
      </w:r>
      <w:proofErr w:type="spellStart"/>
      <w:r w:rsidR="00390B30" w:rsidRPr="00390B30">
        <w:rPr>
          <w:rFonts w:eastAsia="Batang"/>
        </w:rPr>
        <w:t>ASCC</w:t>
      </w:r>
      <w:proofErr w:type="spellEnd"/>
      <w:r w:rsidR="00390B30" w:rsidRPr="00390B30">
        <w:rPr>
          <w:rFonts w:eastAsia="Batang"/>
        </w:rPr>
        <w:t xml:space="preserve">, 2006) and </w:t>
      </w:r>
      <w:r w:rsidR="00390B30" w:rsidRPr="00C253FB">
        <w:rPr>
          <w:rFonts w:eastAsia="Batang"/>
          <w:i/>
          <w:iCs/>
        </w:rPr>
        <w:t>Safe</w:t>
      </w:r>
      <w:r w:rsidR="00390B30" w:rsidRPr="00390B30">
        <w:rPr>
          <w:rFonts w:eastAsia="Batang"/>
          <w:i/>
        </w:rPr>
        <w:t xml:space="preserve"> Design for Engineering Students</w:t>
      </w:r>
      <w:r w:rsidR="00390B30" w:rsidRPr="00390B30">
        <w:rPr>
          <w:rFonts w:eastAsia="Batang"/>
        </w:rPr>
        <w:t xml:space="preserve"> (</w:t>
      </w:r>
      <w:proofErr w:type="spellStart"/>
      <w:r w:rsidR="00390B30" w:rsidRPr="00390B30">
        <w:rPr>
          <w:rFonts w:eastAsia="Batang"/>
        </w:rPr>
        <w:t>ASCC</w:t>
      </w:r>
      <w:proofErr w:type="spellEnd"/>
      <w:r w:rsidR="00390B30" w:rsidRPr="00390B30">
        <w:rPr>
          <w:rFonts w:eastAsia="Batang"/>
        </w:rPr>
        <w:t xml:space="preserve"> 2006) documents to reflect requirements under the model </w:t>
      </w:r>
      <w:r w:rsidR="00E94491">
        <w:rPr>
          <w:rFonts w:eastAsia="Batang"/>
        </w:rPr>
        <w:t>WHS</w:t>
      </w:r>
      <w:r w:rsidR="00E235CB">
        <w:rPr>
          <w:rFonts w:eastAsia="Batang"/>
        </w:rPr>
        <w:t xml:space="preserve"> </w:t>
      </w:r>
      <w:r w:rsidR="00390B30" w:rsidRPr="00390B30">
        <w:rPr>
          <w:rFonts w:eastAsia="Batang"/>
        </w:rPr>
        <w:t>legislation.</w:t>
      </w:r>
    </w:p>
    <w:p w:rsidR="00390B30" w:rsidRPr="00390B30" w:rsidRDefault="00390B30" w:rsidP="00390B30">
      <w:pPr>
        <w:tabs>
          <w:tab w:val="left" w:pos="0"/>
          <w:tab w:val="left" w:pos="966"/>
          <w:tab w:val="right" w:leader="dot" w:pos="9062"/>
        </w:tabs>
        <w:spacing w:before="120"/>
        <w:rPr>
          <w:rFonts w:eastAsia="Batang"/>
        </w:rPr>
      </w:pPr>
      <w:r w:rsidRPr="00390B30">
        <w:rPr>
          <w:rFonts w:eastAsia="Batang"/>
        </w:rPr>
        <w:t xml:space="preserve">Plant and equipment designs need to suit workers’ size and shape. Previous research has shown Australia does not have this information. The report </w:t>
      </w:r>
      <w:hyperlink r:id="rId22" w:history="1">
        <w:r w:rsidRPr="00390B30">
          <w:rPr>
            <w:rFonts w:eastAsia="Batang"/>
            <w:i/>
            <w:color w:val="0000FF"/>
            <w:u w:val="single"/>
          </w:rPr>
          <w:t>Defining the method and scientific parameters for the Australian Body Sizing Survey</w:t>
        </w:r>
      </w:hyperlink>
      <w:r w:rsidRPr="00390B30">
        <w:rPr>
          <w:rFonts w:eastAsia="Batang"/>
        </w:rPr>
        <w:t xml:space="preserve"> has created international interest and is an important next step to collecting this information.</w:t>
      </w:r>
    </w:p>
    <w:p w:rsidR="00390B30" w:rsidRPr="00390B30" w:rsidRDefault="00390B30" w:rsidP="00390B30">
      <w:pPr>
        <w:tabs>
          <w:tab w:val="left" w:pos="966"/>
          <w:tab w:val="decimal" w:pos="5529"/>
          <w:tab w:val="decimal" w:pos="8931"/>
        </w:tabs>
      </w:pPr>
      <w:r w:rsidRPr="00390B30">
        <w:t xml:space="preserve">The </w:t>
      </w:r>
      <w:r w:rsidR="00E94491">
        <w:t>WHS</w:t>
      </w:r>
      <w:r w:rsidR="00E235CB" w:rsidRPr="00390B30">
        <w:t xml:space="preserve"> </w:t>
      </w:r>
      <w:r w:rsidRPr="00390B30">
        <w:t>regulators have continued their historically strong focus on promoting better understanding by designers, manufacturers, importers and suppliers of their legal obligations.</w:t>
      </w:r>
    </w:p>
    <w:p w:rsidR="00390B30" w:rsidRPr="00A04AE1" w:rsidRDefault="00390B30" w:rsidP="00390B30">
      <w:pPr>
        <w:tabs>
          <w:tab w:val="left" w:pos="966"/>
          <w:tab w:val="decimal" w:pos="5529"/>
          <w:tab w:val="decimal" w:pos="8931"/>
        </w:tabs>
        <w:rPr>
          <w:i/>
          <w:color w:val="0000FF"/>
          <w:u w:val="single"/>
        </w:rPr>
      </w:pPr>
      <w:r w:rsidRPr="00390B30">
        <w:t>NSW funded $</w:t>
      </w:r>
      <w:proofErr w:type="spellStart"/>
      <w:r w:rsidRPr="00390B30">
        <w:t>1.3m</w:t>
      </w:r>
      <w:proofErr w:type="spellEnd"/>
      <w:r w:rsidRPr="00390B30">
        <w:t xml:space="preserve"> for world-first research on the dynamic handling testing of quad </w:t>
      </w:r>
      <w:r w:rsidRPr="00390B30">
        <w:lastRenderedPageBreak/>
        <w:t>bikes in their</w:t>
      </w:r>
      <w:r w:rsidRPr="00390B30">
        <w:rPr>
          <w:rFonts w:asciiTheme="majorHAnsi" w:eastAsiaTheme="majorEastAsia" w:hAnsiTheme="majorHAnsi" w:cstheme="majorBidi"/>
          <w:bCs/>
          <w:i/>
          <w:iCs/>
        </w:rPr>
        <w:t xml:space="preserve"> </w:t>
      </w:r>
      <w:hyperlink r:id="rId23" w:history="1">
        <w:r w:rsidR="00832968" w:rsidRPr="00B340D0">
          <w:rPr>
            <w:rStyle w:val="Hyperlink"/>
            <w:rFonts w:asciiTheme="majorHAnsi" w:eastAsiaTheme="majorEastAsia" w:hAnsiTheme="majorHAnsi" w:cstheme="majorBidi"/>
            <w:bCs/>
            <w:i/>
            <w:iCs/>
          </w:rPr>
          <w:t>Quad Bike Safety Research Project</w:t>
        </w:r>
        <w:r w:rsidR="00832968" w:rsidRPr="00B340D0">
          <w:rPr>
            <w:rStyle w:val="Hyperlink"/>
          </w:rPr>
          <w:t>.</w:t>
        </w:r>
      </w:hyperlink>
    </w:p>
    <w:p w:rsidR="00390B30" w:rsidRPr="00390B30" w:rsidRDefault="004B5D98" w:rsidP="00390B30">
      <w:pPr>
        <w:tabs>
          <w:tab w:val="left" w:pos="966"/>
          <w:tab w:val="decimal" w:pos="5529"/>
          <w:tab w:val="decimal" w:pos="8931"/>
        </w:tabs>
      </w:pPr>
      <w:hyperlink r:id="rId24" w:history="1">
        <w:r w:rsidR="00832968" w:rsidRPr="00902F6E">
          <w:rPr>
            <w:rStyle w:val="Hyperlink"/>
            <w:i/>
          </w:rPr>
          <w:t>Townsville Hospital’s Redevelopment Project - Safer Manual Handling of Plasterboard</w:t>
        </w:r>
      </w:hyperlink>
      <w:r w:rsidR="00390B30" w:rsidRPr="00A04AE1">
        <w:rPr>
          <w:color w:val="0000FF"/>
        </w:rPr>
        <w:t xml:space="preserve"> </w:t>
      </w:r>
      <w:r w:rsidR="00390B30" w:rsidRPr="00390B30">
        <w:t>campaign has resulted in a 25</w:t>
      </w:r>
      <w:r w:rsidR="008F497E">
        <w:t>–</w:t>
      </w:r>
      <w:r w:rsidR="00390B30" w:rsidRPr="00390B30">
        <w:t>30</w:t>
      </w:r>
      <w:r w:rsidR="008F497E">
        <w:t xml:space="preserve"> per cent</w:t>
      </w:r>
      <w:r w:rsidR="00390B30" w:rsidRPr="00390B30">
        <w:t xml:space="preserve"> </w:t>
      </w:r>
      <w:r w:rsidR="00390B30" w:rsidRPr="00390B30">
        <w:rPr>
          <w:rFonts w:eastAsia="Batang"/>
        </w:rPr>
        <w:t>productivity</w:t>
      </w:r>
      <w:r w:rsidR="00390B30" w:rsidRPr="00390B30">
        <w:t xml:space="preserve"> increase by creating safer workplaces. </w:t>
      </w:r>
    </w:p>
    <w:p w:rsidR="00390B30" w:rsidRPr="00390B30" w:rsidRDefault="00390B30" w:rsidP="00145652">
      <w:pPr>
        <w:pStyle w:val="Heading3"/>
      </w:pPr>
      <w:r w:rsidRPr="00390B30">
        <w:t xml:space="preserve">Why is the design of work important? </w:t>
      </w:r>
    </w:p>
    <w:p w:rsidR="00390B30" w:rsidRPr="00390B30" w:rsidRDefault="00390B30" w:rsidP="00390B30">
      <w:pPr>
        <w:tabs>
          <w:tab w:val="left" w:pos="966"/>
        </w:tabs>
      </w:pPr>
      <w:r w:rsidRPr="00390B30">
        <w:t>Exposure to biomechanical</w:t>
      </w:r>
      <w:r w:rsidR="008F497E">
        <w:t xml:space="preserve"> hazards</w:t>
      </w:r>
      <w:r w:rsidRPr="00390B30">
        <w:t xml:space="preserve">, physical risks and mental stress continue to be the leading cause of musculoskeletal injuries and mental disorders. </w:t>
      </w:r>
    </w:p>
    <w:p w:rsidR="00390B30" w:rsidRPr="00390B30" w:rsidRDefault="00390B30" w:rsidP="00390B30">
      <w:pPr>
        <w:tabs>
          <w:tab w:val="left" w:pos="966"/>
        </w:tabs>
      </w:pPr>
      <w:r w:rsidRPr="00390B30">
        <w:t>Good design can eliminate or minimise the major physical, biomechanical and psychosocial hazards and risks associated with work. Effective design of the overall system of work will take into account, for example</w:t>
      </w:r>
      <w:r w:rsidR="008F497E">
        <w:t>,</w:t>
      </w:r>
      <w:r w:rsidRPr="00390B30">
        <w:t xml:space="preserve"> management practices, work processes, schedules, tasks and workstation design.</w:t>
      </w:r>
    </w:p>
    <w:p w:rsidR="00390B30" w:rsidRPr="00390B30" w:rsidRDefault="00390B30" w:rsidP="00145652">
      <w:pPr>
        <w:pStyle w:val="Heading3"/>
      </w:pPr>
      <w:r w:rsidRPr="00390B30">
        <w:t xml:space="preserve">What is being done? </w:t>
      </w:r>
    </w:p>
    <w:p w:rsidR="00390B30" w:rsidRPr="00390B30" w:rsidRDefault="00390B30" w:rsidP="00390B30">
      <w:pPr>
        <w:tabs>
          <w:tab w:val="left" w:pos="0"/>
          <w:tab w:val="left" w:pos="966"/>
          <w:tab w:val="right" w:leader="dot" w:pos="9062"/>
        </w:tabs>
        <w:spacing w:before="120"/>
        <w:rPr>
          <w:rFonts w:asciiTheme="minorHAnsi" w:eastAsiaTheme="majorEastAsia" w:hAnsiTheme="minorHAnsi" w:cstheme="minorHAnsi"/>
          <w:bCs/>
          <w:kern w:val="28"/>
          <w:lang w:eastAsia="en-US"/>
        </w:rPr>
      </w:pPr>
      <w:r w:rsidRPr="000D6167">
        <w:rPr>
          <w:rFonts w:asciiTheme="minorHAnsi" w:eastAsiaTheme="majorEastAsia" w:hAnsiTheme="minorHAnsi" w:cstheme="minorHAnsi"/>
          <w:bCs/>
          <w:kern w:val="28"/>
          <w:lang w:eastAsia="en-US"/>
        </w:rPr>
        <w:t>S</w:t>
      </w:r>
      <w:r w:rsidR="00FF3DD9" w:rsidRPr="000D6167">
        <w:rPr>
          <w:rFonts w:asciiTheme="minorHAnsi" w:eastAsiaTheme="majorEastAsia" w:hAnsiTheme="minorHAnsi" w:cstheme="minorHAnsi"/>
          <w:bCs/>
          <w:kern w:val="28"/>
          <w:lang w:eastAsia="en-US"/>
        </w:rPr>
        <w:t xml:space="preserve">afe </w:t>
      </w:r>
      <w:r w:rsidRPr="000D6167">
        <w:rPr>
          <w:rFonts w:asciiTheme="minorHAnsi" w:eastAsiaTheme="majorEastAsia" w:hAnsiTheme="minorHAnsi" w:cstheme="minorHAnsi"/>
          <w:bCs/>
          <w:kern w:val="28"/>
          <w:lang w:eastAsia="en-US"/>
        </w:rPr>
        <w:t>W</w:t>
      </w:r>
      <w:r w:rsidR="00FF3DD9" w:rsidRPr="000D6167">
        <w:rPr>
          <w:rFonts w:asciiTheme="minorHAnsi" w:eastAsiaTheme="majorEastAsia" w:hAnsiTheme="minorHAnsi" w:cstheme="minorHAnsi"/>
          <w:bCs/>
          <w:kern w:val="28"/>
          <w:lang w:eastAsia="en-US"/>
        </w:rPr>
        <w:t xml:space="preserve">ork </w:t>
      </w:r>
      <w:r w:rsidRPr="000D6167">
        <w:rPr>
          <w:rFonts w:asciiTheme="minorHAnsi" w:eastAsiaTheme="majorEastAsia" w:hAnsiTheme="minorHAnsi" w:cstheme="minorHAnsi"/>
          <w:bCs/>
          <w:kern w:val="28"/>
          <w:lang w:eastAsia="en-US"/>
        </w:rPr>
        <w:t>A</w:t>
      </w:r>
      <w:r w:rsidR="00FF3DD9" w:rsidRPr="000D6167">
        <w:rPr>
          <w:rFonts w:asciiTheme="minorHAnsi" w:eastAsiaTheme="majorEastAsia" w:hAnsiTheme="minorHAnsi" w:cstheme="minorHAnsi"/>
          <w:bCs/>
          <w:kern w:val="28"/>
          <w:lang w:eastAsia="en-US"/>
        </w:rPr>
        <w:t>ustralia</w:t>
      </w:r>
      <w:r w:rsidRPr="000D6167">
        <w:rPr>
          <w:rFonts w:asciiTheme="minorHAnsi" w:eastAsiaTheme="majorEastAsia" w:hAnsiTheme="minorHAnsi" w:cstheme="minorHAnsi"/>
          <w:bCs/>
          <w:kern w:val="28"/>
          <w:lang w:eastAsia="en-US"/>
        </w:rPr>
        <w:t xml:space="preserve"> Members</w:t>
      </w:r>
      <w:r w:rsidRPr="00390B30">
        <w:rPr>
          <w:rFonts w:asciiTheme="minorHAnsi" w:eastAsiaTheme="minorHAnsi" w:hAnsiTheme="minorHAnsi" w:cstheme="minorHAnsi"/>
          <w:lang w:eastAsia="en-US"/>
        </w:rPr>
        <w:t xml:space="preserve"> have begun t</w:t>
      </w:r>
      <w:r w:rsidRPr="00390B30">
        <w:rPr>
          <w:rFonts w:asciiTheme="minorHAnsi" w:eastAsiaTheme="majorEastAsia" w:hAnsiTheme="minorHAnsi" w:cstheme="minorHAnsi"/>
          <w:bCs/>
          <w:kern w:val="28"/>
          <w:lang w:eastAsia="en-US"/>
        </w:rPr>
        <w:t xml:space="preserve">he first phase of the </w:t>
      </w:r>
      <w:r w:rsidR="000D4F1D" w:rsidRPr="00A04AE1">
        <w:rPr>
          <w:rFonts w:eastAsiaTheme="minorHAnsi" w:cstheme="minorBidi"/>
          <w:i/>
          <w:szCs w:val="24"/>
        </w:rPr>
        <w:t xml:space="preserve">Good Work </w:t>
      </w:r>
      <w:proofErr w:type="gramStart"/>
      <w:r w:rsidR="000D4F1D" w:rsidRPr="00A04AE1">
        <w:rPr>
          <w:rFonts w:eastAsiaTheme="minorHAnsi" w:cstheme="minorBidi"/>
          <w:i/>
          <w:szCs w:val="24"/>
        </w:rPr>
        <w:t>Th</w:t>
      </w:r>
      <w:r w:rsidR="00214916">
        <w:rPr>
          <w:rFonts w:eastAsiaTheme="minorHAnsi" w:cstheme="minorBidi"/>
          <w:i/>
          <w:szCs w:val="24"/>
        </w:rPr>
        <w:t>r</w:t>
      </w:r>
      <w:r w:rsidR="000D4F1D" w:rsidRPr="00A04AE1">
        <w:rPr>
          <w:rFonts w:eastAsiaTheme="minorHAnsi" w:cstheme="minorBidi"/>
          <w:i/>
          <w:szCs w:val="24"/>
        </w:rPr>
        <w:t>ough</w:t>
      </w:r>
      <w:proofErr w:type="gramEnd"/>
      <w:r w:rsidR="000D4F1D" w:rsidRPr="00A04AE1">
        <w:rPr>
          <w:rFonts w:eastAsiaTheme="minorHAnsi" w:cstheme="minorBidi"/>
          <w:i/>
          <w:szCs w:val="24"/>
        </w:rPr>
        <w:t xml:space="preserve"> Effective Design</w:t>
      </w:r>
      <w:r w:rsidRPr="00A04AE1">
        <w:rPr>
          <w:rFonts w:eastAsiaTheme="minorHAnsi" w:cstheme="minorBidi"/>
          <w:szCs w:val="24"/>
        </w:rPr>
        <w:t xml:space="preserve"> </w:t>
      </w:r>
      <w:r w:rsidRPr="00390B30">
        <w:rPr>
          <w:rFonts w:asciiTheme="minorHAnsi" w:eastAsiaTheme="majorEastAsia" w:hAnsiTheme="minorHAnsi" w:cstheme="minorHAnsi"/>
          <w:bCs/>
          <w:kern w:val="28"/>
          <w:lang w:eastAsia="en-US"/>
        </w:rPr>
        <w:t xml:space="preserve">project by examining the major physical, biomechanical and psychosocial hazards and risks that need to be considered during work design.  </w:t>
      </w:r>
    </w:p>
    <w:p w:rsidR="00390B30" w:rsidRPr="00390B30" w:rsidRDefault="004B5D98" w:rsidP="00390B30">
      <w:pPr>
        <w:tabs>
          <w:tab w:val="left" w:pos="966"/>
          <w:tab w:val="decimal" w:pos="5529"/>
          <w:tab w:val="decimal" w:pos="8931"/>
        </w:tabs>
        <w:rPr>
          <w:rFonts w:asciiTheme="minorHAnsi" w:hAnsiTheme="minorHAnsi" w:cstheme="minorHAnsi"/>
          <w:lang w:val="en"/>
        </w:rPr>
      </w:pPr>
      <w:hyperlink r:id="rId25" w:history="1">
        <w:r w:rsidR="00390B30" w:rsidRPr="00A04AE1">
          <w:rPr>
            <w:rFonts w:asciiTheme="minorHAnsi" w:eastAsiaTheme="majorEastAsia" w:hAnsiTheme="minorHAnsi" w:cstheme="minorHAnsi"/>
            <w:bCs/>
            <w:i/>
            <w:color w:val="0000FF"/>
            <w:kern w:val="28"/>
            <w:u w:val="single"/>
            <w:lang w:eastAsia="en-US"/>
          </w:rPr>
          <w:t>Working Together: Promoting Mental Health and Wellbeing at Work Guide</w:t>
        </w:r>
      </w:hyperlink>
      <w:r w:rsidR="00390B30" w:rsidRPr="00390B30">
        <w:rPr>
          <w:rFonts w:asciiTheme="minorHAnsi" w:hAnsiTheme="minorHAnsi" w:cstheme="minorHAnsi"/>
          <w:i/>
        </w:rPr>
        <w:t xml:space="preserve"> </w:t>
      </w:r>
      <w:r w:rsidR="00390B30" w:rsidRPr="00390B30">
        <w:rPr>
          <w:rFonts w:asciiTheme="minorHAnsi" w:hAnsiTheme="minorHAnsi" w:cstheme="minorHAnsi"/>
        </w:rPr>
        <w:t xml:space="preserve">developed by </w:t>
      </w:r>
      <w:proofErr w:type="spellStart"/>
      <w:r w:rsidR="00390B30" w:rsidRPr="00390B30">
        <w:rPr>
          <w:rFonts w:asciiTheme="minorHAnsi" w:hAnsiTheme="minorHAnsi" w:cstheme="minorHAnsi"/>
        </w:rPr>
        <w:t>Comcare</w:t>
      </w:r>
      <w:proofErr w:type="spellEnd"/>
      <w:r w:rsidR="00390B30" w:rsidRPr="00390B30">
        <w:rPr>
          <w:rFonts w:asciiTheme="minorHAnsi" w:hAnsiTheme="minorHAnsi" w:cstheme="minorHAnsi"/>
        </w:rPr>
        <w:t xml:space="preserve">, the </w:t>
      </w:r>
      <w:hyperlink r:id="rId26" w:history="1">
        <w:proofErr w:type="spellStart"/>
        <w:r w:rsidR="00390B30" w:rsidRPr="00390B30">
          <w:rPr>
            <w:rFonts w:asciiTheme="minorHAnsi" w:hAnsiTheme="minorHAnsi" w:cstheme="minorHAnsi"/>
            <w:color w:val="0000FF"/>
            <w:u w:val="single"/>
          </w:rPr>
          <w:t>APSC</w:t>
        </w:r>
        <w:proofErr w:type="spellEnd"/>
      </w:hyperlink>
      <w:r w:rsidR="00390B30" w:rsidRPr="00390B30">
        <w:rPr>
          <w:rFonts w:asciiTheme="minorHAnsi" w:hAnsiTheme="minorHAnsi" w:cstheme="minorHAnsi"/>
        </w:rPr>
        <w:t xml:space="preserve"> and S</w:t>
      </w:r>
      <w:r w:rsidR="00E235CB">
        <w:rPr>
          <w:rFonts w:asciiTheme="minorHAnsi" w:hAnsiTheme="minorHAnsi" w:cstheme="minorHAnsi"/>
        </w:rPr>
        <w:t xml:space="preserve">afe </w:t>
      </w:r>
      <w:r w:rsidR="00390B30" w:rsidRPr="00390B30">
        <w:rPr>
          <w:rFonts w:asciiTheme="minorHAnsi" w:hAnsiTheme="minorHAnsi" w:cstheme="minorHAnsi"/>
        </w:rPr>
        <w:t>W</w:t>
      </w:r>
      <w:r w:rsidR="00E235CB">
        <w:rPr>
          <w:rFonts w:asciiTheme="minorHAnsi" w:hAnsiTheme="minorHAnsi" w:cstheme="minorHAnsi"/>
        </w:rPr>
        <w:t xml:space="preserve">ork </w:t>
      </w:r>
      <w:r w:rsidR="00390B30" w:rsidRPr="00390B30">
        <w:rPr>
          <w:rFonts w:asciiTheme="minorHAnsi" w:hAnsiTheme="minorHAnsi" w:cstheme="minorHAnsi"/>
        </w:rPr>
        <w:t>A</w:t>
      </w:r>
      <w:r w:rsidR="00E235CB">
        <w:rPr>
          <w:rFonts w:asciiTheme="minorHAnsi" w:hAnsiTheme="minorHAnsi" w:cstheme="minorHAnsi"/>
        </w:rPr>
        <w:t>ustralia</w:t>
      </w:r>
      <w:r w:rsidR="00390B30" w:rsidRPr="00390B30">
        <w:rPr>
          <w:rFonts w:asciiTheme="minorHAnsi" w:hAnsiTheme="minorHAnsi" w:cstheme="minorHAnsi"/>
        </w:rPr>
        <w:t xml:space="preserve"> provides practical advice for managers</w:t>
      </w:r>
      <w:r w:rsidR="00390B30" w:rsidRPr="00390B30">
        <w:rPr>
          <w:rFonts w:asciiTheme="minorHAnsi" w:hAnsiTheme="minorHAnsi" w:cstheme="minorHAnsi"/>
          <w:lang w:val="en"/>
        </w:rPr>
        <w:t xml:space="preserve"> </w:t>
      </w:r>
      <w:r w:rsidR="00390B30" w:rsidRPr="00390B30">
        <w:t>and</w:t>
      </w:r>
      <w:r w:rsidR="00390B30" w:rsidRPr="00390B30">
        <w:rPr>
          <w:rFonts w:asciiTheme="minorHAnsi" w:hAnsiTheme="minorHAnsi" w:cstheme="minorHAnsi"/>
          <w:lang w:val="en"/>
        </w:rPr>
        <w:t xml:space="preserve"> workers. </w:t>
      </w:r>
    </w:p>
    <w:p w:rsidR="00390B30" w:rsidRPr="00390B30" w:rsidRDefault="00390B30" w:rsidP="00390B30">
      <w:pPr>
        <w:tabs>
          <w:tab w:val="left" w:pos="0"/>
          <w:tab w:val="left" w:pos="966"/>
          <w:tab w:val="right" w:leader="dot" w:pos="9062"/>
        </w:tabs>
        <w:spacing w:before="120"/>
        <w:rPr>
          <w:rFonts w:cs="Arial"/>
          <w:color w:val="464646"/>
          <w:sz w:val="19"/>
          <w:szCs w:val="19"/>
        </w:rPr>
      </w:pPr>
      <w:r w:rsidRPr="00390B30">
        <w:rPr>
          <w:rFonts w:asciiTheme="minorHAnsi" w:eastAsiaTheme="minorHAnsi" w:hAnsiTheme="minorHAnsi" w:cstheme="minorHAnsi"/>
          <w:lang w:eastAsia="en-US"/>
        </w:rPr>
        <w:t xml:space="preserve">The </w:t>
      </w:r>
      <w:hyperlink r:id="rId27" w:history="1">
        <w:proofErr w:type="spellStart"/>
        <w:r w:rsidRPr="00A04AE1">
          <w:rPr>
            <w:rFonts w:asciiTheme="minorHAnsi" w:eastAsiaTheme="minorHAnsi" w:hAnsiTheme="minorHAnsi" w:cstheme="minorHAnsi"/>
            <w:i/>
            <w:color w:val="0000FF"/>
            <w:u w:val="single"/>
            <w:lang w:eastAsia="en-US"/>
          </w:rPr>
          <w:t>People@Work</w:t>
        </w:r>
        <w:proofErr w:type="spellEnd"/>
      </w:hyperlink>
      <w:r w:rsidRPr="005E0436">
        <w:rPr>
          <w:rFonts w:asciiTheme="minorHAnsi" w:eastAsiaTheme="minorHAnsi" w:hAnsiTheme="minorHAnsi" w:cstheme="minorHAnsi"/>
          <w:color w:val="C00000"/>
          <w:lang w:eastAsia="en-US"/>
        </w:rPr>
        <w:t xml:space="preserve"> </w:t>
      </w:r>
      <w:r w:rsidRPr="00390B30">
        <w:rPr>
          <w:rFonts w:asciiTheme="minorHAnsi" w:eastAsiaTheme="minorHAnsi" w:hAnsiTheme="minorHAnsi" w:cstheme="minorHAnsi"/>
          <w:lang w:eastAsia="en-US"/>
        </w:rPr>
        <w:t xml:space="preserve">collaborative research partnership </w:t>
      </w:r>
      <w:r w:rsidRPr="00390B30">
        <w:rPr>
          <w:rFonts w:eastAsia="Batang"/>
        </w:rPr>
        <w:t xml:space="preserve">aims to increase the capacity of employers to identify and manage psychosocial risks and test the effectiveness of interventions designed to </w:t>
      </w:r>
      <w:r w:rsidRPr="00390B30">
        <w:rPr>
          <w:rFonts w:asciiTheme="minorHAnsi" w:hAnsiTheme="minorHAnsi" w:cstheme="minorHAnsi"/>
        </w:rPr>
        <w:t>improve</w:t>
      </w:r>
      <w:r w:rsidRPr="00390B30">
        <w:rPr>
          <w:rFonts w:eastAsia="Batang"/>
        </w:rPr>
        <w:t xml:space="preserve"> the psychosocial working environment.</w:t>
      </w:r>
      <w:r w:rsidRPr="00390B30">
        <w:rPr>
          <w:rFonts w:cs="Arial"/>
          <w:color w:val="464646"/>
          <w:sz w:val="19"/>
          <w:szCs w:val="19"/>
        </w:rPr>
        <w:t xml:space="preserve"> </w:t>
      </w:r>
    </w:p>
    <w:p w:rsidR="00D8278D" w:rsidRDefault="00390B30" w:rsidP="00390B30">
      <w:pPr>
        <w:tabs>
          <w:tab w:val="left" w:pos="0"/>
          <w:tab w:val="left" w:pos="966"/>
          <w:tab w:val="right" w:leader="dot" w:pos="9062"/>
        </w:tabs>
        <w:spacing w:before="120"/>
        <w:rPr>
          <w:rFonts w:eastAsiaTheme="minorHAnsi"/>
        </w:rPr>
      </w:pPr>
      <w:proofErr w:type="spellStart"/>
      <w:r w:rsidRPr="00390B30">
        <w:rPr>
          <w:rFonts w:asciiTheme="minorHAnsi" w:eastAsiaTheme="minorHAnsi" w:hAnsiTheme="minorHAnsi" w:cstheme="minorHAnsi"/>
          <w:lang w:eastAsia="en-US"/>
        </w:rPr>
        <w:t>Comcare’s</w:t>
      </w:r>
      <w:proofErr w:type="spellEnd"/>
      <w:r w:rsidRPr="00390B30">
        <w:rPr>
          <w:rFonts w:asciiTheme="minorHAnsi" w:eastAsiaTheme="minorHAnsi" w:hAnsiTheme="minorHAnsi" w:cstheme="minorHAnsi"/>
          <w:lang w:eastAsia="en-US"/>
        </w:rPr>
        <w:t xml:space="preserve"> </w:t>
      </w:r>
      <w:hyperlink r:id="rId28" w:history="1">
        <w:r w:rsidR="000D4F1D" w:rsidRPr="00EC6BF9">
          <w:rPr>
            <w:rStyle w:val="Hyperlink"/>
            <w:i/>
          </w:rPr>
          <w:t>Remote Worker</w:t>
        </w:r>
      </w:hyperlink>
      <w:r w:rsidR="00287B06" w:rsidRPr="000D6167">
        <w:rPr>
          <w:i/>
          <w:color w:val="C00000"/>
          <w:u w:val="single"/>
        </w:rPr>
        <w:t xml:space="preserve"> </w:t>
      </w:r>
      <w:r w:rsidRPr="00390B30">
        <w:rPr>
          <w:rFonts w:eastAsiaTheme="minorHAnsi"/>
        </w:rPr>
        <w:t xml:space="preserve">project is showing how good job design and </w:t>
      </w:r>
      <w:r w:rsidRPr="00390B30">
        <w:rPr>
          <w:rFonts w:eastAsia="Batang"/>
        </w:rPr>
        <w:t>management</w:t>
      </w:r>
      <w:r w:rsidRPr="00390B30">
        <w:rPr>
          <w:rFonts w:eastAsiaTheme="minorHAnsi"/>
        </w:rPr>
        <w:t xml:space="preserve"> can improve the safety and welfare of workers in outback Australia.</w:t>
      </w:r>
      <w:r w:rsidR="00D8278D" w:rsidRPr="00D8278D">
        <w:rPr>
          <w:noProof/>
        </w:rPr>
        <w:t xml:space="preserve"> </w:t>
      </w:r>
    </w:p>
    <w:p w:rsidR="00D01011" w:rsidRPr="004358B4" w:rsidRDefault="00D01011" w:rsidP="00D01011">
      <w:pPr>
        <w:pStyle w:val="breakoutbox"/>
        <w:rPr>
          <w:b/>
          <w:i/>
        </w:rPr>
      </w:pPr>
      <w:r>
        <w:t>The f</w:t>
      </w:r>
      <w:r w:rsidRPr="004358B4">
        <w:t xml:space="preserve">irst Australia Safety and Compensation Council report (2004) considered work-related deaths that occurred in Australia between 1 July 2000 and 30 June 2002. Seventy-seven work-related deaths (37% of identified </w:t>
      </w:r>
      <w:r w:rsidRPr="00D01011">
        <w:t>workplace</w:t>
      </w:r>
      <w:r w:rsidRPr="004358B4">
        <w:t xml:space="preserve"> deaths) definitely or probably involved design–related issues were identified.</w:t>
      </w:r>
    </w:p>
    <w:p w:rsidR="00390B30" w:rsidRDefault="004B5D98" w:rsidP="00145652">
      <w:pPr>
        <w:pStyle w:val="Heading2"/>
        <w:rPr>
          <w:b/>
          <w:i/>
          <w:sz w:val="24"/>
          <w:highlight w:val="yellow"/>
        </w:rPr>
      </w:pPr>
      <w:hyperlink r:id="rId29" w:history="1">
        <w:bookmarkStart w:id="0" w:name="_Toc384372881"/>
        <w:r w:rsidR="00390B30" w:rsidRPr="00390B30">
          <w:rPr>
            <w:b/>
            <w:i/>
            <w:color w:val="0000FF"/>
            <w:sz w:val="24"/>
            <w:u w:val="single"/>
          </w:rPr>
          <w:t>Supply chains and networks</w:t>
        </w:r>
        <w:bookmarkEnd w:id="0"/>
      </w:hyperlink>
      <w:r w:rsidR="00390B30" w:rsidRPr="00390B30">
        <w:rPr>
          <w:b/>
          <w:i/>
          <w:sz w:val="24"/>
          <w:highlight w:val="yellow"/>
        </w:rPr>
        <w:t xml:space="preserve"> </w:t>
      </w:r>
    </w:p>
    <w:p w:rsidR="001E4BFD" w:rsidRPr="004358B4" w:rsidRDefault="001E4BFD" w:rsidP="0092122F">
      <w:pPr>
        <w:pStyle w:val="supplychains"/>
        <w:rPr>
          <w:b/>
          <w:i/>
        </w:rPr>
      </w:pPr>
      <w:r w:rsidRPr="004358B4">
        <w:rPr>
          <w:lang w:eastAsia="en-US"/>
        </w:rPr>
        <w:t xml:space="preserve">Supply chains and networks refers to the often complex chain or web of commercial or business </w:t>
      </w:r>
      <w:r w:rsidRPr="004358B4">
        <w:t>relationships</w:t>
      </w:r>
      <w:r w:rsidRPr="004358B4">
        <w:rPr>
          <w:lang w:eastAsia="en-US"/>
        </w:rPr>
        <w:t xml:space="preserve"> designed to provide goods </w:t>
      </w:r>
      <w:r w:rsidRPr="004358B4">
        <w:t>or</w:t>
      </w:r>
      <w:r w:rsidRPr="004358B4">
        <w:rPr>
          <w:lang w:eastAsia="en-US"/>
        </w:rPr>
        <w:t xml:space="preserve"> services like moving agricultural produce to a </w:t>
      </w:r>
      <w:r w:rsidRPr="001E4BFD">
        <w:t>supermarket</w:t>
      </w:r>
      <w:r w:rsidRPr="004358B4">
        <w:rPr>
          <w:lang w:eastAsia="en-US"/>
        </w:rPr>
        <w:t xml:space="preserve"> or car components to vehicle manufacturers</w:t>
      </w:r>
      <w:r>
        <w:rPr>
          <w:lang w:eastAsia="en-US"/>
        </w:rPr>
        <w:t>.</w:t>
      </w:r>
    </w:p>
    <w:p w:rsidR="001E4BFD" w:rsidRDefault="001E4BFD" w:rsidP="00145652">
      <w:pPr>
        <w:pStyle w:val="Heading3"/>
      </w:pPr>
    </w:p>
    <w:p w:rsidR="00390B30" w:rsidRPr="00BE2C00" w:rsidRDefault="00390B30" w:rsidP="00145652">
      <w:pPr>
        <w:pStyle w:val="Heading3"/>
      </w:pPr>
      <w:r w:rsidRPr="00390B30">
        <w:t xml:space="preserve">Why are supply chains and networks important? </w:t>
      </w:r>
    </w:p>
    <w:p w:rsidR="001E4BFD" w:rsidRDefault="00390B30" w:rsidP="00390B30">
      <w:pPr>
        <w:tabs>
          <w:tab w:val="left" w:pos="0"/>
          <w:tab w:val="left" w:pos="966"/>
          <w:tab w:val="right" w:leader="dot" w:pos="9062"/>
        </w:tabs>
        <w:spacing w:before="120"/>
      </w:pPr>
      <w:r w:rsidRPr="00390B30">
        <w:t>Supply chain arrangements can and do</w:t>
      </w:r>
    </w:p>
    <w:p w:rsidR="001E4BFD" w:rsidRPr="0092122F" w:rsidRDefault="001E4BFD" w:rsidP="0092122F">
      <w:pPr>
        <w:pStyle w:val="supplychains"/>
        <w:rPr>
          <w:b/>
        </w:rPr>
      </w:pPr>
      <w:r w:rsidRPr="0092122F">
        <w:rPr>
          <w:b/>
        </w:rPr>
        <w:t>Labour hire employment (on-hire, temp or agency) involves three party arrangements for the supply of labour.</w:t>
      </w:r>
    </w:p>
    <w:p w:rsidR="001E4BFD" w:rsidRPr="0092122F" w:rsidRDefault="001E4BFD" w:rsidP="0092122F">
      <w:pPr>
        <w:pStyle w:val="supplychains"/>
      </w:pPr>
      <w:r w:rsidRPr="0092122F">
        <w:t>Supply chains and networks cover commercial activities from manufacture, sourcing, production, transport logistics and the management system needed to coordinate these activities. Businesses that make up the supply chain are linked together not just through physical arrangements but also information flows.</w:t>
      </w:r>
    </w:p>
    <w:p w:rsidR="001E4BFD" w:rsidRDefault="001E4BFD" w:rsidP="00390B30">
      <w:pPr>
        <w:tabs>
          <w:tab w:val="left" w:pos="0"/>
          <w:tab w:val="left" w:pos="966"/>
          <w:tab w:val="right" w:leader="dot" w:pos="9062"/>
        </w:tabs>
        <w:spacing w:before="120"/>
      </w:pPr>
    </w:p>
    <w:p w:rsidR="00390B30" w:rsidRPr="00390B30" w:rsidRDefault="00390B30" w:rsidP="00390B30">
      <w:pPr>
        <w:tabs>
          <w:tab w:val="left" w:pos="0"/>
          <w:tab w:val="left" w:pos="966"/>
          <w:tab w:val="right" w:leader="dot" w:pos="9062"/>
        </w:tabs>
        <w:spacing w:before="120"/>
      </w:pPr>
      <w:r w:rsidRPr="00390B30">
        <w:t xml:space="preserve"> </w:t>
      </w:r>
      <w:proofErr w:type="gramStart"/>
      <w:r w:rsidRPr="00390B30">
        <w:t>have</w:t>
      </w:r>
      <w:proofErr w:type="gramEnd"/>
      <w:r w:rsidRPr="00390B30">
        <w:t xml:space="preserve"> powerful impacts particularly on contractual arrangements for those who operate at </w:t>
      </w:r>
      <w:r w:rsidRPr="00390B30">
        <w:rPr>
          <w:rFonts w:eastAsia="Batang"/>
        </w:rPr>
        <w:t>the</w:t>
      </w:r>
      <w:r w:rsidRPr="00390B30">
        <w:t xml:space="preserve"> bottom of a supply chain such as small businesses. There is an increased use of outsourcing. This creates an opportunity for business leaders to drive and model improved workplace practices. </w:t>
      </w:r>
    </w:p>
    <w:p w:rsidR="00390B30" w:rsidRPr="00390B30" w:rsidRDefault="00390B30" w:rsidP="00390B30">
      <w:pPr>
        <w:tabs>
          <w:tab w:val="left" w:pos="0"/>
          <w:tab w:val="left" w:pos="966"/>
          <w:tab w:val="right" w:leader="dot" w:pos="9062"/>
        </w:tabs>
        <w:spacing w:before="120"/>
      </w:pPr>
      <w:r w:rsidRPr="00390B30">
        <w:t>Businesses and organisations when choosing contractors or purchasing goods and services can positively influence others</w:t>
      </w:r>
      <w:r w:rsidR="00952D83">
        <w:t>’</w:t>
      </w:r>
      <w:r w:rsidRPr="00390B30">
        <w:t xml:space="preserve"> behaviours by requiring they meet particular </w:t>
      </w:r>
      <w:r w:rsidR="00E94491">
        <w:t>WHS</w:t>
      </w:r>
      <w:r w:rsidRPr="00390B30">
        <w:t xml:space="preserve"> standards. </w:t>
      </w:r>
    </w:p>
    <w:p w:rsidR="00390B30" w:rsidRPr="00390B30" w:rsidRDefault="00390B30" w:rsidP="00145652">
      <w:pPr>
        <w:pStyle w:val="Heading3"/>
      </w:pPr>
      <w:r w:rsidRPr="00390B30">
        <w:t xml:space="preserve">What is being done? </w:t>
      </w:r>
    </w:p>
    <w:p w:rsidR="00390B30" w:rsidRPr="00390B30" w:rsidRDefault="001E0053" w:rsidP="00390B30">
      <w:pPr>
        <w:tabs>
          <w:tab w:val="left" w:pos="966"/>
        </w:tabs>
      </w:pPr>
      <w:r>
        <w:t>Workplace Health and Safety Queensland</w:t>
      </w:r>
      <w:r w:rsidR="00390B30" w:rsidRPr="00390B30">
        <w:t xml:space="preserve"> is actively engaging with labour hire firms to increase their awareness of the role they can have to improve health and safety.  They recently developed two guides:</w:t>
      </w:r>
    </w:p>
    <w:p w:rsidR="00390B30" w:rsidRPr="00390B30" w:rsidRDefault="004B5D98" w:rsidP="00390B30">
      <w:pPr>
        <w:numPr>
          <w:ilvl w:val="0"/>
          <w:numId w:val="35"/>
        </w:numPr>
        <w:tabs>
          <w:tab w:val="left" w:pos="966"/>
        </w:tabs>
        <w:ind w:left="351" w:hanging="357"/>
      </w:pPr>
      <w:hyperlink r:id="rId30" w:anchor=".VCI5EnKKCUk" w:history="1">
        <w:r w:rsidR="00390B30" w:rsidRPr="00390B30">
          <w:rPr>
            <w:rFonts w:eastAsia="Batang"/>
            <w:i/>
            <w:color w:val="0000FF"/>
            <w:u w:val="single"/>
          </w:rPr>
          <w:t>Labour hire agencies: Managing the safety of on-hired workers</w:t>
        </w:r>
      </w:hyperlink>
      <w:r w:rsidR="00390B30" w:rsidRPr="00390B30">
        <w:rPr>
          <w:rFonts w:eastAsia="Batang"/>
          <w:i/>
        </w:rPr>
        <w:t xml:space="preserve"> </w:t>
      </w:r>
      <w:r w:rsidR="00390B30" w:rsidRPr="00390B30">
        <w:t xml:space="preserve">assists those providing workers or apprentices to client companies to arrange placements that will not expose their people to harm. </w:t>
      </w:r>
    </w:p>
    <w:p w:rsidR="00390B30" w:rsidRPr="00390B30" w:rsidRDefault="004B5D98" w:rsidP="00952D83">
      <w:pPr>
        <w:numPr>
          <w:ilvl w:val="0"/>
          <w:numId w:val="35"/>
        </w:numPr>
        <w:tabs>
          <w:tab w:val="left" w:pos="966"/>
        </w:tabs>
        <w:ind w:left="351" w:hanging="357"/>
        <w:rPr>
          <w:rFonts w:asciiTheme="minorHAnsi" w:eastAsiaTheme="minorHAnsi" w:hAnsiTheme="minorHAnsi" w:cstheme="minorBidi"/>
          <w:b/>
          <w:i/>
          <w:lang w:eastAsia="en-US"/>
        </w:rPr>
      </w:pPr>
      <w:hyperlink r:id="rId31" w:anchor=".VCI5EnKKCUk" w:history="1">
        <w:r w:rsidR="00390B30" w:rsidRPr="00642E0A">
          <w:rPr>
            <w:rStyle w:val="Hyperlink"/>
            <w:i/>
          </w:rPr>
          <w:t xml:space="preserve">Host employers: </w:t>
        </w:r>
        <w:r w:rsidR="00390B30" w:rsidRPr="00642E0A">
          <w:rPr>
            <w:rStyle w:val="Hyperlink"/>
            <w:rFonts w:eastAsia="Batang"/>
            <w:i/>
          </w:rPr>
          <w:t>Managing the safety of labour hire workers</w:t>
        </w:r>
      </w:hyperlink>
      <w:r w:rsidR="00390B30" w:rsidRPr="00390B30">
        <w:t xml:space="preserve"> provides information </w:t>
      </w:r>
      <w:r w:rsidR="00390B30" w:rsidRPr="00390B30">
        <w:lastRenderedPageBreak/>
        <w:t xml:space="preserve">and tools to clarify </w:t>
      </w:r>
      <w:r w:rsidR="00E94491">
        <w:t>WHS</w:t>
      </w:r>
      <w:r w:rsidR="00E235CB">
        <w:t xml:space="preserve"> </w:t>
      </w:r>
      <w:r w:rsidR="00390B30" w:rsidRPr="00390B30">
        <w:t xml:space="preserve">duties, identify major risks, provide appropriate induction and training, match workers to tasks, and to supervise and monitor workplace health and safety </w:t>
      </w:r>
    </w:p>
    <w:p w:rsidR="00390B30" w:rsidRPr="00390B30" w:rsidRDefault="000D4F1D" w:rsidP="00390B30">
      <w:pPr>
        <w:tabs>
          <w:tab w:val="left" w:pos="966"/>
          <w:tab w:val="decimal" w:pos="5529"/>
          <w:tab w:val="decimal" w:pos="8931"/>
        </w:tabs>
        <w:rPr>
          <w:b/>
        </w:rPr>
      </w:pPr>
      <w:proofErr w:type="gramStart"/>
      <w:r w:rsidRPr="008B70E0">
        <w:t>Victoria's</w:t>
      </w:r>
      <w:r w:rsidRPr="008B70E0">
        <w:rPr>
          <w:rFonts w:eastAsiaTheme="minorHAnsi" w:cstheme="minorBidi"/>
          <w:color w:val="C00000"/>
          <w:szCs w:val="24"/>
        </w:rPr>
        <w:t xml:space="preserve"> </w:t>
      </w:r>
      <w:hyperlink r:id="rId32" w:history="1">
        <w:r w:rsidRPr="009C147D">
          <w:rPr>
            <w:rStyle w:val="Hyperlink"/>
            <w:rFonts w:eastAsiaTheme="minorHAnsi" w:cstheme="minorBidi"/>
            <w:i/>
            <w:szCs w:val="24"/>
          </w:rPr>
          <w:t>Plant and Machinery Suppliers Project</w:t>
        </w:r>
        <w:r w:rsidR="00FF3DD9" w:rsidRPr="009C147D">
          <w:rPr>
            <w:rStyle w:val="Hyperlink"/>
          </w:rPr>
          <w:t xml:space="preserve"> </w:t>
        </w:r>
        <w:r w:rsidR="00390B30" w:rsidRPr="009C147D">
          <w:rPr>
            <w:rStyle w:val="Hyperlink"/>
            <w:rFonts w:eastAsia="Batang"/>
          </w:rPr>
          <w:t>t</w:t>
        </w:r>
      </w:hyperlink>
      <w:r w:rsidR="00390B30" w:rsidRPr="00390B30">
        <w:rPr>
          <w:rFonts w:eastAsia="Batang"/>
        </w:rPr>
        <w:t>argeted inherently unsafe machinery.</w:t>
      </w:r>
      <w:proofErr w:type="gramEnd"/>
      <w:r w:rsidR="00390B30" w:rsidRPr="00390B30">
        <w:rPr>
          <w:rFonts w:eastAsia="Batang"/>
        </w:rPr>
        <w:t xml:space="preserve"> Assisted by the regulator, designers, manufacturers and suppliers of machinery within the supply chain worked together to improve controls for hazardous plant and machinery. </w:t>
      </w:r>
    </w:p>
    <w:p w:rsidR="00390B30" w:rsidRPr="00390B30" w:rsidRDefault="004B5D98" w:rsidP="00145652">
      <w:pPr>
        <w:pStyle w:val="Heading2"/>
        <w:rPr>
          <w:b/>
          <w:i/>
          <w:sz w:val="24"/>
        </w:rPr>
      </w:pPr>
      <w:hyperlink r:id="rId33" w:history="1">
        <w:bookmarkStart w:id="1" w:name="_Toc384372882"/>
        <w:r w:rsidR="00390B30" w:rsidRPr="00390B30">
          <w:rPr>
            <w:b/>
            <w:i/>
            <w:color w:val="0000FF"/>
            <w:sz w:val="24"/>
            <w:u w:val="single"/>
          </w:rPr>
          <w:t>Health and safety capabilities</w:t>
        </w:r>
        <w:bookmarkEnd w:id="1"/>
      </w:hyperlink>
    </w:p>
    <w:p w:rsidR="0007520F" w:rsidRDefault="0007520F" w:rsidP="00145652">
      <w:pPr>
        <w:pStyle w:val="Heading3"/>
        <w:rPr>
          <w:rFonts w:eastAsiaTheme="minorHAnsi"/>
          <w:lang w:eastAsia="en-US"/>
        </w:rPr>
      </w:pPr>
      <w:r>
        <w:rPr>
          <w:rFonts w:eastAsiaTheme="minorHAnsi"/>
          <w:lang w:eastAsia="en-US"/>
        </w:rPr>
        <w:t>Developing WHS capability needs a strong and effective education system.</w:t>
      </w:r>
    </w:p>
    <w:p w:rsidR="00BE2C00" w:rsidRPr="000C4A44" w:rsidRDefault="000C4A44" w:rsidP="000C4A44">
      <w:pPr>
        <w:pStyle w:val="supplychains"/>
      </w:pPr>
      <w:r w:rsidRPr="0050412B">
        <w:rPr>
          <w:lang w:eastAsia="en-US"/>
        </w:rPr>
        <w:t xml:space="preserve">A key principle in </w:t>
      </w:r>
      <w:proofErr w:type="spellStart"/>
      <w:r w:rsidRPr="0050412B">
        <w:rPr>
          <w:lang w:eastAsia="en-US"/>
        </w:rPr>
        <w:t>WHS</w:t>
      </w:r>
      <w:proofErr w:type="spellEnd"/>
      <w:r w:rsidRPr="0050412B">
        <w:rPr>
          <w:lang w:eastAsia="en-US"/>
        </w:rPr>
        <w:t xml:space="preserve"> is that every person requires the capabilities— the </w:t>
      </w:r>
      <w:r w:rsidRPr="0050412B">
        <w:rPr>
          <w:rFonts w:cs="Arial"/>
          <w:lang w:eastAsia="en-US"/>
        </w:rPr>
        <w:t>knowledge</w:t>
      </w:r>
      <w:r w:rsidRPr="0050412B">
        <w:rPr>
          <w:lang w:eastAsia="en-US"/>
        </w:rPr>
        <w:t xml:space="preserve">, skills and resources—to fulfil their role in </w:t>
      </w:r>
      <w:r w:rsidRPr="0050412B">
        <w:t>relation</w:t>
      </w:r>
      <w:r w:rsidRPr="0050412B">
        <w:rPr>
          <w:lang w:eastAsia="en-US"/>
        </w:rPr>
        <w:t xml:space="preserve"> to work health and safety.</w:t>
      </w:r>
    </w:p>
    <w:p w:rsidR="005E0436" w:rsidRDefault="00390B30" w:rsidP="00145652">
      <w:pPr>
        <w:pStyle w:val="Heading3"/>
      </w:pPr>
      <w:r w:rsidRPr="00390B30">
        <w:t xml:space="preserve">Why are work health and safety capabilities so important? </w:t>
      </w:r>
    </w:p>
    <w:p w:rsidR="000C4A44" w:rsidRPr="00E045AB" w:rsidRDefault="000C4A44" w:rsidP="00E045AB">
      <w:pPr>
        <w:pStyle w:val="supplychains"/>
        <w:rPr>
          <w:b/>
        </w:rPr>
      </w:pPr>
      <w:r w:rsidRPr="00E045AB">
        <w:rPr>
          <w:b/>
        </w:rPr>
        <w:t xml:space="preserve">Improved </w:t>
      </w:r>
      <w:proofErr w:type="spellStart"/>
      <w:r w:rsidRPr="00E045AB">
        <w:rPr>
          <w:b/>
        </w:rPr>
        <w:t>WHS</w:t>
      </w:r>
      <w:proofErr w:type="spellEnd"/>
      <w:r w:rsidRPr="00E045AB">
        <w:rPr>
          <w:b/>
        </w:rPr>
        <w:t xml:space="preserve"> awareness can influence </w:t>
      </w:r>
      <w:r w:rsidRPr="00E045AB">
        <w:rPr>
          <w:b/>
        </w:rPr>
        <w:br/>
        <w:t>risk taking.</w:t>
      </w:r>
    </w:p>
    <w:p w:rsidR="000C4A44" w:rsidRPr="004358B4" w:rsidRDefault="000C4A44" w:rsidP="000C4A44">
      <w:pPr>
        <w:pStyle w:val="supplychains"/>
        <w:rPr>
          <w:szCs w:val="20"/>
        </w:rPr>
      </w:pPr>
      <w:r w:rsidRPr="004358B4">
        <w:rPr>
          <w:szCs w:val="20"/>
        </w:rPr>
        <w:t>Younger workers are more likely than older workers to agree they sometimes skylarked at work taking risks that jeopardise their own and each other’s safety</w:t>
      </w:r>
    </w:p>
    <w:p w:rsidR="00390B30" w:rsidRPr="000C4A44" w:rsidRDefault="000C4A44" w:rsidP="000C4A44">
      <w:pPr>
        <w:pStyle w:val="supplychains"/>
      </w:pPr>
      <w:r w:rsidRPr="004358B4">
        <w:rPr>
          <w:szCs w:val="20"/>
        </w:rPr>
        <w:t xml:space="preserve">Source: </w:t>
      </w:r>
      <w:hyperlink r:id="rId34" w:history="1">
        <w:r w:rsidRPr="004358B4">
          <w:rPr>
            <w:rStyle w:val="Hyperlink"/>
            <w:i/>
            <w:szCs w:val="20"/>
          </w:rPr>
          <w:t>Motivations, Attitudes, Perceptions and Skills – What they said about work health and safety in 2010</w:t>
        </w:r>
      </w:hyperlink>
    </w:p>
    <w:p w:rsidR="00390B30" w:rsidRPr="00390B30" w:rsidRDefault="00390B30" w:rsidP="00390B30">
      <w:pPr>
        <w:tabs>
          <w:tab w:val="left" w:pos="0"/>
          <w:tab w:val="left" w:pos="966"/>
          <w:tab w:val="right" w:leader="dot" w:pos="9062"/>
        </w:tabs>
        <w:spacing w:before="120"/>
      </w:pPr>
      <w:r w:rsidRPr="00390B30">
        <w:t xml:space="preserve">Those in control of work need to manage their business risks.  They need to make informed decisions based on competent advice, whether this is from their own staff or external advisers. </w:t>
      </w:r>
    </w:p>
    <w:p w:rsidR="00390B30" w:rsidRPr="00390B30" w:rsidRDefault="00390B30" w:rsidP="00390B30">
      <w:pPr>
        <w:tabs>
          <w:tab w:val="left" w:pos="966"/>
        </w:tabs>
      </w:pPr>
      <w:r w:rsidRPr="00390B30">
        <w:t xml:space="preserve">Workers in turn need the education and training to be able to do their job safely. </w:t>
      </w:r>
    </w:p>
    <w:p w:rsidR="00390B30" w:rsidRPr="00390B30" w:rsidRDefault="00390B30" w:rsidP="00390B30">
      <w:pPr>
        <w:tabs>
          <w:tab w:val="left" w:pos="966"/>
        </w:tabs>
      </w:pPr>
      <w:r w:rsidRPr="00390B30">
        <w:t>To achieve all of these needs a strong and effective education system that understands and responds to the changing nature of work and workplace hazards and risks</w:t>
      </w:r>
      <w:r w:rsidR="0050412B">
        <w:t>.</w:t>
      </w:r>
      <w:r w:rsidRPr="00390B30">
        <w:t xml:space="preserve"> </w:t>
      </w:r>
    </w:p>
    <w:p w:rsidR="00390B30" w:rsidRPr="00390B30" w:rsidRDefault="00390B30" w:rsidP="00390B30">
      <w:pPr>
        <w:tabs>
          <w:tab w:val="left" w:pos="966"/>
        </w:tabs>
      </w:pPr>
      <w:r w:rsidRPr="00390B30">
        <w:rPr>
          <w:rFonts w:eastAsia="Batang"/>
        </w:rPr>
        <w:t xml:space="preserve">Recent reviews of the tertiary and vocational sectors have revealed the challenges for them </w:t>
      </w:r>
      <w:r w:rsidRPr="00390B30">
        <w:t xml:space="preserve">to provide high quality training and relevant education for contemporary Australian business. </w:t>
      </w:r>
    </w:p>
    <w:p w:rsidR="00390B30" w:rsidRPr="00390B30" w:rsidRDefault="00390B30" w:rsidP="00390B30">
      <w:pPr>
        <w:tabs>
          <w:tab w:val="left" w:pos="966"/>
        </w:tabs>
      </w:pPr>
      <w:r w:rsidRPr="00390B30">
        <w:t xml:space="preserve">To provide appropriate advice and support compliance with </w:t>
      </w:r>
      <w:r w:rsidR="00E94491">
        <w:t>WHS</w:t>
      </w:r>
      <w:r w:rsidRPr="00390B30">
        <w:t xml:space="preserve"> requirements, our </w:t>
      </w:r>
      <w:r w:rsidRPr="00390B30">
        <w:lastRenderedPageBreak/>
        <w:t>regulators are developing their staff’s capabilities.</w:t>
      </w:r>
    </w:p>
    <w:p w:rsidR="00390B30" w:rsidRPr="00145652" w:rsidRDefault="00390B30" w:rsidP="00145652">
      <w:pPr>
        <w:pStyle w:val="Heading3"/>
      </w:pPr>
      <w:r w:rsidRPr="00145652">
        <w:t xml:space="preserve">What is being done? </w:t>
      </w:r>
    </w:p>
    <w:p w:rsidR="00390B30" w:rsidRPr="00390B30" w:rsidRDefault="00390B30" w:rsidP="00390B30">
      <w:pPr>
        <w:tabs>
          <w:tab w:val="left" w:pos="966"/>
        </w:tabs>
      </w:pPr>
      <w:r w:rsidRPr="00390B30">
        <w:t>The Commonwealth, state and territory</w:t>
      </w:r>
      <w:r w:rsidR="004C2FC6">
        <w:t xml:space="preserve"> </w:t>
      </w:r>
      <w:r w:rsidR="00E94491">
        <w:t>WHS</w:t>
      </w:r>
      <w:r w:rsidR="00657BF7">
        <w:t xml:space="preserve"> </w:t>
      </w:r>
      <w:r w:rsidRPr="00390B30">
        <w:t>regulators have for many years recognised and promoted innovative solutions through their own awards processes. Winners of nationall</w:t>
      </w:r>
      <w:r w:rsidR="005E0436">
        <w:t>y aligned categories represent</w:t>
      </w:r>
      <w:r w:rsidRPr="00390B30">
        <w:t xml:space="preserve"> their jurisdiction at the </w:t>
      </w:r>
      <w:hyperlink r:id="rId35" w:history="1">
        <w:r w:rsidRPr="00390B30">
          <w:rPr>
            <w:i/>
            <w:color w:val="0000FF"/>
            <w:u w:val="single"/>
          </w:rPr>
          <w:t>S</w:t>
        </w:r>
        <w:r w:rsidR="00E40AF3">
          <w:rPr>
            <w:i/>
            <w:color w:val="0000FF"/>
            <w:u w:val="single"/>
          </w:rPr>
          <w:t xml:space="preserve">afe Work Australia </w:t>
        </w:r>
        <w:r w:rsidRPr="00390B30">
          <w:rPr>
            <w:i/>
            <w:color w:val="0000FF"/>
            <w:u w:val="single"/>
          </w:rPr>
          <w:t>Awards</w:t>
        </w:r>
      </w:hyperlink>
      <w:r w:rsidRPr="00390B30">
        <w:rPr>
          <w:i/>
        </w:rPr>
        <w:t xml:space="preserve"> </w:t>
      </w:r>
      <w:r w:rsidRPr="00390B30">
        <w:t>held in April</w:t>
      </w:r>
      <w:r w:rsidR="005E0436">
        <w:t xml:space="preserve"> each year</w:t>
      </w:r>
      <w:r w:rsidRPr="00390B30">
        <w:t xml:space="preserve">. </w:t>
      </w:r>
    </w:p>
    <w:p w:rsidR="00390B30" w:rsidRPr="00390B30" w:rsidRDefault="00390B30" w:rsidP="00390B30">
      <w:pPr>
        <w:tabs>
          <w:tab w:val="left" w:pos="966"/>
        </w:tabs>
      </w:pPr>
      <w:r w:rsidRPr="00390B30">
        <w:t xml:space="preserve">The eighth </w:t>
      </w:r>
      <w:hyperlink r:id="rId36" w:history="1">
        <w:r w:rsidRPr="00390B30">
          <w:rPr>
            <w:i/>
            <w:color w:val="0000FF"/>
            <w:u w:val="single"/>
          </w:rPr>
          <w:t>S</w:t>
        </w:r>
        <w:r w:rsidR="00E40AF3">
          <w:rPr>
            <w:i/>
            <w:color w:val="0000FF"/>
            <w:u w:val="single"/>
          </w:rPr>
          <w:t>afe Work Australia Week</w:t>
        </w:r>
      </w:hyperlink>
      <w:r w:rsidRPr="00390B30">
        <w:t xml:space="preserve"> was celebrated from 21-27 October 2012. All S</w:t>
      </w:r>
      <w:r w:rsidR="004C2FC6">
        <w:t xml:space="preserve">afe </w:t>
      </w:r>
      <w:r w:rsidRPr="00390B30">
        <w:t>W</w:t>
      </w:r>
      <w:r w:rsidR="004C2FC6">
        <w:t xml:space="preserve">ork </w:t>
      </w:r>
      <w:r w:rsidRPr="00390B30">
        <w:t>A</w:t>
      </w:r>
      <w:r w:rsidR="004C2FC6">
        <w:t>ustralia</w:t>
      </w:r>
      <w:r w:rsidR="005E0436">
        <w:t xml:space="preserve"> M</w:t>
      </w:r>
      <w:r w:rsidRPr="00390B30">
        <w:t xml:space="preserve">embers undertook a range of activities to raise community awareness.  </w:t>
      </w:r>
    </w:p>
    <w:p w:rsidR="000A29FB" w:rsidRPr="00390B30" w:rsidRDefault="00390B30" w:rsidP="00390B30">
      <w:pPr>
        <w:tabs>
          <w:tab w:val="left" w:pos="966"/>
        </w:tabs>
        <w:spacing w:before="120"/>
      </w:pPr>
      <w:r w:rsidRPr="00390B30">
        <w:t>The S</w:t>
      </w:r>
      <w:r w:rsidR="004C2FC6">
        <w:t xml:space="preserve">afe </w:t>
      </w:r>
      <w:r w:rsidRPr="00390B30">
        <w:t>W</w:t>
      </w:r>
      <w:r w:rsidR="004C2FC6">
        <w:t xml:space="preserve">ork </w:t>
      </w:r>
      <w:r w:rsidRPr="00390B30">
        <w:t>A</w:t>
      </w:r>
      <w:r w:rsidR="004C2FC6">
        <w:t>ustralia</w:t>
      </w:r>
      <w:r w:rsidRPr="00390B30">
        <w:t xml:space="preserve"> </w:t>
      </w:r>
      <w:hyperlink r:id="rId37" w:history="1">
        <w:r w:rsidRPr="00390B30">
          <w:rPr>
            <w:i/>
            <w:color w:val="0000FF"/>
            <w:u w:val="single"/>
          </w:rPr>
          <w:t>Safety Ambassador Program</w:t>
        </w:r>
      </w:hyperlink>
      <w:r w:rsidRPr="00390B30">
        <w:t xml:space="preserve"> encourages people to become safety leaders in their own workplaces and communities. Jacinta Macaulay from Ron </w:t>
      </w:r>
      <w:proofErr w:type="spellStart"/>
      <w:r w:rsidRPr="00390B30">
        <w:t>Finemore</w:t>
      </w:r>
      <w:proofErr w:type="spellEnd"/>
      <w:r w:rsidRPr="00390B30">
        <w:t xml:space="preserve"> Transport received the 2012 </w:t>
      </w:r>
      <w:hyperlink r:id="rId38" w:history="1">
        <w:r w:rsidRPr="00390B30">
          <w:rPr>
            <w:i/>
            <w:color w:val="0000FF"/>
            <w:u w:val="single"/>
          </w:rPr>
          <w:t>Safety Ambassador of the Year Award</w:t>
        </w:r>
      </w:hyperlink>
      <w:r w:rsidR="00E40AF3">
        <w:rPr>
          <w:i/>
          <w:color w:val="0000FF"/>
          <w:u w:val="single"/>
        </w:rPr>
        <w:t xml:space="preserve"> </w:t>
      </w:r>
      <w:r w:rsidRPr="00390B30">
        <w:t xml:space="preserve">in recognition </w:t>
      </w:r>
      <w:r w:rsidR="004C2FC6">
        <w:t xml:space="preserve">of </w:t>
      </w:r>
      <w:r w:rsidRPr="00390B30">
        <w:t>her initiative, leadership and consultation skills</w:t>
      </w:r>
      <w:r w:rsidR="00E40AF3">
        <w:t xml:space="preserve"> </w:t>
      </w:r>
      <w:r w:rsidR="004C2FC6">
        <w:t>in making</w:t>
      </w:r>
      <w:r w:rsidRPr="00390B30">
        <w:t xml:space="preserve"> her own workplace safer.  </w:t>
      </w:r>
    </w:p>
    <w:p w:rsidR="00390B30" w:rsidRPr="00CB3CEC" w:rsidRDefault="00390B30" w:rsidP="00390B30">
      <w:pPr>
        <w:tabs>
          <w:tab w:val="left" w:pos="966"/>
        </w:tabs>
        <w:spacing w:before="120"/>
        <w:rPr>
          <w:b/>
          <w:i/>
        </w:rPr>
      </w:pPr>
      <w:r w:rsidRPr="00CB3CEC">
        <w:rPr>
          <w:b/>
          <w:i/>
        </w:rPr>
        <w:t xml:space="preserve">Providing information and building capability </w:t>
      </w:r>
    </w:p>
    <w:p w:rsidR="00390B30" w:rsidRDefault="00390B30" w:rsidP="00952D83">
      <w:pPr>
        <w:tabs>
          <w:tab w:val="left" w:pos="966"/>
        </w:tabs>
        <w:rPr>
          <w:rFonts w:cs="Arial"/>
          <w:lang w:eastAsia="en-US"/>
        </w:rPr>
      </w:pPr>
      <w:r w:rsidRPr="00390B30">
        <w:rPr>
          <w:rFonts w:cs="Arial"/>
          <w:lang w:eastAsia="en-US"/>
        </w:rPr>
        <w:t xml:space="preserve">A key </w:t>
      </w:r>
      <w:r w:rsidR="00952D83" w:rsidRPr="00390B30">
        <w:rPr>
          <w:rFonts w:cs="Arial"/>
          <w:lang w:eastAsia="en-US"/>
        </w:rPr>
        <w:t>S</w:t>
      </w:r>
      <w:r w:rsidR="004C2FC6">
        <w:rPr>
          <w:rFonts w:cs="Arial"/>
          <w:lang w:eastAsia="en-US"/>
        </w:rPr>
        <w:t xml:space="preserve">afe </w:t>
      </w:r>
      <w:r w:rsidR="00952D83" w:rsidRPr="00390B30">
        <w:rPr>
          <w:rFonts w:cs="Arial"/>
          <w:lang w:eastAsia="en-US"/>
        </w:rPr>
        <w:t>W</w:t>
      </w:r>
      <w:r w:rsidR="004C2FC6">
        <w:rPr>
          <w:rFonts w:cs="Arial"/>
          <w:lang w:eastAsia="en-US"/>
        </w:rPr>
        <w:t xml:space="preserve">ork </w:t>
      </w:r>
      <w:r w:rsidR="00952D83" w:rsidRPr="00390B30">
        <w:rPr>
          <w:rFonts w:cs="Arial"/>
          <w:lang w:eastAsia="en-US"/>
        </w:rPr>
        <w:t>A</w:t>
      </w:r>
      <w:r w:rsidR="004C2FC6">
        <w:rPr>
          <w:rFonts w:cs="Arial"/>
          <w:lang w:eastAsia="en-US"/>
        </w:rPr>
        <w:t>ustralia</w:t>
      </w:r>
      <w:r w:rsidR="00952D83" w:rsidRPr="00390B30">
        <w:rPr>
          <w:rFonts w:cs="Arial"/>
          <w:lang w:eastAsia="en-US"/>
        </w:rPr>
        <w:t xml:space="preserve"> </w:t>
      </w:r>
      <w:r w:rsidRPr="00390B30">
        <w:rPr>
          <w:rFonts w:cs="Arial"/>
          <w:lang w:eastAsia="en-US"/>
        </w:rPr>
        <w:t>initiative has been to publish information and practical advice on the obligations under the</w:t>
      </w:r>
      <w:hyperlink r:id="rId39" w:history="1">
        <w:r w:rsidR="008B70E0">
          <w:rPr>
            <w:rFonts w:cs="Arial"/>
            <w:color w:val="0000FF"/>
            <w:u w:val="single"/>
            <w:lang w:eastAsia="en-US"/>
          </w:rPr>
          <w:t xml:space="preserve"> model </w:t>
        </w:r>
        <w:proofErr w:type="spellStart"/>
        <w:r w:rsidR="008B70E0">
          <w:rPr>
            <w:rFonts w:cs="Arial"/>
            <w:color w:val="0000FF"/>
            <w:u w:val="single"/>
            <w:lang w:eastAsia="en-US"/>
          </w:rPr>
          <w:t>WHS</w:t>
        </w:r>
        <w:proofErr w:type="spellEnd"/>
        <w:r w:rsidR="008B70E0">
          <w:rPr>
            <w:rFonts w:cs="Arial"/>
            <w:color w:val="0000FF"/>
            <w:u w:val="single"/>
            <w:lang w:eastAsia="en-US"/>
          </w:rPr>
          <w:t xml:space="preserve"> legislation</w:t>
        </w:r>
      </w:hyperlink>
      <w:r w:rsidRPr="00390B30">
        <w:rPr>
          <w:rFonts w:cs="Arial"/>
          <w:lang w:eastAsia="en-US"/>
        </w:rPr>
        <w:t xml:space="preserve">. </w:t>
      </w:r>
    </w:p>
    <w:p w:rsidR="0092122F" w:rsidRPr="0092122F" w:rsidRDefault="0092122F" w:rsidP="0092122F">
      <w:pPr>
        <w:pStyle w:val="supplychains"/>
      </w:pPr>
      <w:r w:rsidRPr="0092122F">
        <w:rPr>
          <w:b/>
        </w:rPr>
        <w:t>Safety Coach visits a success</w:t>
      </w:r>
      <w:r w:rsidRPr="0092122F">
        <w:t xml:space="preserve"> </w:t>
      </w:r>
      <w:r w:rsidRPr="0092122F">
        <w:br/>
        <w:t>96 per cent of participants felt more capable and 100 per cent reported making work health and safety improvements</w:t>
      </w:r>
    </w:p>
    <w:p w:rsidR="008B70E0" w:rsidRDefault="00390B30" w:rsidP="008B70E0">
      <w:pPr>
        <w:tabs>
          <w:tab w:val="left" w:pos="966"/>
          <w:tab w:val="decimal" w:pos="5529"/>
          <w:tab w:val="decimal" w:pos="8931"/>
        </w:tabs>
        <w:rPr>
          <w:rFonts w:cs="Arial"/>
          <w:lang w:eastAsia="en-US"/>
        </w:rPr>
      </w:pPr>
      <w:r w:rsidRPr="00390B30">
        <w:rPr>
          <w:rFonts w:cs="Arial"/>
          <w:lang w:eastAsia="en-US"/>
        </w:rPr>
        <w:t xml:space="preserve">The Ai Group provided businesses with videos and webinars to demystify the new </w:t>
      </w:r>
      <w:r w:rsidR="00657BF7">
        <w:rPr>
          <w:rFonts w:cs="Arial"/>
          <w:lang w:eastAsia="en-US"/>
        </w:rPr>
        <w:t>s</w:t>
      </w:r>
      <w:r w:rsidR="004C2FC6">
        <w:rPr>
          <w:rFonts w:cs="Arial"/>
          <w:lang w:eastAsia="en-US"/>
        </w:rPr>
        <w:t>afety</w:t>
      </w:r>
      <w:r w:rsidRPr="00390B30">
        <w:rPr>
          <w:rFonts w:cs="Arial"/>
          <w:lang w:eastAsia="en-US"/>
        </w:rPr>
        <w:t xml:space="preserve"> laws for their members.</w:t>
      </w:r>
    </w:p>
    <w:p w:rsidR="000A29FB" w:rsidRPr="008731FC" w:rsidRDefault="008B70E0" w:rsidP="008731FC">
      <w:pPr>
        <w:tabs>
          <w:tab w:val="left" w:pos="966"/>
          <w:tab w:val="decimal" w:pos="5529"/>
          <w:tab w:val="decimal" w:pos="8931"/>
        </w:tabs>
        <w:rPr>
          <w:lang w:eastAsia="en-US"/>
        </w:rPr>
      </w:pPr>
      <w:r w:rsidRPr="00390B30">
        <w:rPr>
          <w:lang w:eastAsia="en-US"/>
        </w:rPr>
        <w:t xml:space="preserve">In the last year the </w:t>
      </w:r>
      <w:r w:rsidR="00E94491">
        <w:rPr>
          <w:lang w:eastAsia="en-US"/>
        </w:rPr>
        <w:t>WHS</w:t>
      </w:r>
      <w:r w:rsidRPr="00390B30">
        <w:rPr>
          <w:lang w:eastAsia="en-US"/>
        </w:rPr>
        <w:t xml:space="preserve"> regulators continued their historically strong focus providing practical information and support for businesses through targeted rebates, worksite visits, and free coaching and mentoring such as through the </w:t>
      </w:r>
      <w:hyperlink r:id="rId40" w:history="1">
        <w:r w:rsidRPr="009C147D">
          <w:rPr>
            <w:rStyle w:val="Hyperlink"/>
            <w:i/>
            <w:lang w:eastAsia="en-US"/>
          </w:rPr>
          <w:t>Safety Coach Pilot Program</w:t>
        </w:r>
        <w:r w:rsidRPr="009C147D">
          <w:rPr>
            <w:rStyle w:val="Hyperlink"/>
            <w:lang w:eastAsia="en-US"/>
          </w:rPr>
          <w:t xml:space="preserve"> .</w:t>
        </w:r>
      </w:hyperlink>
      <w:r>
        <w:rPr>
          <w:lang w:eastAsia="en-US"/>
        </w:rPr>
        <w:t xml:space="preserve"> </w:t>
      </w:r>
      <w:r w:rsidRPr="00390B30">
        <w:rPr>
          <w:lang w:eastAsia="en-US"/>
        </w:rPr>
        <w:t xml:space="preserve">They published hazard and industry specific guidance much of it designed especially for small to medium enterprises. </w:t>
      </w:r>
    </w:p>
    <w:p w:rsidR="0092122F" w:rsidRDefault="00390B30" w:rsidP="0092122F">
      <w:pPr>
        <w:pStyle w:val="ListParagraph"/>
        <w:numPr>
          <w:ilvl w:val="0"/>
          <w:numId w:val="0"/>
        </w:numPr>
        <w:jc w:val="center"/>
      </w:pPr>
      <w:r w:rsidRPr="00390B30">
        <w:rPr>
          <w:rFonts w:asciiTheme="majorHAnsi" w:eastAsiaTheme="majorEastAsia" w:hAnsiTheme="majorHAnsi" w:cstheme="majorBidi"/>
          <w:bCs/>
          <w:iCs/>
        </w:rPr>
        <w:t xml:space="preserve">The </w:t>
      </w:r>
      <w:r w:rsidR="003F1976" w:rsidRPr="008B70E0">
        <w:rPr>
          <w:rFonts w:asciiTheme="majorHAnsi" w:eastAsiaTheme="majorEastAsia" w:hAnsiTheme="majorHAnsi" w:cstheme="majorBidi"/>
          <w:bCs/>
          <w:iCs/>
        </w:rPr>
        <w:t>M</w:t>
      </w:r>
      <w:r w:rsidR="004C2FC6" w:rsidRPr="008B70E0">
        <w:rPr>
          <w:rFonts w:asciiTheme="majorHAnsi" w:eastAsiaTheme="majorEastAsia" w:hAnsiTheme="majorHAnsi" w:cstheme="majorBidi"/>
          <w:bCs/>
          <w:iCs/>
        </w:rPr>
        <w:t>aster Builders Association</w:t>
      </w:r>
      <w:r w:rsidR="008B70E0">
        <w:rPr>
          <w:rFonts w:asciiTheme="majorHAnsi" w:eastAsiaTheme="majorEastAsia" w:hAnsiTheme="majorHAnsi" w:cstheme="majorBidi"/>
          <w:bCs/>
          <w:iCs/>
        </w:rPr>
        <w:t xml:space="preserve"> (</w:t>
      </w:r>
      <w:proofErr w:type="spellStart"/>
      <w:r w:rsidR="008B70E0">
        <w:rPr>
          <w:rFonts w:asciiTheme="majorHAnsi" w:eastAsiaTheme="majorEastAsia" w:hAnsiTheme="majorHAnsi" w:cstheme="majorBidi"/>
          <w:bCs/>
          <w:iCs/>
        </w:rPr>
        <w:t>MBA</w:t>
      </w:r>
      <w:proofErr w:type="spellEnd"/>
      <w:r w:rsidR="008B70E0">
        <w:rPr>
          <w:rFonts w:asciiTheme="majorHAnsi" w:eastAsiaTheme="majorEastAsia" w:hAnsiTheme="majorHAnsi" w:cstheme="majorBidi"/>
          <w:bCs/>
          <w:iCs/>
        </w:rPr>
        <w:t>)</w:t>
      </w:r>
      <w:r w:rsidR="004C2FC6" w:rsidRPr="008B70E0">
        <w:rPr>
          <w:color w:val="0000FF"/>
        </w:rPr>
        <w:t xml:space="preserve"> </w:t>
      </w:r>
      <w:hyperlink r:id="rId41" w:history="1">
        <w:r w:rsidR="003F1976" w:rsidRPr="009C147D">
          <w:rPr>
            <w:rStyle w:val="Hyperlink"/>
            <w:i/>
          </w:rPr>
          <w:t>Building Leadership Simulation Centre</w:t>
        </w:r>
      </w:hyperlink>
      <w:r w:rsidR="003F1976" w:rsidRPr="00A04AE1">
        <w:rPr>
          <w:color w:val="0000FF"/>
        </w:rPr>
        <w:t xml:space="preserve"> </w:t>
      </w:r>
      <w:r w:rsidRPr="00390B30">
        <w:t xml:space="preserve">is an </w:t>
      </w:r>
      <w:r w:rsidRPr="00390B30">
        <w:lastRenderedPageBreak/>
        <w:t>innovative example where state-of-the-art simulation technology immerses the students in a virtual worksite. The training targets problem-solving, decision-making and leadership skills in the construction sector.</w:t>
      </w:r>
    </w:p>
    <w:p w:rsidR="0092122F" w:rsidRPr="0092122F" w:rsidRDefault="008B70E0" w:rsidP="0092122F">
      <w:pPr>
        <w:pStyle w:val="supplychains"/>
        <w:rPr>
          <w:b/>
        </w:rPr>
      </w:pPr>
      <w:r w:rsidRPr="0092122F">
        <w:rPr>
          <w:b/>
          <w:noProof/>
        </w:rPr>
        <w:t xml:space="preserve"> </w:t>
      </w:r>
      <w:r w:rsidR="0092122F" w:rsidRPr="0092122F">
        <w:rPr>
          <w:b/>
        </w:rPr>
        <w:t xml:space="preserve">Leaders need </w:t>
      </w:r>
      <w:proofErr w:type="spellStart"/>
      <w:r w:rsidR="0092122F" w:rsidRPr="0092122F">
        <w:rPr>
          <w:b/>
        </w:rPr>
        <w:t>WHS</w:t>
      </w:r>
      <w:proofErr w:type="spellEnd"/>
      <w:r w:rsidR="0092122F" w:rsidRPr="0092122F">
        <w:rPr>
          <w:b/>
        </w:rPr>
        <w:t xml:space="preserve"> Skills</w:t>
      </w:r>
    </w:p>
    <w:p w:rsidR="0038641C" w:rsidRDefault="0092122F" w:rsidP="0092122F">
      <w:pPr>
        <w:pStyle w:val="supplychains"/>
      </w:pPr>
      <w:r w:rsidRPr="00CB3CEC">
        <w:t xml:space="preserve">Many Master of Business Administration courses do not adequately include </w:t>
      </w:r>
      <w:r>
        <w:t>w</w:t>
      </w:r>
      <w:r w:rsidRPr="00CB3CEC">
        <w:t xml:space="preserve">ork health and safety in core units despite the requirements for officers to exercise due diligence to ensure the business or undertaking complies with its </w:t>
      </w:r>
      <w:proofErr w:type="spellStart"/>
      <w:r w:rsidRPr="00CB3CEC">
        <w:t>WHS</w:t>
      </w:r>
      <w:proofErr w:type="spellEnd"/>
      <w:r w:rsidRPr="00CB3CEC">
        <w:t xml:space="preserve"> duties</w:t>
      </w:r>
    </w:p>
    <w:p w:rsidR="000A29FB" w:rsidRPr="00390B30" w:rsidRDefault="00390B30" w:rsidP="00952D83">
      <w:pPr>
        <w:tabs>
          <w:tab w:val="left" w:pos="966"/>
        </w:tabs>
        <w:spacing w:before="120"/>
        <w:outlineLvl w:val="3"/>
      </w:pPr>
      <w:r w:rsidRPr="00390B30">
        <w:t xml:space="preserve">The </w:t>
      </w:r>
      <w:hyperlink r:id="rId42" w:history="1">
        <w:r w:rsidRPr="00390B30">
          <w:rPr>
            <w:color w:val="0000FF"/>
            <w:u w:val="single"/>
          </w:rPr>
          <w:t>ACTU</w:t>
        </w:r>
      </w:hyperlink>
      <w:r w:rsidRPr="00390B30">
        <w:t xml:space="preserve"> and unions through their </w:t>
      </w:r>
      <w:r w:rsidR="00952D83">
        <w:t>Registered Training Organisation</w:t>
      </w:r>
      <w:r w:rsidR="00952D83" w:rsidRPr="00390B30">
        <w:t xml:space="preserve"> </w:t>
      </w:r>
      <w:r w:rsidRPr="00390B30">
        <w:t xml:space="preserve">provided </w:t>
      </w:r>
      <w:hyperlink r:id="rId43" w:history="1">
        <w:r w:rsidR="008B70E0">
          <w:rPr>
            <w:rStyle w:val="Hyperlink"/>
          </w:rPr>
          <w:t>OHS and Health and Safety Representative</w:t>
        </w:r>
      </w:hyperlink>
      <w:r w:rsidR="008B70E0">
        <w:rPr>
          <w:rStyle w:val="Hyperlink"/>
        </w:rPr>
        <w:t xml:space="preserve"> </w:t>
      </w:r>
      <w:proofErr w:type="gramStart"/>
      <w:r w:rsidR="004B7CA9" w:rsidRPr="004B7CA9">
        <w:t>training</w:t>
      </w:r>
      <w:proofErr w:type="gramEnd"/>
      <w:r w:rsidRPr="00390B30">
        <w:t xml:space="preserve"> and </w:t>
      </w:r>
      <w:r w:rsidR="004B7CA9" w:rsidRPr="004B7CA9">
        <w:t>advice</w:t>
      </w:r>
      <w:r w:rsidRPr="00390B30">
        <w:t xml:space="preserve"> to </w:t>
      </w:r>
      <w:r w:rsidR="00952D83">
        <w:t>their</w:t>
      </w:r>
      <w:r w:rsidR="00952D83" w:rsidRPr="00390B30">
        <w:t xml:space="preserve"> </w:t>
      </w:r>
      <w:r w:rsidRPr="00390B30">
        <w:t xml:space="preserve">members. </w:t>
      </w:r>
    </w:p>
    <w:p w:rsidR="00390B30" w:rsidRPr="00CB3CEC" w:rsidRDefault="00390B30" w:rsidP="00145652">
      <w:pPr>
        <w:pStyle w:val="Heading3"/>
      </w:pPr>
      <w:r w:rsidRPr="00CB3CEC">
        <w:t>Professionals</w:t>
      </w:r>
      <w:r w:rsidR="00952D83" w:rsidRPr="00CB3CEC">
        <w:t>’</w:t>
      </w:r>
      <w:r w:rsidRPr="00CB3CEC">
        <w:t xml:space="preserve"> and Practitioner</w:t>
      </w:r>
      <w:r w:rsidR="00952D83" w:rsidRPr="00CB3CEC">
        <w:t>s’</w:t>
      </w:r>
      <w:r w:rsidRPr="00CB3CEC">
        <w:t xml:space="preserve"> Capabilities</w:t>
      </w:r>
    </w:p>
    <w:p w:rsidR="00390B30" w:rsidRPr="00390B30" w:rsidRDefault="00390B30" w:rsidP="00390B30">
      <w:pPr>
        <w:tabs>
          <w:tab w:val="left" w:pos="966"/>
        </w:tabs>
      </w:pPr>
      <w:r w:rsidRPr="00390B30" w:rsidDel="00C725F3">
        <w:t xml:space="preserve">There is evidence </w:t>
      </w:r>
      <w:r w:rsidR="00E94491">
        <w:t>WHS</w:t>
      </w:r>
      <w:r w:rsidRPr="00390B30" w:rsidDel="00C725F3">
        <w:t xml:space="preserve"> skills are not yet being effectively integrated into education and training programs. </w:t>
      </w:r>
      <w:r w:rsidRPr="00390B30">
        <w:t xml:space="preserve">Given their important role providing workplace advice this was and is a focus for </w:t>
      </w:r>
      <w:r w:rsidR="00BC08C2">
        <w:t>Safe Work Australia</w:t>
      </w:r>
      <w:r w:rsidRPr="00390B30">
        <w:t xml:space="preserve">, regulators and </w:t>
      </w:r>
      <w:r w:rsidR="00952D83">
        <w:t>p</w:t>
      </w:r>
      <w:r w:rsidRPr="00390B30">
        <w:t xml:space="preserve">rofessional </w:t>
      </w:r>
      <w:r w:rsidR="00952D83">
        <w:t>a</w:t>
      </w:r>
      <w:r w:rsidRPr="00390B30">
        <w:t xml:space="preserve">ssociations who continued to undertake projects to improve core competencies. </w:t>
      </w:r>
    </w:p>
    <w:p w:rsidR="008848FD" w:rsidRDefault="00390B30" w:rsidP="00952D83">
      <w:pPr>
        <w:tabs>
          <w:tab w:val="left" w:pos="966"/>
        </w:tabs>
      </w:pPr>
      <w:r w:rsidRPr="00390B30">
        <w:t>The</w:t>
      </w:r>
      <w:r w:rsidR="00730FFC">
        <w:t xml:space="preserve"> </w:t>
      </w:r>
      <w:proofErr w:type="spellStart"/>
      <w:r w:rsidR="00E94491">
        <w:t>WHS</w:t>
      </w:r>
      <w:proofErr w:type="spellEnd"/>
      <w:r w:rsidR="00657BF7">
        <w:t xml:space="preserve"> </w:t>
      </w:r>
      <w:r w:rsidRPr="00390B30">
        <w:t xml:space="preserve">professional associations are collaborating to strengthen the skills of their members. Many are board members on a voluntary tertiary education recognition program overseen by the OHS Education Accreditation Board. </w:t>
      </w:r>
    </w:p>
    <w:p w:rsidR="00390B30" w:rsidRPr="00390B30" w:rsidRDefault="00390B30" w:rsidP="00952D83">
      <w:pPr>
        <w:tabs>
          <w:tab w:val="left" w:pos="966"/>
        </w:tabs>
      </w:pPr>
      <w:r w:rsidRPr="00390B30">
        <w:t xml:space="preserve">The Board recently compiled the </w:t>
      </w:r>
      <w:hyperlink r:id="rId44" w:history="1">
        <w:r w:rsidRPr="00D856C9">
          <w:rPr>
            <w:rStyle w:val="Hyperlink"/>
            <w:i/>
          </w:rPr>
          <w:t>Developing OHS Capability Package</w:t>
        </w:r>
      </w:hyperlink>
      <w:r w:rsidRPr="00390B30">
        <w:t xml:space="preserve"> to assist employers and recruiters evaluate, and where appropriate, support development of capability in their </w:t>
      </w:r>
      <w:r w:rsidR="00E94491">
        <w:t>WHS</w:t>
      </w:r>
      <w:r w:rsidR="00BC08C2">
        <w:t xml:space="preserve"> </w:t>
      </w:r>
      <w:r w:rsidRPr="00390B30">
        <w:t xml:space="preserve">personnel. </w:t>
      </w:r>
    </w:p>
    <w:p w:rsidR="00390B30" w:rsidRPr="00390B30" w:rsidRDefault="00390B30" w:rsidP="00952D83">
      <w:pPr>
        <w:tabs>
          <w:tab w:val="left" w:pos="966"/>
        </w:tabs>
      </w:pPr>
      <w:r w:rsidRPr="00390B30">
        <w:t xml:space="preserve">The Board is also the custodian for the </w:t>
      </w:r>
      <w:hyperlink r:id="rId45" w:history="1">
        <w:r w:rsidR="00952D83">
          <w:rPr>
            <w:color w:val="0000FF"/>
            <w:u w:val="single"/>
          </w:rPr>
          <w:t>OHS Body of Knowledge for Generalist OHS Professionals</w:t>
        </w:r>
      </w:hyperlink>
      <w:r w:rsidRPr="00390B30">
        <w:rPr>
          <w:color w:val="0000FF"/>
        </w:rPr>
        <w:t xml:space="preserve">. </w:t>
      </w:r>
      <w:r w:rsidRPr="00390B30">
        <w:t>This year</w:t>
      </w:r>
      <w:r w:rsidR="00952D83">
        <w:rPr>
          <w:color w:val="0000FF"/>
          <w:u w:val="single"/>
        </w:rPr>
        <w:t xml:space="preserve"> </w:t>
      </w:r>
      <w:r w:rsidRPr="00390B30">
        <w:t>S</w:t>
      </w:r>
      <w:r w:rsidR="00BC08C2">
        <w:t xml:space="preserve">afe </w:t>
      </w:r>
      <w:r w:rsidRPr="00390B30">
        <w:t>W</w:t>
      </w:r>
      <w:r w:rsidR="00BC08C2">
        <w:t xml:space="preserve">ork </w:t>
      </w:r>
      <w:r w:rsidRPr="00390B30">
        <w:t>A</w:t>
      </w:r>
      <w:r w:rsidR="00BC08C2">
        <w:t>ustralia</w:t>
      </w:r>
      <w:r w:rsidRPr="00390B30">
        <w:t xml:space="preserve"> funded the development of four additional chapters on: </w:t>
      </w:r>
      <w:r w:rsidR="00E94491">
        <w:t>WHS</w:t>
      </w:r>
      <w:r w:rsidR="00E81ED3">
        <w:t xml:space="preserve"> </w:t>
      </w:r>
      <w:r w:rsidRPr="00390B30">
        <w:t>jurisprudence; organisational culture; risk and decision making, and user centred and safe design</w:t>
      </w:r>
      <w:r w:rsidR="00952D83">
        <w:t>, which</w:t>
      </w:r>
      <w:r w:rsidRPr="00390B30">
        <w:t xml:space="preserve"> will be published in 2014.</w:t>
      </w:r>
      <w:r w:rsidRPr="00390B30">
        <w:rPr>
          <w:color w:val="5F5F5F" w:themeColor="hyperlink"/>
          <w:u w:val="single"/>
        </w:rPr>
        <w:t xml:space="preserve"> </w:t>
      </w:r>
    </w:p>
    <w:p w:rsidR="00390B30" w:rsidRPr="00390B30" w:rsidRDefault="00390B30" w:rsidP="00390B30">
      <w:pPr>
        <w:tabs>
          <w:tab w:val="left" w:pos="966"/>
        </w:tabs>
        <w:spacing w:before="120"/>
      </w:pPr>
      <w:r w:rsidRPr="00390B30">
        <w:t xml:space="preserve">Under the Australian Strategy there is recognition of the importance of building a skilled inspectorate. </w:t>
      </w:r>
      <w:r w:rsidRPr="005D25B1">
        <w:t>H</w:t>
      </w:r>
      <w:r w:rsidR="00BC08C2" w:rsidRPr="005D25B1">
        <w:t xml:space="preserve">eads of </w:t>
      </w:r>
      <w:r w:rsidRPr="005D25B1">
        <w:t>W</w:t>
      </w:r>
      <w:r w:rsidR="00BC08C2" w:rsidRPr="005D25B1">
        <w:t xml:space="preserve">orkplace </w:t>
      </w:r>
      <w:r w:rsidRPr="005D25B1">
        <w:t>S</w:t>
      </w:r>
      <w:r w:rsidR="00BC08C2" w:rsidRPr="005D25B1">
        <w:t xml:space="preserve">afety </w:t>
      </w:r>
      <w:r w:rsidRPr="005D25B1">
        <w:t>A</w:t>
      </w:r>
      <w:r w:rsidR="00BC08C2" w:rsidRPr="005D25B1">
        <w:t>uthorities</w:t>
      </w:r>
      <w:r w:rsidRPr="00390B30">
        <w:rPr>
          <w:rFonts w:cs="Arial"/>
          <w:color w:val="000000"/>
          <w:lang w:val="en-US"/>
        </w:rPr>
        <w:t>’</w:t>
      </w:r>
      <w:r w:rsidR="00D050FD">
        <w:rPr>
          <w:rFonts w:cs="Arial"/>
          <w:color w:val="000000"/>
          <w:lang w:val="en-US"/>
        </w:rPr>
        <w:t xml:space="preserve"> (</w:t>
      </w:r>
      <w:proofErr w:type="spellStart"/>
      <w:r w:rsidR="00D050FD">
        <w:rPr>
          <w:rFonts w:cs="Arial"/>
          <w:color w:val="000000"/>
          <w:lang w:val="en-US"/>
        </w:rPr>
        <w:t>HWSA</w:t>
      </w:r>
      <w:proofErr w:type="spellEnd"/>
      <w:r w:rsidR="00D050FD">
        <w:rPr>
          <w:rFonts w:cs="Arial"/>
          <w:color w:val="000000"/>
          <w:lang w:val="en-US"/>
        </w:rPr>
        <w:t>)</w:t>
      </w:r>
      <w:r w:rsidRPr="00390B30">
        <w:t xml:space="preserve"> collaboration on </w:t>
      </w:r>
      <w:r w:rsidRPr="005D25B1">
        <w:lastRenderedPageBreak/>
        <w:t>inspector training</w:t>
      </w:r>
      <w:r w:rsidRPr="00390B30">
        <w:t xml:space="preserve"> adopted nationally is focused</w:t>
      </w:r>
      <w:r w:rsidR="00952D83">
        <w:t xml:space="preserve"> on</w:t>
      </w:r>
      <w:r w:rsidRPr="00390B30">
        <w:t xml:space="preserve"> improving their technical skills and supporting more consistent application of</w:t>
      </w:r>
      <w:r w:rsidR="00730FFC">
        <w:t xml:space="preserve"> </w:t>
      </w:r>
      <w:proofErr w:type="spellStart"/>
      <w:r w:rsidR="00E94491">
        <w:t>WHS</w:t>
      </w:r>
      <w:proofErr w:type="spellEnd"/>
      <w:r w:rsidRPr="00390B30">
        <w:t xml:space="preserve"> laws.</w:t>
      </w:r>
    </w:p>
    <w:p w:rsidR="00390B30" w:rsidRPr="00390B30" w:rsidRDefault="004B5D98" w:rsidP="00145652">
      <w:pPr>
        <w:pStyle w:val="Heading2"/>
        <w:rPr>
          <w:b/>
          <w:i/>
          <w:sz w:val="24"/>
        </w:rPr>
      </w:pPr>
      <w:hyperlink r:id="rId46" w:history="1">
        <w:bookmarkStart w:id="2" w:name="_Toc384372883"/>
        <w:r w:rsidR="00390B30" w:rsidRPr="00390B30">
          <w:rPr>
            <w:b/>
            <w:i/>
            <w:color w:val="0000FF"/>
            <w:sz w:val="24"/>
            <w:u w:val="single"/>
          </w:rPr>
          <w:t>Leadership and Culture</w:t>
        </w:r>
        <w:bookmarkEnd w:id="2"/>
      </w:hyperlink>
    </w:p>
    <w:p w:rsidR="00390B30" w:rsidRDefault="00390B30" w:rsidP="00145652">
      <w:pPr>
        <w:pStyle w:val="Heading3"/>
      </w:pPr>
      <w:r w:rsidRPr="00730FFC">
        <w:t xml:space="preserve">Why are leaders and community attitudes so important? </w:t>
      </w:r>
    </w:p>
    <w:p w:rsidR="00390B30" w:rsidRPr="00390B30" w:rsidRDefault="00390B30" w:rsidP="00390B30">
      <w:pPr>
        <w:tabs>
          <w:tab w:val="left" w:pos="0"/>
          <w:tab w:val="left" w:pos="966"/>
          <w:tab w:val="right" w:leader="dot" w:pos="9062"/>
        </w:tabs>
        <w:spacing w:before="120"/>
      </w:pPr>
      <w:r w:rsidRPr="00390B30">
        <w:t xml:space="preserve">Organisational cultures can </w:t>
      </w:r>
      <w:r w:rsidR="00952D83">
        <w:t xml:space="preserve">be </w:t>
      </w:r>
      <w:r w:rsidRPr="00390B30">
        <w:t>and are strongly influenced</w:t>
      </w:r>
      <w:r w:rsidR="00952D83">
        <w:t xml:space="preserve"> by</w:t>
      </w:r>
      <w:r w:rsidRPr="00390B30">
        <w:t xml:space="preserve"> their internal leaders and the broader community values and attitudes. Community expectations are powerful drivers of change and collectively influence the nation’s health and safety culture. When the Australian community expects and demands work is free from harm failure to do so will generate community pressure and calls for action.</w:t>
      </w:r>
    </w:p>
    <w:p w:rsidR="00E045AB" w:rsidRPr="00E045AB" w:rsidRDefault="00E045AB" w:rsidP="00E045AB">
      <w:pPr>
        <w:pStyle w:val="leadershipandculture"/>
        <w:rPr>
          <w:b/>
        </w:rPr>
      </w:pPr>
      <w:r w:rsidRPr="00E045AB">
        <w:rPr>
          <w:b/>
        </w:rPr>
        <w:t>Strong community commitment to work health and safety</w:t>
      </w:r>
    </w:p>
    <w:p w:rsidR="00E045AB" w:rsidRPr="00CB3CEC" w:rsidRDefault="00E045AB" w:rsidP="00E045AB">
      <w:pPr>
        <w:pStyle w:val="leadershipandculture"/>
      </w:pPr>
      <w:r w:rsidRPr="00CB3CEC">
        <w:t>100 per cent of people agree making workplaces safer is the ‘right thing to do’ and 98 per cent making workplaces safer ultimately benefits everyone.</w:t>
      </w:r>
    </w:p>
    <w:p w:rsidR="00E23BF4" w:rsidRPr="00E045AB" w:rsidRDefault="00E045AB" w:rsidP="00E045AB">
      <w:pPr>
        <w:pStyle w:val="leadershipandculture"/>
      </w:pPr>
      <w:r w:rsidRPr="00CB3CEC">
        <w:t>The Australian community continues to rank work related injury and illnesses as an important issue being ranked just after road accidents, cancer, and diet and exercise. This is despite the relatively small investment in work health and safety media campaigns compared to the other issues.</w:t>
      </w:r>
    </w:p>
    <w:p w:rsidR="00145652" w:rsidRDefault="00145652" w:rsidP="00390B30">
      <w:pPr>
        <w:tabs>
          <w:tab w:val="left" w:pos="966"/>
        </w:tabs>
        <w:rPr>
          <w:b/>
          <w:i/>
        </w:rPr>
      </w:pPr>
    </w:p>
    <w:p w:rsidR="00390B30" w:rsidRPr="00390B30" w:rsidRDefault="00E23BF4" w:rsidP="00145652">
      <w:pPr>
        <w:pStyle w:val="Heading3"/>
      </w:pPr>
      <w:r>
        <w:t>W</w:t>
      </w:r>
      <w:r w:rsidR="00390B30" w:rsidRPr="00390B30">
        <w:t xml:space="preserve">hat is being done? </w:t>
      </w:r>
    </w:p>
    <w:p w:rsidR="00390B30" w:rsidRPr="00390B30" w:rsidRDefault="00390B30" w:rsidP="00390B30">
      <w:pPr>
        <w:tabs>
          <w:tab w:val="left" w:pos="966"/>
        </w:tabs>
      </w:pPr>
      <w:r w:rsidRPr="00390B30">
        <w:t xml:space="preserve">For many years the </w:t>
      </w:r>
      <w:r w:rsidR="00E94491">
        <w:t>WHS</w:t>
      </w:r>
      <w:r w:rsidR="00657BF7">
        <w:t xml:space="preserve"> r</w:t>
      </w:r>
      <w:r w:rsidRPr="00390B30">
        <w:t>egulators and to a more limited extent employer associations and unions have run multi media campaigns to raise community awareness of the serious impact of workplace incidents on individuals, businesses and society. Some recent examples</w:t>
      </w:r>
      <w:r w:rsidR="00596F22">
        <w:t xml:space="preserve"> of</w:t>
      </w:r>
      <w:r w:rsidRPr="00390B30">
        <w:t xml:space="preserve"> jurisdictional campaigns are noted below.</w:t>
      </w:r>
    </w:p>
    <w:p w:rsidR="008153EA" w:rsidRDefault="00390B30" w:rsidP="00390B30">
      <w:pPr>
        <w:tabs>
          <w:tab w:val="left" w:pos="0"/>
          <w:tab w:val="left" w:pos="966"/>
          <w:tab w:val="right" w:leader="dot" w:pos="9062"/>
        </w:tabs>
        <w:spacing w:before="120"/>
        <w:rPr>
          <w:rFonts w:eastAsia="Batang"/>
        </w:rPr>
      </w:pPr>
      <w:r w:rsidRPr="00390B30">
        <w:rPr>
          <w:rFonts w:eastAsia="Batang"/>
        </w:rPr>
        <w:t xml:space="preserve">In the ACT </w:t>
      </w:r>
      <w:hyperlink r:id="rId47" w:history="1">
        <w:r w:rsidR="003608CC" w:rsidRPr="00F529AD">
          <w:rPr>
            <w:rStyle w:val="Hyperlink"/>
            <w:i/>
          </w:rPr>
          <w:t>Be a Workplace Hero</w:t>
        </w:r>
        <w:r w:rsidRPr="00F529AD">
          <w:rPr>
            <w:rStyle w:val="Hyperlink"/>
          </w:rPr>
          <w:t xml:space="preserve"> </w:t>
        </w:r>
        <w:r w:rsidRPr="00F529AD">
          <w:rPr>
            <w:rStyle w:val="Hyperlink"/>
            <w:rFonts w:eastAsia="Batang"/>
          </w:rPr>
          <w:t xml:space="preserve">and </w:t>
        </w:r>
        <w:r w:rsidRPr="00F529AD">
          <w:rPr>
            <w:rStyle w:val="Hyperlink"/>
            <w:rFonts w:eastAsia="Batang"/>
            <w:i/>
          </w:rPr>
          <w:t>Speak up About Safety</w:t>
        </w:r>
      </w:hyperlink>
      <w:r w:rsidRPr="00390B30">
        <w:rPr>
          <w:rFonts w:eastAsia="Batang"/>
        </w:rPr>
        <w:t xml:space="preserve"> campaigns urged ordinary workers to take action when they saw workplace </w:t>
      </w:r>
      <w:r w:rsidRPr="00390B30">
        <w:t>hazards</w:t>
      </w:r>
      <w:r w:rsidRPr="00390B30">
        <w:rPr>
          <w:rFonts w:eastAsia="Batang"/>
        </w:rPr>
        <w:t xml:space="preserve"> and risks.</w:t>
      </w:r>
    </w:p>
    <w:p w:rsidR="00390B30" w:rsidRPr="00390B30" w:rsidRDefault="00390B30" w:rsidP="00390B30">
      <w:pPr>
        <w:tabs>
          <w:tab w:val="left" w:pos="0"/>
          <w:tab w:val="left" w:pos="966"/>
          <w:tab w:val="right" w:leader="dot" w:pos="9062"/>
        </w:tabs>
        <w:spacing w:before="120"/>
        <w:rPr>
          <w:rFonts w:eastAsia="Batang"/>
        </w:rPr>
      </w:pPr>
      <w:r w:rsidRPr="00390B30">
        <w:rPr>
          <w:rFonts w:eastAsia="Batang"/>
        </w:rPr>
        <w:t xml:space="preserve">The </w:t>
      </w:r>
      <w:hyperlink r:id="rId48" w:history="1">
        <w:r w:rsidRPr="00A04AE1">
          <w:rPr>
            <w:rStyle w:val="Hyperlink"/>
            <w:rFonts w:eastAsia="Batang"/>
            <w:i/>
          </w:rPr>
          <w:t>Not Sure Ask</w:t>
        </w:r>
      </w:hyperlink>
      <w:r w:rsidRPr="00A04AE1">
        <w:rPr>
          <w:rFonts w:eastAsia="Batang"/>
          <w:i/>
          <w:color w:val="0000FF"/>
        </w:rPr>
        <w:t xml:space="preserve"> </w:t>
      </w:r>
      <w:r w:rsidRPr="00A04AE1">
        <w:rPr>
          <w:rFonts w:eastAsia="Batang"/>
        </w:rPr>
        <w:t>V</w:t>
      </w:r>
      <w:r w:rsidRPr="00390B30">
        <w:rPr>
          <w:rFonts w:eastAsia="Batang"/>
        </w:rPr>
        <w:t xml:space="preserve">ictorian social media campaign encouraged young workers to speak up at work if they are unsure of how to do </w:t>
      </w:r>
      <w:r w:rsidRPr="00390B30">
        <w:t>something</w:t>
      </w:r>
      <w:r w:rsidRPr="00390B30">
        <w:rPr>
          <w:rFonts w:eastAsia="Batang"/>
        </w:rPr>
        <w:t xml:space="preserve"> safely. </w:t>
      </w:r>
    </w:p>
    <w:p w:rsidR="00390B30" w:rsidRPr="00390B30" w:rsidRDefault="003F1976" w:rsidP="00390B30">
      <w:pPr>
        <w:tabs>
          <w:tab w:val="left" w:pos="966"/>
        </w:tabs>
        <w:spacing w:before="200"/>
        <w:outlineLvl w:val="3"/>
        <w:rPr>
          <w:rFonts w:eastAsia="Batang"/>
        </w:rPr>
      </w:pPr>
      <w:r w:rsidRPr="008153EA">
        <w:rPr>
          <w:rFonts w:eastAsia="Batang"/>
        </w:rPr>
        <w:lastRenderedPageBreak/>
        <w:t xml:space="preserve">The </w:t>
      </w:r>
      <w:hyperlink r:id="rId49" w:history="1">
        <w:r w:rsidRPr="00E642A8">
          <w:rPr>
            <w:rStyle w:val="Hyperlink"/>
            <w:i/>
          </w:rPr>
          <w:t>Better Work Tasmania (</w:t>
        </w:r>
        <w:proofErr w:type="spellStart"/>
        <w:r w:rsidRPr="00E642A8">
          <w:rPr>
            <w:rStyle w:val="Hyperlink"/>
            <w:i/>
          </w:rPr>
          <w:t>BWT</w:t>
        </w:r>
        <w:proofErr w:type="spellEnd"/>
        <w:r w:rsidRPr="00E642A8">
          <w:rPr>
            <w:rStyle w:val="Hyperlink"/>
            <w:i/>
          </w:rPr>
          <w:t>) Prototype Program</w:t>
        </w:r>
      </w:hyperlink>
      <w:r w:rsidR="00390B30" w:rsidRPr="008153EA">
        <w:rPr>
          <w:color w:val="C00000"/>
        </w:rPr>
        <w:t xml:space="preserve"> </w:t>
      </w:r>
      <w:r w:rsidR="00390B30" w:rsidRPr="00390B30">
        <w:rPr>
          <w:rFonts w:eastAsia="Batang"/>
        </w:rPr>
        <w:t xml:space="preserve">is testing an integrated incentive approach to engage the broader community and specific workplaces in making health and safety a priority. </w:t>
      </w:r>
    </w:p>
    <w:p w:rsidR="00E045AB" w:rsidRDefault="00390B30" w:rsidP="00D008DE">
      <w:pPr>
        <w:tabs>
          <w:tab w:val="left" w:pos="966"/>
        </w:tabs>
        <w:rPr>
          <w:b/>
          <w:i/>
        </w:rPr>
      </w:pPr>
      <w:r w:rsidRPr="00145652">
        <w:rPr>
          <w:rStyle w:val="Heading3Char"/>
        </w:rPr>
        <w:t>Why are organisational leaders important?</w:t>
      </w:r>
      <w:r w:rsidRPr="008153EA">
        <w:rPr>
          <w:b/>
          <w:i/>
        </w:rPr>
        <w:t xml:space="preserve"> </w:t>
      </w:r>
    </w:p>
    <w:p w:rsidR="00E045AB" w:rsidRDefault="00E045AB" w:rsidP="00E045AB">
      <w:pPr>
        <w:pStyle w:val="leadershipandculture"/>
      </w:pPr>
      <w:r w:rsidRPr="00022F50">
        <w:rPr>
          <w:b/>
        </w:rPr>
        <w:t>Investors prefer safe workplaces</w:t>
      </w:r>
      <w:r w:rsidRPr="00022F50">
        <w:t xml:space="preserve"> </w:t>
      </w:r>
    </w:p>
    <w:p w:rsidR="00E045AB" w:rsidRPr="00022F50" w:rsidRDefault="00E045AB" w:rsidP="00E045AB">
      <w:pPr>
        <w:pStyle w:val="leadershipandculture"/>
      </w:pPr>
      <w:r w:rsidRPr="00022F50">
        <w:t xml:space="preserve">Companies that accurately disclose their environmental and </w:t>
      </w:r>
      <w:proofErr w:type="spellStart"/>
      <w:r w:rsidRPr="00022F50">
        <w:t>WHS</w:t>
      </w:r>
      <w:proofErr w:type="spellEnd"/>
      <w:r w:rsidRPr="00022F50">
        <w:t xml:space="preserve"> information are considered more favourably by investors</w:t>
      </w:r>
    </w:p>
    <w:p w:rsidR="00E045AB" w:rsidRDefault="00E045AB" w:rsidP="00E045AB">
      <w:pPr>
        <w:pStyle w:val="leadershipandculture"/>
        <w:rPr>
          <w:b/>
          <w:i/>
        </w:rPr>
      </w:pPr>
      <w:r w:rsidRPr="00022F50">
        <w:rPr>
          <w:szCs w:val="20"/>
        </w:rPr>
        <w:t xml:space="preserve">Source: </w:t>
      </w:r>
      <w:hyperlink r:id="rId50" w:history="1">
        <w:proofErr w:type="spellStart"/>
        <w:r>
          <w:rPr>
            <w:rStyle w:val="Hyperlink"/>
            <w:szCs w:val="20"/>
          </w:rPr>
          <w:t>ACSI</w:t>
        </w:r>
        <w:proofErr w:type="spellEnd"/>
        <w:r>
          <w:rPr>
            <w:rStyle w:val="Hyperlink"/>
            <w:szCs w:val="20"/>
          </w:rPr>
          <w:t xml:space="preserve"> Report (PDF)</w:t>
        </w:r>
      </w:hyperlink>
    </w:p>
    <w:p w:rsidR="009614E2" w:rsidRDefault="009614E2" w:rsidP="00D008DE">
      <w:pPr>
        <w:tabs>
          <w:tab w:val="left" w:pos="966"/>
        </w:tabs>
        <w:rPr>
          <w:b/>
          <w:i/>
        </w:rPr>
      </w:pPr>
    </w:p>
    <w:p w:rsidR="00390B30" w:rsidRPr="00390B30" w:rsidRDefault="00390B30" w:rsidP="00D008DE">
      <w:pPr>
        <w:tabs>
          <w:tab w:val="left" w:pos="966"/>
        </w:tabs>
      </w:pPr>
      <w:r w:rsidRPr="00390B30">
        <w:t xml:space="preserve">A positive organisational culture created by good leadership is fundamental to ensuring workplace health and safety. There is strong evidence performance is improved when organisations address </w:t>
      </w:r>
      <w:r w:rsidR="00E94491">
        <w:t>WHS</w:t>
      </w:r>
      <w:r w:rsidRPr="00390B30">
        <w:t xml:space="preserve"> risks as a priority together with other important business risks. </w:t>
      </w:r>
    </w:p>
    <w:p w:rsidR="00390B30" w:rsidRPr="00390B30" w:rsidRDefault="00390B30" w:rsidP="00596F22">
      <w:pPr>
        <w:tabs>
          <w:tab w:val="left" w:pos="0"/>
          <w:tab w:val="left" w:pos="966"/>
          <w:tab w:val="right" w:leader="dot" w:pos="9062"/>
        </w:tabs>
        <w:spacing w:before="120"/>
      </w:pPr>
      <w:r w:rsidRPr="00390B30">
        <w:t xml:space="preserve">Organisations whether large or small know their reputation is an important element in business resilience and sustainability.  Internationally and in Australia interest </w:t>
      </w:r>
      <w:r w:rsidR="00596F22" w:rsidRPr="00390B30">
        <w:t xml:space="preserve">is growing </w:t>
      </w:r>
      <w:r w:rsidR="00596F22">
        <w:t xml:space="preserve">in </w:t>
      </w:r>
      <w:r w:rsidRPr="00390B30">
        <w:t xml:space="preserve">corporate social responsibility indicators which also include </w:t>
      </w:r>
      <w:r w:rsidR="00E94491">
        <w:t>WHS</w:t>
      </w:r>
      <w:r w:rsidRPr="00390B30">
        <w:t xml:space="preserve">. An important tool for leaders is to accurately measure their organisation’s </w:t>
      </w:r>
      <w:r w:rsidR="00E94491">
        <w:t>WHS</w:t>
      </w:r>
      <w:r w:rsidR="00E23BF4">
        <w:t xml:space="preserve"> </w:t>
      </w:r>
      <w:r w:rsidRPr="00390B30">
        <w:t xml:space="preserve">performance and if desired, benchmark themselves against their peers.  </w:t>
      </w:r>
    </w:p>
    <w:p w:rsidR="009614E2" w:rsidRDefault="00390B30" w:rsidP="0096720E">
      <w:pPr>
        <w:pStyle w:val="Heading3"/>
      </w:pPr>
      <w:r w:rsidRPr="00390B30">
        <w:t xml:space="preserve">What is being </w:t>
      </w:r>
      <w:r w:rsidRPr="0096720E">
        <w:t>done</w:t>
      </w:r>
      <w:r w:rsidRPr="00390B30">
        <w:t xml:space="preserve">? </w:t>
      </w:r>
    </w:p>
    <w:p w:rsidR="00AE244D" w:rsidRDefault="00390B30" w:rsidP="00596F22">
      <w:pPr>
        <w:tabs>
          <w:tab w:val="left" w:pos="966"/>
        </w:tabs>
      </w:pPr>
      <w:r w:rsidRPr="00390B30">
        <w:t>S</w:t>
      </w:r>
      <w:r w:rsidR="004262F3">
        <w:t xml:space="preserve">afe </w:t>
      </w:r>
      <w:r w:rsidRPr="00390B30">
        <w:t>W</w:t>
      </w:r>
      <w:r w:rsidR="004262F3">
        <w:t xml:space="preserve">ork </w:t>
      </w:r>
      <w:r w:rsidRPr="00390B30">
        <w:t>A</w:t>
      </w:r>
      <w:r w:rsidR="004262F3">
        <w:t>ustralia</w:t>
      </w:r>
      <w:r w:rsidRPr="00390B30">
        <w:t xml:space="preserve"> is working with Macquarie University, </w:t>
      </w:r>
      <w:r w:rsidR="00596F22">
        <w:t>the Safety Institute of Australia</w:t>
      </w:r>
      <w:r w:rsidRPr="00390B30">
        <w:t xml:space="preserve"> and CPA on a long-ter</w:t>
      </w:r>
      <w:r w:rsidR="007E4184">
        <w:t>m</w:t>
      </w:r>
      <w:r w:rsidR="00AE244D">
        <w:t xml:space="preserve"> </w:t>
      </w:r>
      <w:r w:rsidRPr="00390B30">
        <w:t xml:space="preserve">project to standardise and improve business and organisational </w:t>
      </w:r>
      <w:hyperlink r:id="rId51" w:history="1">
        <w:r w:rsidR="00E94491" w:rsidRPr="006F3CA5">
          <w:rPr>
            <w:rStyle w:val="Hyperlink"/>
          </w:rPr>
          <w:t>WHS</w:t>
        </w:r>
        <w:r w:rsidRPr="006F3CA5">
          <w:rPr>
            <w:rStyle w:val="Hyperlink"/>
          </w:rPr>
          <w:t xml:space="preserve"> reporting</w:t>
        </w:r>
      </w:hyperlink>
      <w:r w:rsidRPr="00390B30">
        <w:t xml:space="preserve">. </w:t>
      </w:r>
    </w:p>
    <w:p w:rsidR="00390B30" w:rsidRDefault="00390B30" w:rsidP="00596F22">
      <w:pPr>
        <w:tabs>
          <w:tab w:val="left" w:pos="966"/>
        </w:tabs>
      </w:pPr>
    </w:p>
    <w:p w:rsidR="00390B30" w:rsidRDefault="00390B30" w:rsidP="00390B30">
      <w:pPr>
        <w:tabs>
          <w:tab w:val="left" w:pos="966"/>
        </w:tabs>
      </w:pPr>
      <w:r w:rsidRPr="00390B30">
        <w:t xml:space="preserve">In collaboration with Monash University, </w:t>
      </w:r>
      <w:r w:rsidR="004262F3">
        <w:t>Safe Work Australia</w:t>
      </w:r>
      <w:r w:rsidR="004262F3" w:rsidRPr="00390B30">
        <w:t xml:space="preserve"> </w:t>
      </w:r>
      <w:r w:rsidRPr="00390B30">
        <w:t xml:space="preserve">is </w:t>
      </w:r>
      <w:r w:rsidR="004C09D3">
        <w:t xml:space="preserve">also </w:t>
      </w:r>
      <w:r w:rsidRPr="00390B30">
        <w:t xml:space="preserve">developing </w:t>
      </w:r>
      <w:r w:rsidR="00E94491" w:rsidRPr="00C7534F">
        <w:t>WHS</w:t>
      </w:r>
      <w:r w:rsidRPr="00C7534F">
        <w:t xml:space="preserve"> indicators</w:t>
      </w:r>
      <w:r w:rsidRPr="00390B30">
        <w:t xml:space="preserve"> including on</w:t>
      </w:r>
      <w:r w:rsidR="00596F22">
        <w:t>e which would measure</w:t>
      </w:r>
      <w:r w:rsidRPr="00390B30">
        <w:t xml:space="preserve"> organisational culture.</w:t>
      </w:r>
    </w:p>
    <w:p w:rsidR="00E045AB" w:rsidRDefault="00E045AB" w:rsidP="00390B30">
      <w:pPr>
        <w:tabs>
          <w:tab w:val="left" w:pos="966"/>
        </w:tabs>
      </w:pPr>
    </w:p>
    <w:p w:rsidR="00E045AB" w:rsidRDefault="00E045AB" w:rsidP="00390B30">
      <w:pPr>
        <w:tabs>
          <w:tab w:val="left" w:pos="966"/>
        </w:tabs>
      </w:pPr>
    </w:p>
    <w:p w:rsidR="00E045AB" w:rsidRDefault="00E045AB" w:rsidP="00390B30">
      <w:pPr>
        <w:tabs>
          <w:tab w:val="left" w:pos="966"/>
        </w:tabs>
      </w:pPr>
    </w:p>
    <w:p w:rsidR="00E045AB" w:rsidRDefault="00E045AB" w:rsidP="00390B30">
      <w:pPr>
        <w:tabs>
          <w:tab w:val="left" w:pos="966"/>
        </w:tabs>
      </w:pPr>
    </w:p>
    <w:p w:rsidR="00E045AB" w:rsidRDefault="00E045AB" w:rsidP="00390B30">
      <w:pPr>
        <w:tabs>
          <w:tab w:val="left" w:pos="966"/>
        </w:tabs>
      </w:pPr>
    </w:p>
    <w:p w:rsidR="00E045AB" w:rsidRPr="00390B30" w:rsidRDefault="00E045AB" w:rsidP="00390B30">
      <w:pPr>
        <w:tabs>
          <w:tab w:val="left" w:pos="966"/>
        </w:tabs>
      </w:pPr>
    </w:p>
    <w:p w:rsidR="00E045AB" w:rsidRDefault="0066505D" w:rsidP="00390B30">
      <w:pPr>
        <w:tabs>
          <w:tab w:val="left" w:pos="0"/>
          <w:tab w:val="left" w:pos="966"/>
          <w:tab w:val="right" w:leader="dot" w:pos="9062"/>
        </w:tabs>
        <w:spacing w:before="120"/>
        <w:rPr>
          <w:rFonts w:eastAsia="Batang"/>
        </w:rPr>
      </w:pPr>
      <w:r w:rsidRPr="00E069C0">
        <w:lastRenderedPageBreak/>
        <w:t xml:space="preserve">The </w:t>
      </w:r>
      <w:hyperlink r:id="rId52" w:history="1">
        <w:r w:rsidRPr="006F3CA5">
          <w:rPr>
            <w:rStyle w:val="Hyperlink"/>
            <w:i/>
          </w:rPr>
          <w:t>Sustainability Leadership Framework</w:t>
        </w:r>
      </w:hyperlink>
      <w:r w:rsidR="00390B30" w:rsidRPr="00E069C0">
        <w:rPr>
          <w:color w:val="C00000"/>
        </w:rPr>
        <w:t xml:space="preserve"> </w:t>
      </w:r>
      <w:r w:rsidR="00390B30" w:rsidRPr="00390B30">
        <w:t>is</w:t>
      </w:r>
      <w:r w:rsidR="00390B30" w:rsidRPr="00390B30">
        <w:rPr>
          <w:rFonts w:eastAsia="Batang"/>
        </w:rPr>
        <w:t xml:space="preserve"> </w:t>
      </w:r>
    </w:p>
    <w:p w:rsidR="00E045AB" w:rsidRPr="00CB3CEC" w:rsidRDefault="00E045AB" w:rsidP="00E045AB">
      <w:pPr>
        <w:pStyle w:val="leadershipandculture"/>
      </w:pPr>
      <w:r>
        <w:t>Importance of work health and safety</w:t>
      </w:r>
    </w:p>
    <w:p w:rsidR="00E045AB" w:rsidRDefault="00E045AB" w:rsidP="00E045AB">
      <w:pPr>
        <w:pStyle w:val="leadershipandculture"/>
      </w:pPr>
      <w:r>
        <w:t>The Australian community continues to rank work-related injury and illness as a middle importance issue (46 percent) following road accidents (59 percent), cancer (54 percent) and diet and exercise (48 percent).</w:t>
      </w:r>
    </w:p>
    <w:p w:rsidR="00E045AB" w:rsidRPr="00CB3CEC" w:rsidRDefault="00E045AB" w:rsidP="00E045AB">
      <w:pPr>
        <w:pStyle w:val="leadershipandculture"/>
      </w:pPr>
      <w:r>
        <w:t xml:space="preserve">There is a strong commitment to work health and safety with 100 percent agreeing that making </w:t>
      </w:r>
      <w:r w:rsidRPr="00CB3CEC">
        <w:t xml:space="preserve">workplaces safer ultimately advantages everyone </w:t>
      </w:r>
      <w:hyperlink r:id="rId53" w:history="1">
        <w:r w:rsidRPr="00CB3CEC">
          <w:rPr>
            <w:rStyle w:val="Hyperlink"/>
          </w:rPr>
          <w:t>Research report</w:t>
        </w:r>
      </w:hyperlink>
      <w:r w:rsidRPr="00CB3CEC">
        <w:t xml:space="preserve"> on workplace culture.</w:t>
      </w:r>
    </w:p>
    <w:p w:rsidR="00390B30" w:rsidRPr="00390B30" w:rsidRDefault="00390B30" w:rsidP="00390B30">
      <w:pPr>
        <w:tabs>
          <w:tab w:val="left" w:pos="0"/>
          <w:tab w:val="left" w:pos="966"/>
          <w:tab w:val="right" w:leader="dot" w:pos="9062"/>
        </w:tabs>
        <w:spacing w:before="120"/>
        <w:rPr>
          <w:lang w:val="en"/>
        </w:rPr>
      </w:pPr>
      <w:proofErr w:type="gramStart"/>
      <w:r w:rsidRPr="00390B30">
        <w:rPr>
          <w:rFonts w:eastAsia="Batang"/>
        </w:rPr>
        <w:t>an</w:t>
      </w:r>
      <w:proofErr w:type="gramEnd"/>
      <w:r w:rsidRPr="00390B30">
        <w:rPr>
          <w:rFonts w:eastAsia="Batang"/>
        </w:rPr>
        <w:t xml:space="preserve"> exciting ongoing program </w:t>
      </w:r>
      <w:r w:rsidRPr="00390B30">
        <w:rPr>
          <w:lang w:val="en"/>
        </w:rPr>
        <w:t>providing the platform for P</w:t>
      </w:r>
      <w:r w:rsidR="009614E2">
        <w:rPr>
          <w:lang w:val="en"/>
        </w:rPr>
        <w:t>lastics and Chemicals Industries Association</w:t>
      </w:r>
      <w:r w:rsidRPr="00390B30">
        <w:rPr>
          <w:lang w:val="en"/>
        </w:rPr>
        <w:t xml:space="preserve"> members to turn environmental sustainability, security, product management and workplace health and </w:t>
      </w:r>
      <w:r w:rsidRPr="00390B30">
        <w:t>safety</w:t>
      </w:r>
      <w:r w:rsidRPr="00390B30">
        <w:rPr>
          <w:lang w:val="en"/>
        </w:rPr>
        <w:t xml:space="preserve"> into business opportunities.</w:t>
      </w:r>
    </w:p>
    <w:p w:rsidR="00390B30" w:rsidRPr="00390B30" w:rsidRDefault="00390B30" w:rsidP="00390B30">
      <w:pPr>
        <w:tabs>
          <w:tab w:val="left" w:pos="0"/>
          <w:tab w:val="left" w:pos="966"/>
          <w:tab w:val="right" w:leader="dot" w:pos="9062"/>
        </w:tabs>
        <w:spacing w:before="120"/>
      </w:pPr>
      <w:r w:rsidRPr="00390B30">
        <w:t xml:space="preserve">Leaders attend particularly to messages coming from their peers. The </w:t>
      </w:r>
      <w:hyperlink r:id="rId54" w:history="1">
        <w:r w:rsidR="0066505D" w:rsidRPr="00EC6BF9">
          <w:rPr>
            <w:rStyle w:val="Hyperlink"/>
            <w:i/>
          </w:rPr>
          <w:t>Queensland Zero Harm at Work Leadership Program</w:t>
        </w:r>
      </w:hyperlink>
      <w:r w:rsidRPr="00A04AE1">
        <w:rPr>
          <w:color w:val="0000FF"/>
        </w:rPr>
        <w:t xml:space="preserve"> </w:t>
      </w:r>
      <w:r w:rsidRPr="00390B30">
        <w:t xml:space="preserve">uses the power of peer to peer influencing.  The program model has continued to evolve and be an exemplar for others. It now has over 250 companies participating and in 2012 provided grants worth more than </w:t>
      </w:r>
      <w:r w:rsidR="00E069C0">
        <w:br/>
      </w:r>
      <w:r w:rsidRPr="00390B30">
        <w:t>$200</w:t>
      </w:r>
      <w:r w:rsidR="00E069C0">
        <w:t xml:space="preserve"> </w:t>
      </w:r>
      <w:r w:rsidRPr="00390B30">
        <w:t xml:space="preserve">000 to implement health and wellbeing workplace programs. </w:t>
      </w:r>
    </w:p>
    <w:p w:rsidR="00390B30" w:rsidRPr="00390B30" w:rsidRDefault="00390B30" w:rsidP="00596F22">
      <w:pPr>
        <w:tabs>
          <w:tab w:val="left" w:pos="966"/>
        </w:tabs>
        <w:spacing w:before="200"/>
        <w:outlineLvl w:val="3"/>
        <w:rPr>
          <w:rFonts w:eastAsia="Batang"/>
        </w:rPr>
      </w:pPr>
      <w:r w:rsidRPr="00390B30">
        <w:t xml:space="preserve">The </w:t>
      </w:r>
      <w:hyperlink r:id="rId55" w:history="1">
        <w:r w:rsidRPr="00E642A8">
          <w:rPr>
            <w:rStyle w:val="Hyperlink"/>
            <w:i/>
          </w:rPr>
          <w:t>Zero Harm at Work Leadership Program</w:t>
        </w:r>
      </w:hyperlink>
      <w:r w:rsidRPr="00A04AE1">
        <w:rPr>
          <w:color w:val="0000FF"/>
        </w:rPr>
        <w:t xml:space="preserve"> </w:t>
      </w:r>
      <w:r w:rsidRPr="00390B30">
        <w:t xml:space="preserve">in South Australia is encouraging key decision makers to commit to improvements to </w:t>
      </w:r>
      <w:r w:rsidRPr="00390B30">
        <w:rPr>
          <w:rFonts w:eastAsiaTheme="majorEastAsia"/>
        </w:rPr>
        <w:t>reduce workplace injuries by 5</w:t>
      </w:r>
      <w:r w:rsidR="00596F22">
        <w:rPr>
          <w:rFonts w:eastAsiaTheme="majorEastAsia"/>
        </w:rPr>
        <w:t> per cent</w:t>
      </w:r>
      <w:r w:rsidRPr="00390B30">
        <w:rPr>
          <w:rFonts w:eastAsiaTheme="majorEastAsia"/>
        </w:rPr>
        <w:t xml:space="preserve"> each year. </w:t>
      </w:r>
    </w:p>
    <w:p w:rsidR="00E045AB" w:rsidRDefault="00390B30" w:rsidP="00854B8B">
      <w:pPr>
        <w:pStyle w:val="Heading2"/>
        <w:rPr>
          <w:color w:val="0000FF"/>
          <w:u w:val="single"/>
        </w:rPr>
      </w:pPr>
      <w:r w:rsidRPr="00390B30">
        <w:rPr>
          <w:rFonts w:cs="Arial"/>
          <w:color w:val="000000"/>
        </w:rPr>
        <w:t xml:space="preserve">In the </w:t>
      </w:r>
      <w:hyperlink r:id="rId56" w:history="1">
        <w:r w:rsidRPr="00D72094">
          <w:rPr>
            <w:rStyle w:val="Hyperlink"/>
            <w:rFonts w:cs="Arial"/>
            <w:i/>
          </w:rPr>
          <w:t xml:space="preserve">NSW WorkCover </w:t>
        </w:r>
        <w:r w:rsidRPr="00D72094">
          <w:rPr>
            <w:rStyle w:val="Hyperlink"/>
            <w:i/>
          </w:rPr>
          <w:t>Mentoring Program</w:t>
        </w:r>
      </w:hyperlink>
      <w:r w:rsidRPr="00D72094">
        <w:rPr>
          <w:color w:val="0000FF"/>
          <w:u w:val="single"/>
        </w:rPr>
        <w:t xml:space="preserve"> </w:t>
      </w:r>
    </w:p>
    <w:p w:rsidR="00E045AB" w:rsidRPr="00E045AB" w:rsidRDefault="00E045AB" w:rsidP="00E045AB">
      <w:pPr>
        <w:pStyle w:val="leadershipandculture"/>
        <w:rPr>
          <w:b/>
        </w:rPr>
      </w:pPr>
      <w:proofErr w:type="spellStart"/>
      <w:r w:rsidRPr="00E045AB">
        <w:rPr>
          <w:b/>
        </w:rPr>
        <w:t>PACIA</w:t>
      </w:r>
      <w:proofErr w:type="spellEnd"/>
      <w:r w:rsidRPr="00E045AB">
        <w:rPr>
          <w:b/>
        </w:rPr>
        <w:t xml:space="preserve"> Example </w:t>
      </w:r>
    </w:p>
    <w:p w:rsidR="00E045AB" w:rsidRDefault="00E045AB" w:rsidP="00E045AB">
      <w:pPr>
        <w:pStyle w:val="leadershipandculture"/>
        <w:rPr>
          <w:rStyle w:val="Hyperlink"/>
          <w:i/>
          <w:szCs w:val="20"/>
        </w:rPr>
      </w:pPr>
      <w:proofErr w:type="spellStart"/>
      <w:r w:rsidRPr="00022F50">
        <w:rPr>
          <w:szCs w:val="20"/>
        </w:rPr>
        <w:t>PACIA</w:t>
      </w:r>
      <w:proofErr w:type="spellEnd"/>
      <w:r w:rsidRPr="00022F50">
        <w:rPr>
          <w:szCs w:val="20"/>
        </w:rPr>
        <w:t xml:space="preserve"> </w:t>
      </w:r>
      <w:hyperlink r:id="rId57" w:history="1">
        <w:r w:rsidRPr="00EC6BF9">
          <w:rPr>
            <w:rStyle w:val="Hyperlink"/>
            <w:i/>
            <w:szCs w:val="20"/>
          </w:rPr>
          <w:t>Surpasses National OHS Targets</w:t>
        </w:r>
      </w:hyperlink>
    </w:p>
    <w:p w:rsidR="00390B30" w:rsidRPr="00854B8B" w:rsidRDefault="00390B30" w:rsidP="00E045AB">
      <w:pPr>
        <w:pStyle w:val="Heading2"/>
      </w:pPr>
      <w:proofErr w:type="gramStart"/>
      <w:r w:rsidRPr="00D72094">
        <w:rPr>
          <w:rFonts w:cs="Arial"/>
          <w:color w:val="000000"/>
        </w:rPr>
        <w:t>some</w:t>
      </w:r>
      <w:proofErr w:type="gramEnd"/>
      <w:r w:rsidRPr="00D72094">
        <w:rPr>
          <w:rFonts w:cs="Arial"/>
          <w:color w:val="000000"/>
        </w:rPr>
        <w:t xml:space="preserve"> of Austr</w:t>
      </w:r>
      <w:r w:rsidRPr="00390B30">
        <w:rPr>
          <w:rFonts w:cs="Arial"/>
          <w:color w:val="000000"/>
        </w:rPr>
        <w:t xml:space="preserve">alia’s best safety leaders gave their time </w:t>
      </w:r>
      <w:r w:rsidRPr="00390B30">
        <w:t>freely</w:t>
      </w:r>
      <w:r w:rsidRPr="00390B30">
        <w:rPr>
          <w:rFonts w:cs="Arial"/>
          <w:color w:val="000000"/>
        </w:rPr>
        <w:t xml:space="preserve"> to </w:t>
      </w:r>
      <w:r w:rsidRPr="00854B8B">
        <w:t>assist 330 businesses improve their workplace health and safety.</w:t>
      </w:r>
    </w:p>
    <w:p w:rsidR="00D8278D" w:rsidRPr="00E045AB" w:rsidRDefault="004B5D98" w:rsidP="00E045AB">
      <w:pPr>
        <w:pStyle w:val="Heading2"/>
        <w:rPr>
          <w:b/>
          <w:i/>
          <w:color w:val="0000FF"/>
          <w:sz w:val="24"/>
          <w:u w:val="single"/>
        </w:rPr>
      </w:pPr>
      <w:hyperlink r:id="rId58" w:history="1">
        <w:bookmarkStart w:id="3" w:name="_Toc384372884"/>
        <w:r w:rsidR="00390B30" w:rsidRPr="00854B8B">
          <w:rPr>
            <w:b/>
            <w:i/>
            <w:color w:val="0000FF"/>
            <w:sz w:val="24"/>
            <w:u w:val="single"/>
          </w:rPr>
          <w:t>Research and Evaluation</w:t>
        </w:r>
        <w:bookmarkEnd w:id="3"/>
      </w:hyperlink>
      <w:r w:rsidR="00390B30" w:rsidRPr="00854B8B">
        <w:rPr>
          <w:b/>
          <w:i/>
          <w:color w:val="0000FF"/>
          <w:sz w:val="24"/>
          <w:u w:val="single"/>
        </w:rPr>
        <w:t xml:space="preserve"> </w:t>
      </w:r>
    </w:p>
    <w:p w:rsidR="00390B30" w:rsidRPr="00390B30" w:rsidRDefault="00390B30" w:rsidP="00145652">
      <w:pPr>
        <w:pStyle w:val="Heading3"/>
      </w:pPr>
      <w:r w:rsidRPr="00E069C0">
        <w:t xml:space="preserve">Why is evidence important? </w:t>
      </w:r>
    </w:p>
    <w:p w:rsidR="00E045AB" w:rsidRDefault="00390B30" w:rsidP="00390B30">
      <w:pPr>
        <w:tabs>
          <w:tab w:val="left" w:pos="966"/>
        </w:tabs>
        <w:rPr>
          <w:rFonts w:cs="Arial"/>
          <w:color w:val="000000" w:themeColor="text1"/>
        </w:rPr>
      </w:pPr>
      <w:r w:rsidRPr="00390B30">
        <w:t xml:space="preserve">A coordinated and cooperative approach is being used </w:t>
      </w:r>
      <w:r w:rsidR="00596F22">
        <w:t xml:space="preserve">to </w:t>
      </w:r>
      <w:r w:rsidRPr="00390B30">
        <w:t>provide national i</w:t>
      </w:r>
      <w:r w:rsidRPr="00390B30">
        <w:rPr>
          <w:rFonts w:cs="Arial"/>
          <w:color w:val="000000" w:themeColor="text1"/>
        </w:rPr>
        <w:t xml:space="preserve">nformation on how many, where and why workers have died, been injured or made ill by work. This </w:t>
      </w:r>
    </w:p>
    <w:p w:rsidR="00E045AB" w:rsidRPr="00A04AE1" w:rsidRDefault="00E045AB" w:rsidP="00E045AB">
      <w:pPr>
        <w:pStyle w:val="research"/>
        <w:rPr>
          <w:i/>
          <w:color w:val="0000FF"/>
          <w:u w:val="single"/>
        </w:rPr>
      </w:pPr>
      <w:r w:rsidRPr="00244A22">
        <w:lastRenderedPageBreak/>
        <w:t>The Safe Work Australia research, evaluation and data programs collects and provides unique robust national information to meet the needs of governments, employer associations, unions, researchers and the wider community.</w:t>
      </w:r>
    </w:p>
    <w:p w:rsidR="00390B30" w:rsidRPr="00390B30" w:rsidRDefault="00390B30" w:rsidP="00390B30">
      <w:pPr>
        <w:tabs>
          <w:tab w:val="left" w:pos="966"/>
        </w:tabs>
        <w:rPr>
          <w:rFonts w:cs="Arial"/>
          <w:color w:val="000000" w:themeColor="text1"/>
        </w:rPr>
      </w:pPr>
      <w:proofErr w:type="gramStart"/>
      <w:r w:rsidRPr="00390B30">
        <w:rPr>
          <w:rFonts w:cs="Arial"/>
          <w:color w:val="000000" w:themeColor="text1"/>
        </w:rPr>
        <w:t>directly</w:t>
      </w:r>
      <w:proofErr w:type="gramEnd"/>
      <w:r w:rsidRPr="00390B30">
        <w:rPr>
          <w:rFonts w:cs="Arial"/>
          <w:color w:val="000000" w:themeColor="text1"/>
        </w:rPr>
        <w:t xml:space="preserve"> informs the national priorities and helps shape a more effective and efficient use of prevention resources. </w:t>
      </w:r>
    </w:p>
    <w:p w:rsidR="00390B30" w:rsidRPr="00390B30" w:rsidRDefault="00390B30" w:rsidP="00390B30">
      <w:pPr>
        <w:tabs>
          <w:tab w:val="left" w:pos="966"/>
        </w:tabs>
        <w:rPr>
          <w:rFonts w:cs="Arial"/>
          <w:color w:val="000000" w:themeColor="text1"/>
        </w:rPr>
      </w:pPr>
      <w:r w:rsidRPr="00C7534F">
        <w:rPr>
          <w:rFonts w:cs="Arial"/>
          <w:color w:val="000000" w:themeColor="text1"/>
        </w:rPr>
        <w:t>The S</w:t>
      </w:r>
      <w:r w:rsidR="009614E2" w:rsidRPr="00C7534F">
        <w:rPr>
          <w:rFonts w:cs="Arial"/>
          <w:color w:val="000000" w:themeColor="text1"/>
        </w:rPr>
        <w:t xml:space="preserve">afe </w:t>
      </w:r>
      <w:r w:rsidRPr="00C7534F">
        <w:rPr>
          <w:rFonts w:cs="Arial"/>
          <w:color w:val="000000" w:themeColor="text1"/>
        </w:rPr>
        <w:t>W</w:t>
      </w:r>
      <w:r w:rsidR="009614E2" w:rsidRPr="00C7534F">
        <w:rPr>
          <w:rFonts w:cs="Arial"/>
          <w:color w:val="000000" w:themeColor="text1"/>
        </w:rPr>
        <w:t xml:space="preserve">ork </w:t>
      </w:r>
      <w:r w:rsidRPr="00C7534F">
        <w:rPr>
          <w:rFonts w:cs="Arial"/>
          <w:color w:val="000000" w:themeColor="text1"/>
        </w:rPr>
        <w:t>A</w:t>
      </w:r>
      <w:r w:rsidR="009614E2" w:rsidRPr="00C7534F">
        <w:rPr>
          <w:rFonts w:cs="Arial"/>
          <w:color w:val="000000" w:themeColor="text1"/>
        </w:rPr>
        <w:t>ustralia</w:t>
      </w:r>
      <w:r w:rsidRPr="00C7534F">
        <w:rPr>
          <w:rFonts w:cs="Arial"/>
          <w:color w:val="000000" w:themeColor="text1"/>
        </w:rPr>
        <w:t xml:space="preserve"> </w:t>
      </w:r>
      <w:r w:rsidRPr="00C7534F">
        <w:rPr>
          <w:rFonts w:cs="Arial"/>
          <w:i/>
          <w:color w:val="000000" w:themeColor="text1"/>
        </w:rPr>
        <w:t>Research, Evaluation and Data Strategy 2013–2017</w:t>
      </w:r>
      <w:r w:rsidRPr="00C7534F">
        <w:rPr>
          <w:rFonts w:cs="Arial"/>
          <w:color w:val="000000" w:themeColor="text1"/>
        </w:rPr>
        <w:t xml:space="preserve"> </w:t>
      </w:r>
      <w:r w:rsidRPr="00390B30">
        <w:t xml:space="preserve">has </w:t>
      </w:r>
      <w:r w:rsidRPr="00390B30">
        <w:rPr>
          <w:rFonts w:cs="Arial"/>
          <w:color w:val="000000" w:themeColor="text1"/>
        </w:rPr>
        <w:t>two distinct but complementary programs of work.</w:t>
      </w:r>
    </w:p>
    <w:p w:rsidR="00390B30" w:rsidRPr="00390B30" w:rsidRDefault="00390B30" w:rsidP="00390B30">
      <w:pPr>
        <w:numPr>
          <w:ilvl w:val="0"/>
          <w:numId w:val="12"/>
        </w:numPr>
        <w:shd w:val="clear" w:color="auto" w:fill="FFFFFF"/>
        <w:tabs>
          <w:tab w:val="left" w:pos="966"/>
        </w:tabs>
        <w:spacing w:before="120"/>
        <w:contextualSpacing/>
        <w:rPr>
          <w:rFonts w:cs="Arial"/>
          <w:color w:val="000000" w:themeColor="text1"/>
        </w:rPr>
      </w:pPr>
      <w:r w:rsidRPr="00390B30">
        <w:rPr>
          <w:rFonts w:cs="Arial"/>
          <w:color w:val="000000" w:themeColor="text1"/>
        </w:rPr>
        <w:t xml:space="preserve">The Data Program collects and maintains accurate national outcomes data – including on the incidence of injuries, fatalities and illness and the associated economic costs. </w:t>
      </w:r>
    </w:p>
    <w:p w:rsidR="00390B30" w:rsidRDefault="00390B30" w:rsidP="00596F22">
      <w:pPr>
        <w:numPr>
          <w:ilvl w:val="0"/>
          <w:numId w:val="12"/>
        </w:numPr>
        <w:shd w:val="clear" w:color="auto" w:fill="FFFFFF"/>
        <w:tabs>
          <w:tab w:val="left" w:pos="966"/>
        </w:tabs>
        <w:spacing w:before="120"/>
        <w:ind w:left="357" w:hanging="357"/>
        <w:rPr>
          <w:rFonts w:cs="Arial"/>
          <w:color w:val="000000" w:themeColor="text1"/>
        </w:rPr>
      </w:pPr>
      <w:r w:rsidRPr="00390B30">
        <w:rPr>
          <w:rFonts w:cs="Arial"/>
          <w:color w:val="000000" w:themeColor="text1"/>
        </w:rPr>
        <w:t>The Research and Evaluation Program focuses on hazard surveillance and risk management</w:t>
      </w:r>
      <w:r w:rsidR="00596F22">
        <w:rPr>
          <w:rFonts w:cs="Arial"/>
          <w:color w:val="000000" w:themeColor="text1"/>
        </w:rPr>
        <w:t>,</w:t>
      </w:r>
      <w:r w:rsidRPr="00390B30">
        <w:rPr>
          <w:rFonts w:cs="Arial"/>
          <w:color w:val="000000" w:themeColor="text1"/>
        </w:rPr>
        <w:t xml:space="preserve"> occupational illnesses</w:t>
      </w:r>
      <w:r w:rsidR="00596F22">
        <w:rPr>
          <w:rFonts w:cs="Arial"/>
          <w:color w:val="000000" w:themeColor="text1"/>
        </w:rPr>
        <w:t>,</w:t>
      </w:r>
      <w:r w:rsidRPr="00390B30">
        <w:rPr>
          <w:rFonts w:cs="Arial"/>
          <w:color w:val="000000" w:themeColor="text1"/>
        </w:rPr>
        <w:t xml:space="preserve"> attitudes to </w:t>
      </w:r>
      <w:r w:rsidR="00E94491">
        <w:rPr>
          <w:rFonts w:cs="Arial"/>
          <w:color w:val="000000" w:themeColor="text1"/>
        </w:rPr>
        <w:t>WHS</w:t>
      </w:r>
      <w:r w:rsidR="00596F22">
        <w:rPr>
          <w:rFonts w:cs="Arial"/>
          <w:color w:val="000000" w:themeColor="text1"/>
        </w:rPr>
        <w:t>, and</w:t>
      </w:r>
      <w:r w:rsidRPr="00390B30">
        <w:rPr>
          <w:rFonts w:cs="Arial"/>
          <w:color w:val="000000" w:themeColor="text1"/>
        </w:rPr>
        <w:t xml:space="preserve"> evaluation of interventions including the effectiveness of the Australian regulatory framework.</w:t>
      </w:r>
    </w:p>
    <w:p w:rsidR="00E045AB" w:rsidRPr="00E045AB" w:rsidRDefault="00E045AB" w:rsidP="00E045AB">
      <w:pPr>
        <w:pStyle w:val="research"/>
        <w:rPr>
          <w:b/>
        </w:rPr>
      </w:pPr>
      <w:r w:rsidRPr="00E045AB">
        <w:rPr>
          <w:b/>
        </w:rPr>
        <w:t>Australia’s work-related injuries and illnesses costs</w:t>
      </w:r>
    </w:p>
    <w:p w:rsidR="00E045AB" w:rsidRPr="00E045AB" w:rsidRDefault="00E045AB" w:rsidP="00E045AB">
      <w:pPr>
        <w:pStyle w:val="research"/>
      </w:pPr>
      <w:r w:rsidRPr="00E045AB">
        <w:t>Work-related injuries and illnesses cost $60.6 billion dollars 4.8 per cent of GDP.</w:t>
      </w:r>
    </w:p>
    <w:p w:rsidR="00DF440C" w:rsidRDefault="00DF440C" w:rsidP="00DF440C">
      <w:pPr>
        <w:shd w:val="clear" w:color="auto" w:fill="FFFFFF"/>
        <w:tabs>
          <w:tab w:val="left" w:pos="966"/>
        </w:tabs>
        <w:spacing w:before="120"/>
        <w:ind w:left="357" w:hanging="357"/>
        <w:rPr>
          <w:rFonts w:cs="Arial"/>
          <w:color w:val="000000" w:themeColor="text1"/>
        </w:rPr>
      </w:pPr>
    </w:p>
    <w:p w:rsidR="00390B30" w:rsidRPr="00390B30" w:rsidRDefault="00390B30" w:rsidP="00145652">
      <w:pPr>
        <w:pStyle w:val="Heading3"/>
      </w:pPr>
      <w:r w:rsidRPr="00390B30">
        <w:t>What is being done to provide the evidence to inform policy and practice?</w:t>
      </w:r>
    </w:p>
    <w:p w:rsidR="00390B30" w:rsidRPr="00390B30" w:rsidRDefault="00783B2B" w:rsidP="00390B30">
      <w:pPr>
        <w:tabs>
          <w:tab w:val="left" w:pos="966"/>
        </w:tabs>
        <w:spacing w:before="120"/>
      </w:pPr>
      <w:r w:rsidRPr="00D008DE">
        <w:rPr>
          <w:noProof/>
        </w:rPr>
        <mc:AlternateContent>
          <mc:Choice Requires="wps">
            <w:drawing>
              <wp:anchor distT="0" distB="0" distL="114300" distR="114300" simplePos="0" relativeHeight="251689984" behindDoc="0" locked="0" layoutInCell="1" allowOverlap="1" wp14:anchorId="10F2DA18" wp14:editId="4FA597D2">
                <wp:simplePos x="0" y="0"/>
                <wp:positionH relativeFrom="column">
                  <wp:posOffset>6690995</wp:posOffset>
                </wp:positionH>
                <wp:positionV relativeFrom="paragraph">
                  <wp:posOffset>-8370570</wp:posOffset>
                </wp:positionV>
                <wp:extent cx="1133475" cy="7524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1133475" cy="752475"/>
                        </a:xfrm>
                        <a:prstGeom prst="rect">
                          <a:avLst/>
                        </a:prstGeom>
                        <a:solidFill>
                          <a:srgbClr val="DDDDDD"/>
                        </a:solidFill>
                        <a:ln w="25400" cap="flat" cmpd="sng" algn="ctr">
                          <a:solidFill>
                            <a:srgbClr val="DDDDDD">
                              <a:shade val="50000"/>
                            </a:srgbClr>
                          </a:solidFill>
                          <a:prstDash val="solid"/>
                        </a:ln>
                        <a:effectLst/>
                      </wps:spPr>
                      <wps:txbx>
                        <w:txbxContent>
                          <w:p w:rsidR="00D01011" w:rsidRPr="00287B06" w:rsidRDefault="00D01011" w:rsidP="00D008DE">
                            <w:pPr>
                              <w:rPr>
                                <w:i/>
                                <w:sz w:val="18"/>
                                <w:szCs w:val="18"/>
                              </w:rPr>
                            </w:pPr>
                            <w:r w:rsidRPr="00287B06">
                              <w:rPr>
                                <w:i/>
                                <w:sz w:val="18"/>
                                <w:szCs w:val="18"/>
                              </w:rPr>
                              <w:t xml:space="preserve">Link </w:t>
                            </w:r>
                            <w:r>
                              <w:rPr>
                                <w:i/>
                                <w:sz w:val="18"/>
                                <w:szCs w:val="18"/>
                              </w:rPr>
                              <w:t xml:space="preserve">– NSW Mentoring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7" o:spid="_x0000_s1026" style="position:absolute;margin-left:526.85pt;margin-top:-659.1pt;width:89.2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" fillcolor="#ddd" strokecolor="#a2a2a2" strokeweight="2pt">
                <v:textbox>
                  <w:txbxContent>
                    <w:p w:rsidR="00D01011" w:rsidRPr="00287B06" w:rsidRDefault="00D01011" w:rsidP="00D008DE">
                      <w:pPr>
                        <w:rPr>
                          <w:i/>
                          <w:sz w:val="18"/>
                          <w:szCs w:val="18"/>
                        </w:rPr>
                      </w:pPr>
                      <w:r w:rsidRPr="00287B06">
                        <w:rPr>
                          <w:i/>
                          <w:sz w:val="18"/>
                          <w:szCs w:val="18"/>
                        </w:rPr>
                        <w:t xml:space="preserve">Link </w:t>
                      </w:r>
                      <w:r>
                        <w:rPr>
                          <w:i/>
                          <w:sz w:val="18"/>
                          <w:szCs w:val="18"/>
                        </w:rPr>
                        <w:t xml:space="preserve">– NSW Mentoring Program </w:t>
                      </w:r>
                    </w:p>
                  </w:txbxContent>
                </v:textbox>
              </v:rect>
            </w:pict>
          </mc:Fallback>
        </mc:AlternateContent>
      </w:r>
      <w:r w:rsidR="00390B30" w:rsidRPr="00390B30">
        <w:t>S</w:t>
      </w:r>
      <w:r w:rsidR="008F28E1">
        <w:t xml:space="preserve">afe Work Australia </w:t>
      </w:r>
      <w:r w:rsidR="00390B30" w:rsidRPr="00390B30">
        <w:t>in collaboration with the jurisdictions has been improving the quality of the data on workplace deaths. Three main sources are being used:</w:t>
      </w:r>
    </w:p>
    <w:p w:rsidR="00390B30" w:rsidRPr="00390B30" w:rsidRDefault="004B5D98" w:rsidP="00596F22">
      <w:pPr>
        <w:numPr>
          <w:ilvl w:val="0"/>
          <w:numId w:val="13"/>
        </w:numPr>
        <w:tabs>
          <w:tab w:val="left" w:pos="966"/>
        </w:tabs>
        <w:spacing w:before="120"/>
        <w:contextualSpacing/>
      </w:pPr>
      <w:hyperlink r:id="rId59" w:history="1">
        <w:r w:rsidR="00390B30" w:rsidRPr="00390B30">
          <w:rPr>
            <w:color w:val="0000FF"/>
            <w:u w:val="single"/>
          </w:rPr>
          <w:t>Monthly Notifiable Fatality report</w:t>
        </w:r>
      </w:hyperlink>
      <w:r w:rsidR="00390B30" w:rsidRPr="00390B30">
        <w:t xml:space="preserve"> </w:t>
      </w:r>
      <w:r w:rsidR="00596F22">
        <w:t>–</w:t>
      </w:r>
      <w:r w:rsidR="00390B30" w:rsidRPr="00390B30">
        <w:t xml:space="preserve"> the most timely data source.</w:t>
      </w:r>
    </w:p>
    <w:p w:rsidR="00390B30" w:rsidRPr="00390B30" w:rsidRDefault="004B5D98" w:rsidP="00390B30">
      <w:pPr>
        <w:numPr>
          <w:ilvl w:val="0"/>
          <w:numId w:val="13"/>
        </w:numPr>
        <w:tabs>
          <w:tab w:val="left" w:pos="966"/>
        </w:tabs>
        <w:spacing w:before="120"/>
        <w:contextualSpacing/>
      </w:pPr>
      <w:hyperlink r:id="rId60" w:history="1">
        <w:r w:rsidR="00390B30" w:rsidRPr="00390B30">
          <w:rPr>
            <w:color w:val="0000FF"/>
            <w:u w:val="single"/>
          </w:rPr>
          <w:t>Work-related Traumatic Injury Fatalities report</w:t>
        </w:r>
      </w:hyperlink>
      <w:r w:rsidR="00390B30" w:rsidRPr="00390B30">
        <w:t xml:space="preserve"> </w:t>
      </w:r>
      <w:r w:rsidR="00596F22">
        <w:t>–</w:t>
      </w:r>
      <w:r w:rsidR="00390B30" w:rsidRPr="00390B30">
        <w:t xml:space="preserve"> the most comprehensive source using information from workers’ compensation data, coronial information, notifiable fatalities and the media. </w:t>
      </w:r>
    </w:p>
    <w:p w:rsidR="00390B30" w:rsidRPr="00390B30" w:rsidRDefault="00390B30" w:rsidP="00390B30">
      <w:pPr>
        <w:numPr>
          <w:ilvl w:val="0"/>
          <w:numId w:val="13"/>
        </w:numPr>
        <w:tabs>
          <w:tab w:val="left" w:pos="966"/>
        </w:tabs>
        <w:spacing w:before="120"/>
        <w:contextualSpacing/>
      </w:pPr>
      <w:r w:rsidRPr="00390B30">
        <w:t xml:space="preserve">The </w:t>
      </w:r>
      <w:hyperlink r:id="rId61" w:history="1">
        <w:r w:rsidRPr="00390B30">
          <w:rPr>
            <w:color w:val="0000FF"/>
            <w:u w:val="single"/>
          </w:rPr>
          <w:t>Compendium of Workers’ Compensation Statistics reports</w:t>
        </w:r>
      </w:hyperlink>
      <w:r w:rsidRPr="00390B30">
        <w:t xml:space="preserve"> </w:t>
      </w:r>
      <w:r w:rsidR="00596F22">
        <w:t>–</w:t>
      </w:r>
      <w:r w:rsidRPr="00390B30">
        <w:t>providing information on the circumstances of injury claims and includes people compensated for a disease-related fatality.</w:t>
      </w:r>
    </w:p>
    <w:p w:rsidR="00390B30" w:rsidRPr="00390B30" w:rsidRDefault="00390B30" w:rsidP="00390B30">
      <w:pPr>
        <w:tabs>
          <w:tab w:val="left" w:pos="966"/>
        </w:tabs>
        <w:spacing w:before="120"/>
        <w:ind w:left="360"/>
        <w:contextualSpacing/>
      </w:pPr>
    </w:p>
    <w:p w:rsidR="00390B30" w:rsidRPr="00390B30" w:rsidRDefault="008F28E1" w:rsidP="00390B30">
      <w:pPr>
        <w:shd w:val="clear" w:color="auto" w:fill="FFFFFF"/>
        <w:tabs>
          <w:tab w:val="left" w:pos="966"/>
        </w:tabs>
        <w:spacing w:before="120"/>
        <w:rPr>
          <w:rFonts w:cs="Arial"/>
          <w:color w:val="000000" w:themeColor="text1"/>
        </w:rPr>
      </w:pPr>
      <w:r w:rsidRPr="00390B30">
        <w:rPr>
          <w:rFonts w:cs="Arial"/>
          <w:color w:val="000000" w:themeColor="text1"/>
        </w:rPr>
        <w:t>S</w:t>
      </w:r>
      <w:r>
        <w:rPr>
          <w:rFonts w:cs="Arial"/>
          <w:color w:val="000000" w:themeColor="text1"/>
        </w:rPr>
        <w:t>afe Work Australia</w:t>
      </w:r>
      <w:r w:rsidRPr="00390B30">
        <w:rPr>
          <w:rFonts w:cs="Arial"/>
          <w:color w:val="000000" w:themeColor="text1"/>
        </w:rPr>
        <w:t xml:space="preserve"> </w:t>
      </w:r>
      <w:r w:rsidR="00390B30" w:rsidRPr="00390B30">
        <w:rPr>
          <w:rFonts w:cs="Arial"/>
          <w:color w:val="000000" w:themeColor="text1"/>
        </w:rPr>
        <w:t xml:space="preserve">funds and oversees the </w:t>
      </w:r>
      <w:hyperlink r:id="rId62" w:history="1">
        <w:r w:rsidR="00063AD4" w:rsidRPr="00E069C0">
          <w:rPr>
            <w:rStyle w:val="Hyperlink"/>
            <w:rFonts w:cs="Arial"/>
          </w:rPr>
          <w:t>Australian Mesothelioma Registry</w:t>
        </w:r>
      </w:hyperlink>
      <w:r w:rsidR="00063AD4" w:rsidRPr="00063AD4">
        <w:t xml:space="preserve"> </w:t>
      </w:r>
      <w:r w:rsidR="00390B30" w:rsidRPr="00390B30">
        <w:rPr>
          <w:rFonts w:cs="Arial"/>
          <w:color w:val="000000" w:themeColor="text1"/>
        </w:rPr>
        <w:t xml:space="preserve">which </w:t>
      </w:r>
      <w:r w:rsidR="00390B30" w:rsidRPr="00390B30">
        <w:rPr>
          <w:rFonts w:cs="Arial"/>
          <w:color w:val="000000" w:themeColor="text1"/>
        </w:rPr>
        <w:lastRenderedPageBreak/>
        <w:t xml:space="preserve">identifies the sources and likelihood of past exposure to asbestos of work-related and non-work-related origin among newly diagnosed patients. </w:t>
      </w:r>
    </w:p>
    <w:p w:rsidR="00390B30" w:rsidRPr="00390B30" w:rsidRDefault="00390B30" w:rsidP="00390B30">
      <w:pPr>
        <w:shd w:val="clear" w:color="auto" w:fill="FFFFFF"/>
        <w:tabs>
          <w:tab w:val="left" w:pos="966"/>
        </w:tabs>
        <w:spacing w:before="120"/>
        <w:rPr>
          <w:rFonts w:cs="Arial"/>
          <w:color w:val="000000" w:themeColor="text1"/>
        </w:rPr>
      </w:pPr>
      <w:r w:rsidRPr="00390B30">
        <w:rPr>
          <w:rFonts w:cs="Arial"/>
          <w:color w:val="000000" w:themeColor="text1"/>
        </w:rPr>
        <w:t xml:space="preserve">This year the ongoing </w:t>
      </w:r>
      <w:r w:rsidRPr="008E4BE8">
        <w:rPr>
          <w:rFonts w:cs="Arial"/>
          <w:color w:val="000000" w:themeColor="text1"/>
        </w:rPr>
        <w:t>National Occupational Hazard and Risk Management</w:t>
      </w:r>
      <w:r w:rsidRPr="00883AFA">
        <w:rPr>
          <w:rFonts w:cs="Arial"/>
          <w:color w:val="000000" w:themeColor="text1"/>
        </w:rPr>
        <w:t xml:space="preserve"> Surveillance Research Program</w:t>
      </w:r>
      <w:r w:rsidRPr="00390B30">
        <w:rPr>
          <w:rFonts w:cs="Arial"/>
          <w:color w:val="000000" w:themeColor="text1"/>
        </w:rPr>
        <w:t xml:space="preserve"> examined exposures to noise, dust and vibration in agriculture. </w:t>
      </w:r>
    </w:p>
    <w:p w:rsidR="00390B30" w:rsidRPr="00390B30" w:rsidRDefault="00390B30" w:rsidP="00390B30">
      <w:pPr>
        <w:shd w:val="clear" w:color="auto" w:fill="FFFFFF"/>
        <w:tabs>
          <w:tab w:val="left" w:pos="966"/>
        </w:tabs>
        <w:spacing w:before="120" w:after="0"/>
        <w:rPr>
          <w:rFonts w:cs="Arial"/>
          <w:color w:val="000000" w:themeColor="text1"/>
        </w:rPr>
      </w:pPr>
      <w:r w:rsidRPr="00390B30">
        <w:rPr>
          <w:rFonts w:cs="Arial"/>
          <w:color w:val="000000" w:themeColor="text1"/>
        </w:rPr>
        <w:t xml:space="preserve">In 2012 research on the extent and effectiveness of the model </w:t>
      </w:r>
      <w:r w:rsidR="00657BF7">
        <w:rPr>
          <w:rFonts w:cs="Arial"/>
          <w:color w:val="000000" w:themeColor="text1"/>
        </w:rPr>
        <w:t xml:space="preserve">WHS </w:t>
      </w:r>
      <w:r w:rsidRPr="00390B30">
        <w:rPr>
          <w:rFonts w:cs="Arial"/>
          <w:color w:val="000000" w:themeColor="text1"/>
        </w:rPr>
        <w:t xml:space="preserve">legislation reform agenda commenced. This will be critical to inform the future </w:t>
      </w:r>
      <w:r w:rsidR="00E94491">
        <w:rPr>
          <w:rFonts w:cs="Arial"/>
          <w:color w:val="000000" w:themeColor="text1"/>
        </w:rPr>
        <w:t>WHS</w:t>
      </w:r>
      <w:r w:rsidRPr="00390B30">
        <w:rPr>
          <w:rFonts w:cs="Arial"/>
          <w:color w:val="000000" w:themeColor="text1"/>
        </w:rPr>
        <w:t xml:space="preserve"> reviews of the Safe Work Australia Act. Projects included collection of baseline information on the:</w:t>
      </w:r>
    </w:p>
    <w:p w:rsidR="00390B30" w:rsidRPr="00390B30" w:rsidRDefault="00390B30" w:rsidP="00390B30">
      <w:pPr>
        <w:numPr>
          <w:ilvl w:val="0"/>
          <w:numId w:val="12"/>
        </w:numPr>
        <w:shd w:val="clear" w:color="auto" w:fill="FFFFFF"/>
        <w:tabs>
          <w:tab w:val="left" w:pos="966"/>
        </w:tabs>
        <w:spacing w:before="120"/>
        <w:contextualSpacing/>
        <w:rPr>
          <w:rFonts w:cs="Arial"/>
          <w:szCs w:val="20"/>
        </w:rPr>
      </w:pPr>
      <w:r w:rsidRPr="00390B30">
        <w:rPr>
          <w:rFonts w:cs="Arial"/>
          <w:szCs w:val="20"/>
        </w:rPr>
        <w:t xml:space="preserve">costs and benefits of compliance with the </w:t>
      </w:r>
      <w:r w:rsidR="008F28E1">
        <w:rPr>
          <w:rFonts w:cs="Arial"/>
          <w:color w:val="000000" w:themeColor="text1"/>
        </w:rPr>
        <w:t>model</w:t>
      </w:r>
      <w:r w:rsidR="008F28E1" w:rsidRPr="00390B30">
        <w:rPr>
          <w:rFonts w:cs="Arial"/>
          <w:szCs w:val="20"/>
        </w:rPr>
        <w:t xml:space="preserve"> </w:t>
      </w:r>
      <w:r w:rsidR="00657BF7">
        <w:rPr>
          <w:rFonts w:cs="Arial"/>
          <w:szCs w:val="20"/>
        </w:rPr>
        <w:t xml:space="preserve">WHS </w:t>
      </w:r>
      <w:r w:rsidRPr="00390B30">
        <w:rPr>
          <w:rFonts w:cs="Arial"/>
          <w:szCs w:val="20"/>
        </w:rPr>
        <w:t xml:space="preserve">regulations from senior managers, and </w:t>
      </w:r>
    </w:p>
    <w:p w:rsidR="00390B30" w:rsidRPr="00390B30" w:rsidRDefault="00390B30" w:rsidP="00390B30">
      <w:pPr>
        <w:numPr>
          <w:ilvl w:val="0"/>
          <w:numId w:val="12"/>
        </w:numPr>
        <w:shd w:val="clear" w:color="auto" w:fill="FFFFFF"/>
        <w:tabs>
          <w:tab w:val="left" w:pos="966"/>
        </w:tabs>
        <w:spacing w:before="120"/>
        <w:contextualSpacing/>
        <w:rPr>
          <w:rFonts w:cs="Arial"/>
          <w:szCs w:val="20"/>
        </w:rPr>
      </w:pPr>
      <w:proofErr w:type="gramStart"/>
      <w:r w:rsidRPr="00390B30">
        <w:rPr>
          <w:rFonts w:cs="Arial"/>
          <w:szCs w:val="20"/>
        </w:rPr>
        <w:t>perceptions</w:t>
      </w:r>
      <w:proofErr w:type="gramEnd"/>
      <w:r w:rsidRPr="00390B30">
        <w:rPr>
          <w:rFonts w:cs="Arial"/>
          <w:szCs w:val="20"/>
        </w:rPr>
        <w:t xml:space="preserve"> of </w:t>
      </w:r>
      <w:r w:rsidR="008F28E1">
        <w:rPr>
          <w:rFonts w:cs="Arial"/>
          <w:szCs w:val="20"/>
        </w:rPr>
        <w:t xml:space="preserve">work health and safety </w:t>
      </w:r>
      <w:r w:rsidRPr="00390B30">
        <w:rPr>
          <w:rFonts w:cs="Arial"/>
          <w:szCs w:val="20"/>
        </w:rPr>
        <w:t xml:space="preserve">from business owners and representatives. </w:t>
      </w:r>
    </w:p>
    <w:p w:rsidR="00390B30" w:rsidRDefault="00657BF7" w:rsidP="00390B30">
      <w:pPr>
        <w:tabs>
          <w:tab w:val="left" w:pos="966"/>
        </w:tabs>
        <w:contextualSpacing/>
        <w:rPr>
          <w:rFonts w:eastAsia="Batang"/>
        </w:rPr>
      </w:pPr>
      <w:r>
        <w:rPr>
          <w:rFonts w:eastAsia="Batang"/>
        </w:rPr>
        <w:t xml:space="preserve">WHS </w:t>
      </w:r>
      <w:r w:rsidR="00390B30" w:rsidRPr="00390B30">
        <w:rPr>
          <w:rFonts w:eastAsia="Batang"/>
        </w:rPr>
        <w:t xml:space="preserve">regulators undertook data and research programs around key risk areas for their jurisdictions. </w:t>
      </w:r>
    </w:p>
    <w:p w:rsidR="00024141" w:rsidRPr="00390B30" w:rsidRDefault="00024141" w:rsidP="00390B30">
      <w:pPr>
        <w:tabs>
          <w:tab w:val="left" w:pos="966"/>
        </w:tabs>
        <w:contextualSpacing/>
        <w:rPr>
          <w:rFonts w:eastAsia="Batang"/>
        </w:rPr>
      </w:pPr>
    </w:p>
    <w:p w:rsidR="00390B30" w:rsidRPr="00390B30" w:rsidRDefault="00596F22" w:rsidP="00390B30">
      <w:pPr>
        <w:tabs>
          <w:tab w:val="left" w:pos="966"/>
        </w:tabs>
        <w:rPr>
          <w:rFonts w:eastAsia="Batang"/>
        </w:rPr>
      </w:pPr>
      <w:r>
        <w:rPr>
          <w:rFonts w:eastAsia="Batang"/>
        </w:rPr>
        <w:t>Work Health and Safety Queensland</w:t>
      </w:r>
      <w:r w:rsidRPr="00390B30">
        <w:rPr>
          <w:rFonts w:eastAsia="Batang"/>
        </w:rPr>
        <w:t xml:space="preserve"> </w:t>
      </w:r>
      <w:r w:rsidR="00390B30" w:rsidRPr="00390B30">
        <w:rPr>
          <w:rFonts w:eastAsia="Batang"/>
        </w:rPr>
        <w:t>is conducting research underpinning</w:t>
      </w:r>
      <w:r w:rsidR="00390B30" w:rsidRPr="00390B30">
        <w:t xml:space="preserve"> </w:t>
      </w:r>
      <w:r w:rsidR="00E94491">
        <w:t>WHS</w:t>
      </w:r>
      <w:r w:rsidR="00657BF7">
        <w:t xml:space="preserve"> </w:t>
      </w:r>
      <w:r w:rsidR="00390B30" w:rsidRPr="00390B30">
        <w:t xml:space="preserve">laws </w:t>
      </w:r>
      <w:r w:rsidR="00390B30" w:rsidRPr="00390B30">
        <w:rPr>
          <w:rFonts w:eastAsia="Batang"/>
        </w:rPr>
        <w:t>with a cost calculator tool assisting businesses to calculate the initial and often overlooked uninsured costs of real and potential workplace injuries.</w:t>
      </w:r>
    </w:p>
    <w:p w:rsidR="00E045AB" w:rsidRPr="00E045AB" w:rsidRDefault="00E045AB" w:rsidP="00E045AB">
      <w:pPr>
        <w:pStyle w:val="research"/>
        <w:rPr>
          <w:b/>
        </w:rPr>
      </w:pPr>
      <w:r w:rsidRPr="00E045AB">
        <w:rPr>
          <w:b/>
        </w:rPr>
        <w:t>The incidence of mesothelioma</w:t>
      </w:r>
    </w:p>
    <w:p w:rsidR="00E045AB" w:rsidRPr="00244A22" w:rsidRDefault="00E045AB" w:rsidP="00E045AB">
      <w:pPr>
        <w:pStyle w:val="research"/>
      </w:pPr>
      <w:r w:rsidRPr="00244A22">
        <w:t>The incidence of mesothelioma is likely to peak in the next 10 to 15 years.</w:t>
      </w:r>
    </w:p>
    <w:p w:rsidR="00390B30" w:rsidRPr="00244A22" w:rsidRDefault="00390B30" w:rsidP="00390B30">
      <w:pPr>
        <w:tabs>
          <w:tab w:val="left" w:pos="966"/>
        </w:tabs>
        <w:spacing w:before="240"/>
        <w:rPr>
          <w:b/>
          <w:i/>
        </w:rPr>
      </w:pPr>
      <w:r w:rsidRPr="00244A22">
        <w:rPr>
          <w:b/>
          <w:i/>
        </w:rPr>
        <w:t xml:space="preserve">Research Collaborations </w:t>
      </w:r>
    </w:p>
    <w:p w:rsidR="00390B30" w:rsidRPr="00390B30" w:rsidRDefault="00390B30" w:rsidP="002A0FDE">
      <w:pPr>
        <w:tabs>
          <w:tab w:val="left" w:pos="966"/>
        </w:tabs>
      </w:pPr>
      <w:r w:rsidRPr="00390B30">
        <w:t xml:space="preserve">Due to the </w:t>
      </w:r>
      <w:r w:rsidR="002A0FDE" w:rsidRPr="00390B30">
        <w:t>expense</w:t>
      </w:r>
      <w:r w:rsidR="002A0FDE">
        <w:t xml:space="preserve"> and the</w:t>
      </w:r>
      <w:r w:rsidR="002A0FDE" w:rsidRPr="00390B30">
        <w:t xml:space="preserve"> </w:t>
      </w:r>
      <w:r w:rsidRPr="00390B30">
        <w:t>requirement for highly specialised skills, research and data projects are often most effectively undertaken in collaboration with others.  Below are some examples of recent collaborations between regulators, academic institutions and industry</w:t>
      </w:r>
      <w:r w:rsidR="002A0FDE">
        <w:t>,</w:t>
      </w:r>
      <w:r w:rsidRPr="00390B30">
        <w:t xml:space="preserve"> often across jurisdictions. </w:t>
      </w:r>
    </w:p>
    <w:p w:rsidR="00390B30" w:rsidRPr="00390B30" w:rsidRDefault="00390B30" w:rsidP="00390B30">
      <w:pPr>
        <w:tabs>
          <w:tab w:val="left" w:pos="440"/>
          <w:tab w:val="left" w:pos="966"/>
          <w:tab w:val="right" w:leader="dot" w:pos="9062"/>
        </w:tabs>
        <w:spacing w:after="60"/>
      </w:pPr>
      <w:r w:rsidRPr="00390B30">
        <w:t xml:space="preserve">In 2012-13 strategic research programs were funded by two jurisdictions: </w:t>
      </w:r>
    </w:p>
    <w:p w:rsidR="00390B30" w:rsidRPr="00390B30" w:rsidRDefault="004B5D98" w:rsidP="00390B30">
      <w:pPr>
        <w:numPr>
          <w:ilvl w:val="0"/>
          <w:numId w:val="10"/>
        </w:numPr>
        <w:tabs>
          <w:tab w:val="left" w:pos="440"/>
          <w:tab w:val="left" w:pos="966"/>
          <w:tab w:val="right" w:leader="dot" w:pos="9062"/>
        </w:tabs>
        <w:spacing w:after="60"/>
        <w:ind w:left="284" w:hanging="284"/>
        <w:contextualSpacing/>
        <w:rPr>
          <w:rFonts w:eastAsia="Batang"/>
        </w:rPr>
      </w:pPr>
      <w:hyperlink r:id="rId63" w:history="1">
        <w:proofErr w:type="spellStart"/>
        <w:r w:rsidR="008A14B6" w:rsidRPr="00E81ED3">
          <w:rPr>
            <w:rStyle w:val="Hyperlink"/>
          </w:rPr>
          <w:t>SafeWork</w:t>
        </w:r>
        <w:proofErr w:type="spellEnd"/>
        <w:r w:rsidR="008A14B6" w:rsidRPr="00E81ED3">
          <w:rPr>
            <w:rStyle w:val="Hyperlink"/>
          </w:rPr>
          <w:t xml:space="preserve"> SA Grants programs</w:t>
        </w:r>
      </w:hyperlink>
      <w:r w:rsidR="008A14B6" w:rsidRPr="00390B30">
        <w:rPr>
          <w:color w:val="0000FF"/>
          <w:u w:val="single"/>
        </w:rPr>
        <w:t xml:space="preserve"> </w:t>
      </w:r>
      <w:r w:rsidR="00390B30" w:rsidRPr="00390B30">
        <w:rPr>
          <w:rFonts w:eastAsia="Batang"/>
        </w:rPr>
        <w:t xml:space="preserve">and </w:t>
      </w:r>
    </w:p>
    <w:p w:rsidR="00516C7F" w:rsidRPr="00E045AB" w:rsidRDefault="004B5D98" w:rsidP="00E81ED3">
      <w:pPr>
        <w:numPr>
          <w:ilvl w:val="0"/>
          <w:numId w:val="10"/>
        </w:numPr>
        <w:tabs>
          <w:tab w:val="left" w:pos="440"/>
          <w:tab w:val="left" w:pos="966"/>
          <w:tab w:val="right" w:leader="dot" w:pos="9062"/>
        </w:tabs>
        <w:spacing w:after="240"/>
        <w:ind w:left="284" w:hanging="284"/>
        <w:contextualSpacing/>
        <w:rPr>
          <w:rFonts w:eastAsia="Batang"/>
        </w:rPr>
      </w:pPr>
      <w:hyperlink r:id="rId64" w:history="1">
        <w:proofErr w:type="spellStart"/>
        <w:r w:rsidR="00390B30" w:rsidRPr="00390B30">
          <w:rPr>
            <w:rFonts w:eastAsia="Batang"/>
            <w:color w:val="0000FF"/>
            <w:u w:val="single"/>
          </w:rPr>
          <w:t>ISCRR</w:t>
        </w:r>
        <w:proofErr w:type="spellEnd"/>
      </w:hyperlink>
      <w:r w:rsidR="00390B30" w:rsidRPr="00390B30">
        <w:rPr>
          <w:rFonts w:eastAsia="Batang"/>
        </w:rPr>
        <w:t xml:space="preserve"> research program by Worksafe</w:t>
      </w:r>
      <w:r w:rsidR="002A0FDE">
        <w:rPr>
          <w:rFonts w:eastAsia="Batang"/>
        </w:rPr>
        <w:t xml:space="preserve"> Victoria</w:t>
      </w:r>
      <w:r w:rsidR="00390B30" w:rsidRPr="00390B30">
        <w:rPr>
          <w:rFonts w:eastAsia="Batang"/>
        </w:rPr>
        <w:t>,</w:t>
      </w:r>
      <w:r w:rsidR="002A0FDE">
        <w:rPr>
          <w:rFonts w:eastAsia="Batang"/>
        </w:rPr>
        <w:t xml:space="preserve"> the</w:t>
      </w:r>
      <w:r w:rsidR="00390B30" w:rsidRPr="00390B30">
        <w:rPr>
          <w:rFonts w:eastAsia="Batang"/>
        </w:rPr>
        <w:t xml:space="preserve"> Transport Accident Commission and Monash University. </w:t>
      </w:r>
    </w:p>
    <w:p w:rsidR="00E045AB" w:rsidRPr="005F502D" w:rsidRDefault="00E045AB" w:rsidP="005F502D">
      <w:pPr>
        <w:pStyle w:val="research"/>
        <w:rPr>
          <w:b/>
        </w:rPr>
      </w:pPr>
      <w:r w:rsidRPr="005F502D">
        <w:rPr>
          <w:b/>
        </w:rPr>
        <w:lastRenderedPageBreak/>
        <w:t>Further information</w:t>
      </w:r>
    </w:p>
    <w:p w:rsidR="00E045AB" w:rsidRPr="00E045AB" w:rsidRDefault="00E045AB" w:rsidP="005F502D">
      <w:pPr>
        <w:pStyle w:val="research"/>
      </w:pPr>
      <w:r w:rsidRPr="00E045AB">
        <w:t xml:space="preserve">For examples see the research collaborations on the </w:t>
      </w:r>
      <w:hyperlink r:id="rId65" w:history="1">
        <w:r w:rsidRPr="00E045AB">
          <w:rPr>
            <w:rFonts w:cs="Arial"/>
            <w:color w:val="0000FF"/>
            <w:u w:val="single"/>
          </w:rPr>
          <w:t>Safe Work Australia website</w:t>
        </w:r>
      </w:hyperlink>
      <w:r w:rsidRPr="00E045AB">
        <w:t>.</w:t>
      </w:r>
    </w:p>
    <w:p w:rsidR="00E045AB" w:rsidRPr="00E045AB" w:rsidRDefault="004B5D98" w:rsidP="005F502D">
      <w:pPr>
        <w:pStyle w:val="research"/>
        <w:rPr>
          <w:i/>
        </w:rPr>
      </w:pPr>
      <w:hyperlink r:id="rId66" w:history="1">
        <w:r w:rsidR="00E045AB" w:rsidRPr="00E045AB">
          <w:rPr>
            <w:rStyle w:val="Hyperlink"/>
            <w:i/>
            <w:szCs w:val="20"/>
          </w:rPr>
          <w:t>Sources of information</w:t>
        </w:r>
      </w:hyperlink>
    </w:p>
    <w:p w:rsidR="00E045AB" w:rsidRPr="00E045AB" w:rsidRDefault="004B5D98" w:rsidP="005F502D">
      <w:pPr>
        <w:pStyle w:val="research"/>
        <w:rPr>
          <w:i/>
        </w:rPr>
      </w:pPr>
      <w:hyperlink r:id="rId67" w:history="1">
        <w:r w:rsidR="00E045AB" w:rsidRPr="00E045AB">
          <w:rPr>
            <w:rStyle w:val="Hyperlink"/>
            <w:i/>
            <w:szCs w:val="20"/>
          </w:rPr>
          <w:t>Risk awareness and perception of health and safety</w:t>
        </w:r>
      </w:hyperlink>
    </w:p>
    <w:p w:rsidR="00E069C0" w:rsidRDefault="00E069C0" w:rsidP="00244A22">
      <w:pPr>
        <w:tabs>
          <w:tab w:val="left" w:pos="440"/>
          <w:tab w:val="left" w:pos="966"/>
          <w:tab w:val="right" w:leader="dot" w:pos="9062"/>
        </w:tabs>
        <w:spacing w:after="240"/>
        <w:contextualSpacing/>
      </w:pPr>
    </w:p>
    <w:p w:rsidR="00F77C0B" w:rsidRDefault="00F77C0B" w:rsidP="00244A22">
      <w:pPr>
        <w:tabs>
          <w:tab w:val="left" w:pos="440"/>
          <w:tab w:val="left" w:pos="966"/>
          <w:tab w:val="right" w:leader="dot" w:pos="9062"/>
        </w:tabs>
        <w:spacing w:after="240"/>
        <w:contextualSpacing/>
      </w:pPr>
    </w:p>
    <w:p w:rsidR="00C7534F" w:rsidRDefault="004B5D98" w:rsidP="00390B30">
      <w:pPr>
        <w:tabs>
          <w:tab w:val="left" w:pos="966"/>
        </w:tabs>
        <w:spacing w:line="276" w:lineRule="auto"/>
        <w:rPr>
          <w:b/>
          <w:i/>
          <w:color w:val="0000FF"/>
          <w:sz w:val="24"/>
          <w:u w:val="single"/>
        </w:rPr>
      </w:pPr>
      <w:hyperlink r:id="rId68" w:history="1">
        <w:r w:rsidR="00390B30" w:rsidRPr="00390B30">
          <w:rPr>
            <w:b/>
            <w:i/>
            <w:color w:val="0000FF"/>
            <w:sz w:val="24"/>
            <w:u w:val="single"/>
          </w:rPr>
          <w:t>Government</w:t>
        </w:r>
      </w:hyperlink>
    </w:p>
    <w:p w:rsidR="00390B30" w:rsidRPr="00E069C0" w:rsidRDefault="00390B30" w:rsidP="00390B30">
      <w:pPr>
        <w:tabs>
          <w:tab w:val="left" w:pos="966"/>
        </w:tabs>
      </w:pPr>
      <w:r w:rsidRPr="00E069C0">
        <w:rPr>
          <w:b/>
          <w:i/>
        </w:rPr>
        <w:t xml:space="preserve">How are Governments important drivers of work health and safety? </w:t>
      </w:r>
    </w:p>
    <w:p w:rsidR="00390B30" w:rsidRPr="00390B30" w:rsidRDefault="00390B30" w:rsidP="00390B30">
      <w:pPr>
        <w:tabs>
          <w:tab w:val="left" w:pos="966"/>
        </w:tabs>
      </w:pPr>
      <w:r w:rsidRPr="00390B30">
        <w:t>Governments directly and indirectly influence work health and safety within Australian businesses,</w:t>
      </w:r>
      <w:r w:rsidR="00244A22">
        <w:t xml:space="preserve"> </w:t>
      </w:r>
      <w:r w:rsidRPr="00390B30">
        <w:t>organisations and in the broader community through the policies, programs and services they deliver</w:t>
      </w:r>
      <w:r w:rsidR="00024141">
        <w:t>.</w:t>
      </w:r>
      <w:r w:rsidRPr="00390B30">
        <w:t xml:space="preserve"> </w:t>
      </w:r>
    </w:p>
    <w:p w:rsidR="00390B30" w:rsidRPr="00390B30" w:rsidRDefault="00390B30" w:rsidP="00390B30">
      <w:pPr>
        <w:tabs>
          <w:tab w:val="left" w:pos="966"/>
        </w:tabs>
      </w:pPr>
      <w:r w:rsidRPr="00390B30">
        <w:t xml:space="preserve">Governments are major purchasers of products and services. By incorporating work health and safety into government investment, procurement arrangements and contracts they can encourage suppliers to improve health and safety associated with their products and services. </w:t>
      </w:r>
    </w:p>
    <w:p w:rsidR="00FE568A" w:rsidRDefault="00390B30" w:rsidP="00390B30">
      <w:pPr>
        <w:tabs>
          <w:tab w:val="left" w:pos="966"/>
        </w:tabs>
      </w:pPr>
      <w:r w:rsidRPr="00390B30">
        <w:t xml:space="preserve">The community and the private sector expect that Governments as major employers will exemplify good work health and safety practices within their own organisations. They can and do implement innovative approaches to risk management. </w:t>
      </w:r>
    </w:p>
    <w:p w:rsidR="00390B30" w:rsidRPr="00390B30" w:rsidRDefault="00390B30" w:rsidP="00FE568A">
      <w:pPr>
        <w:pStyle w:val="Heading3"/>
      </w:pPr>
      <w:r w:rsidRPr="00390B30">
        <w:t xml:space="preserve">What is being done? </w:t>
      </w:r>
    </w:p>
    <w:p w:rsidR="00390B30" w:rsidRPr="00390B30" w:rsidRDefault="00390B30" w:rsidP="00390B30">
      <w:pPr>
        <w:tabs>
          <w:tab w:val="left" w:pos="966"/>
        </w:tabs>
      </w:pPr>
      <w:r w:rsidRPr="00390B30">
        <w:t>S</w:t>
      </w:r>
      <w:r w:rsidR="00516C7F">
        <w:t xml:space="preserve">afe </w:t>
      </w:r>
      <w:r w:rsidRPr="00390B30">
        <w:t>W</w:t>
      </w:r>
      <w:r w:rsidR="00516C7F">
        <w:t xml:space="preserve">ork </w:t>
      </w:r>
      <w:r w:rsidRPr="00390B30">
        <w:t>A</w:t>
      </w:r>
      <w:r w:rsidR="00516C7F">
        <w:t>ustralia</w:t>
      </w:r>
      <w:r w:rsidRPr="00390B30">
        <w:t xml:space="preserve"> and the </w:t>
      </w:r>
      <w:r w:rsidR="00E94491">
        <w:t>WHS</w:t>
      </w:r>
      <w:r w:rsidRPr="00390B30">
        <w:t xml:space="preserve"> regulators contribute to national, </w:t>
      </w:r>
      <w:r w:rsidR="00024141">
        <w:t>s</w:t>
      </w:r>
      <w:r w:rsidRPr="00390B30">
        <w:t xml:space="preserve">tate and </w:t>
      </w:r>
      <w:r w:rsidR="00024141">
        <w:t>t</w:t>
      </w:r>
      <w:r w:rsidRPr="00390B30">
        <w:t xml:space="preserve">erritory reviews on government policies which either directly or indirectly influence work health and safety.  A recent federal government example was the </w:t>
      </w:r>
      <w:hyperlink r:id="rId69" w:history="1">
        <w:r w:rsidRPr="00390B30">
          <w:rPr>
            <w:color w:val="0000FF"/>
            <w:u w:val="single"/>
          </w:rPr>
          <w:t>Commonwealth Government Parliamentary Inquiry</w:t>
        </w:r>
      </w:hyperlink>
      <w:r w:rsidRPr="00390B30">
        <w:t xml:space="preserve"> addressing community and public concerns about bullying in the workplace.</w:t>
      </w:r>
    </w:p>
    <w:p w:rsidR="00390B30" w:rsidRPr="00390B30" w:rsidRDefault="00516C7F" w:rsidP="002A0FDE">
      <w:pPr>
        <w:tabs>
          <w:tab w:val="left" w:pos="966"/>
        </w:tabs>
      </w:pPr>
      <w:r>
        <w:t xml:space="preserve">Safe Work Australia </w:t>
      </w:r>
      <w:r w:rsidR="00390B30" w:rsidRPr="00390B30">
        <w:t>is examining how governments can more effectively incorporate</w:t>
      </w:r>
      <w:r>
        <w:t xml:space="preserve"> </w:t>
      </w:r>
      <w:r w:rsidR="00390B30" w:rsidRPr="00390B30">
        <w:t xml:space="preserve">WHS in each stage of the </w:t>
      </w:r>
      <w:r w:rsidR="00390B30" w:rsidRPr="00883AFA">
        <w:t>procurement process</w:t>
      </w:r>
      <w:r w:rsidR="002A0FDE" w:rsidRPr="002A0FDE">
        <w:t xml:space="preserve"> </w:t>
      </w:r>
      <w:r w:rsidR="002A0FDE" w:rsidRPr="00390B30">
        <w:t>without unnecessarily increasing</w:t>
      </w:r>
      <w:r w:rsidR="002A0FDE">
        <w:t xml:space="preserve"> the</w:t>
      </w:r>
      <w:r w:rsidR="002A0FDE" w:rsidRPr="00390B30">
        <w:t xml:space="preserve"> regulatory burden</w:t>
      </w:r>
      <w:r w:rsidR="00390B30" w:rsidRPr="00390B30">
        <w:t xml:space="preserve">. </w:t>
      </w:r>
    </w:p>
    <w:p w:rsidR="00390B30" w:rsidRPr="00390B30" w:rsidRDefault="00390B30" w:rsidP="00390B30">
      <w:pPr>
        <w:tabs>
          <w:tab w:val="left" w:pos="966"/>
        </w:tabs>
      </w:pPr>
      <w:r w:rsidRPr="00390B30">
        <w:t xml:space="preserve">Work is underway to replace or update the </w:t>
      </w:r>
      <w:proofErr w:type="spellStart"/>
      <w:r w:rsidRPr="00390B30">
        <w:t>ASCC</w:t>
      </w:r>
      <w:proofErr w:type="spellEnd"/>
      <w:r w:rsidRPr="00390B30">
        <w:t xml:space="preserve"> </w:t>
      </w:r>
      <w:r w:rsidRPr="00390B30">
        <w:rPr>
          <w:i/>
        </w:rPr>
        <w:t xml:space="preserve">Guidance on Occupational Health and Safety in Government Procurement </w:t>
      </w:r>
      <w:r w:rsidRPr="00390B30">
        <w:t xml:space="preserve">to ensure it reflects the requirements of the model WHS laws. </w:t>
      </w:r>
    </w:p>
    <w:p w:rsidR="00390B30" w:rsidRPr="00390B30" w:rsidRDefault="00390B30" w:rsidP="00390B30">
      <w:pPr>
        <w:tabs>
          <w:tab w:val="left" w:pos="966"/>
        </w:tabs>
      </w:pPr>
      <w:r w:rsidRPr="00390B30">
        <w:lastRenderedPageBreak/>
        <w:t xml:space="preserve">The pivotal role of government in modelling good work health and safety practice was identified in the previous National OHS Strategy. WHS regulators have continued to actively support government agencies in their jurisdictions to develop policies and programs to deliver improved </w:t>
      </w:r>
      <w:r w:rsidR="00E94491">
        <w:t>WHS</w:t>
      </w:r>
      <w:r w:rsidR="00516C7F">
        <w:t xml:space="preserve"> </w:t>
      </w:r>
      <w:r w:rsidRPr="00390B30">
        <w:t xml:space="preserve">outcomes for their workers.  </w:t>
      </w:r>
    </w:p>
    <w:p w:rsidR="00390B30" w:rsidRPr="00390B30" w:rsidRDefault="00390B30" w:rsidP="00390B30">
      <w:pPr>
        <w:tabs>
          <w:tab w:val="left" w:pos="440"/>
          <w:tab w:val="left" w:pos="966"/>
          <w:tab w:val="right" w:leader="dot" w:pos="9062"/>
        </w:tabs>
        <w:spacing w:after="60"/>
      </w:pPr>
      <w:r w:rsidRPr="00390B30">
        <w:rPr>
          <w:rFonts w:eastAsia="Batang"/>
        </w:rPr>
        <w:t xml:space="preserve">The ACT Government responded to the findings of the </w:t>
      </w:r>
      <w:hyperlink r:id="rId70" w:history="1">
        <w:r w:rsidRPr="00694260">
          <w:rPr>
            <w:rFonts w:eastAsia="Batang"/>
            <w:i/>
            <w:color w:val="0000FF"/>
            <w:szCs w:val="20"/>
            <w:u w:val="single"/>
            <w:lang w:eastAsia="en-US"/>
          </w:rPr>
          <w:t>Getting Home Safely</w:t>
        </w:r>
      </w:hyperlink>
      <w:r w:rsidRPr="00390B30">
        <w:rPr>
          <w:rFonts w:eastAsia="Batang"/>
          <w:szCs w:val="20"/>
          <w:lang w:eastAsia="en-US"/>
        </w:rPr>
        <w:t xml:space="preserve"> report</w:t>
      </w:r>
      <w:r w:rsidRPr="00390B30">
        <w:rPr>
          <w:rFonts w:eastAsia="Batang"/>
        </w:rPr>
        <w:t xml:space="preserve"> into safety in the construction industry by ensuring  government contracts ar</w:t>
      </w:r>
      <w:r w:rsidRPr="00390B30">
        <w:t>e</w:t>
      </w:r>
      <w:r w:rsidRPr="00390B30">
        <w:rPr>
          <w:rFonts w:eastAsia="Batang"/>
        </w:rPr>
        <w:t xml:space="preserve"> awarded to companies demonstrating a commitment and capacity to meet their workplace health and safety obligations. </w:t>
      </w:r>
      <w:hyperlink r:id="rId71" w:history="1">
        <w:r w:rsidRPr="00E642A8">
          <w:rPr>
            <w:rStyle w:val="Hyperlink"/>
            <w:rFonts w:eastAsia="Batang"/>
          </w:rPr>
          <w:t xml:space="preserve">The </w:t>
        </w:r>
        <w:r w:rsidR="005F7096" w:rsidRPr="00E642A8">
          <w:rPr>
            <w:rStyle w:val="Hyperlink"/>
          </w:rPr>
          <w:t>ACT Active Certification Policy</w:t>
        </w:r>
      </w:hyperlink>
      <w:r w:rsidR="005F7096" w:rsidRPr="005F7096">
        <w:t xml:space="preserve"> </w:t>
      </w:r>
      <w:r w:rsidRPr="00390B30">
        <w:rPr>
          <w:rFonts w:asciiTheme="majorHAnsi" w:eastAsiaTheme="majorEastAsia" w:hAnsiTheme="majorHAnsi" w:cstheme="majorBidi"/>
          <w:bCs/>
          <w:iCs/>
        </w:rPr>
        <w:t xml:space="preserve">uses </w:t>
      </w:r>
      <w:r w:rsidRPr="00390B30">
        <w:t xml:space="preserve">government purchasing power to drive improvements in ACT Government funded construction projects. </w:t>
      </w:r>
    </w:p>
    <w:p w:rsidR="00390B30" w:rsidRDefault="00390B30" w:rsidP="00390B30">
      <w:pPr>
        <w:tabs>
          <w:tab w:val="left" w:pos="440"/>
          <w:tab w:val="left" w:pos="966"/>
          <w:tab w:val="right" w:leader="dot" w:pos="9062"/>
        </w:tabs>
        <w:spacing w:before="120"/>
        <w:rPr>
          <w:rFonts w:eastAsia="Batang"/>
        </w:rPr>
      </w:pPr>
      <w:r w:rsidRPr="00390B30">
        <w:rPr>
          <w:rFonts w:eastAsia="Batang"/>
        </w:rPr>
        <w:t xml:space="preserve">The </w:t>
      </w:r>
      <w:r w:rsidRPr="00694260">
        <w:rPr>
          <w:rFonts w:eastAsia="Batang"/>
        </w:rPr>
        <w:t xml:space="preserve">National Work Health and Safety and Injury Management </w:t>
      </w:r>
      <w:r w:rsidRPr="00390B30">
        <w:rPr>
          <w:rFonts w:eastAsia="Batang"/>
        </w:rPr>
        <w:t xml:space="preserve">forum is an informal group sharing information, policies and strategies to improve public sector performance. </w:t>
      </w:r>
    </w:p>
    <w:p w:rsidR="005F502D" w:rsidRPr="005F502D" w:rsidRDefault="005F502D" w:rsidP="005F502D">
      <w:pPr>
        <w:pStyle w:val="research"/>
        <w:rPr>
          <w:b/>
        </w:rPr>
      </w:pPr>
      <w:proofErr w:type="spellStart"/>
      <w:r w:rsidRPr="005F502D">
        <w:rPr>
          <w:b/>
        </w:rPr>
        <w:t>APSC</w:t>
      </w:r>
      <w:proofErr w:type="spellEnd"/>
      <w:r w:rsidRPr="005F502D">
        <w:rPr>
          <w:b/>
        </w:rPr>
        <w:t xml:space="preserve"> and </w:t>
      </w:r>
      <w:proofErr w:type="spellStart"/>
      <w:r w:rsidRPr="005F502D">
        <w:rPr>
          <w:b/>
        </w:rPr>
        <w:t>Comcare</w:t>
      </w:r>
      <w:proofErr w:type="spellEnd"/>
      <w:r w:rsidRPr="005F502D">
        <w:rPr>
          <w:b/>
        </w:rPr>
        <w:t xml:space="preserve"> act on mental </w:t>
      </w:r>
      <w:r>
        <w:rPr>
          <w:b/>
        </w:rPr>
        <w:br/>
      </w:r>
      <w:r w:rsidRPr="005F502D">
        <w:rPr>
          <w:b/>
        </w:rPr>
        <w:t>health issues</w:t>
      </w:r>
    </w:p>
    <w:p w:rsidR="005F502D" w:rsidRDefault="005F502D" w:rsidP="005F502D">
      <w:pPr>
        <w:pStyle w:val="research"/>
      </w:pPr>
      <w:r w:rsidRPr="008F0183">
        <w:rPr>
          <w:rFonts w:ascii="Gotham" w:eastAsiaTheme="minorHAnsi" w:hAnsi="Gotham" w:cs="Gotham"/>
          <w:color w:val="000000"/>
          <w:sz w:val="18"/>
          <w:szCs w:val="18"/>
        </w:rPr>
        <w:t>The Australian Public Service Commission (</w:t>
      </w:r>
      <w:proofErr w:type="spellStart"/>
      <w:r w:rsidRPr="008F0183">
        <w:rPr>
          <w:rFonts w:ascii="Gotham" w:eastAsiaTheme="minorHAnsi" w:hAnsi="Gotham" w:cs="Gotham"/>
          <w:color w:val="000000"/>
          <w:sz w:val="18"/>
          <w:szCs w:val="18"/>
        </w:rPr>
        <w:t>APSC</w:t>
      </w:r>
      <w:proofErr w:type="spellEnd"/>
      <w:r w:rsidRPr="008F0183">
        <w:rPr>
          <w:rFonts w:ascii="Gotham" w:eastAsiaTheme="minorHAnsi" w:hAnsi="Gotham" w:cs="Gotham"/>
          <w:color w:val="000000"/>
          <w:sz w:val="18"/>
          <w:szCs w:val="18"/>
        </w:rPr>
        <w:t xml:space="preserve">) and </w:t>
      </w:r>
      <w:proofErr w:type="spellStart"/>
      <w:r w:rsidRPr="008F0183">
        <w:rPr>
          <w:rFonts w:ascii="Gotham" w:eastAsiaTheme="minorHAnsi" w:hAnsi="Gotham" w:cs="Gotham"/>
          <w:color w:val="000000"/>
          <w:sz w:val="18"/>
          <w:szCs w:val="18"/>
        </w:rPr>
        <w:t>Comcare</w:t>
      </w:r>
      <w:proofErr w:type="spellEnd"/>
      <w:r w:rsidRPr="008F0183">
        <w:rPr>
          <w:rFonts w:ascii="Gotham" w:eastAsiaTheme="minorHAnsi" w:hAnsi="Gotham" w:cs="Gotham"/>
          <w:color w:val="000000"/>
          <w:sz w:val="18"/>
          <w:szCs w:val="18"/>
        </w:rPr>
        <w:t xml:space="preserve"> act to improve mental health in the workplace. The </w:t>
      </w:r>
      <w:proofErr w:type="spellStart"/>
      <w:r w:rsidRPr="008F0183">
        <w:rPr>
          <w:rFonts w:ascii="Gotham" w:eastAsiaTheme="minorHAnsi" w:hAnsi="Gotham" w:cs="Gotham"/>
          <w:color w:val="000000"/>
          <w:sz w:val="18"/>
          <w:szCs w:val="18"/>
        </w:rPr>
        <w:t>APSC</w:t>
      </w:r>
      <w:proofErr w:type="spellEnd"/>
      <w:r w:rsidRPr="008F0183">
        <w:rPr>
          <w:rFonts w:ascii="Gotham" w:eastAsiaTheme="minorHAnsi" w:hAnsi="Gotham" w:cs="Gotham"/>
          <w:color w:val="000000"/>
          <w:sz w:val="18"/>
          <w:szCs w:val="18"/>
        </w:rPr>
        <w:t xml:space="preserve"> and </w:t>
      </w:r>
      <w:proofErr w:type="spellStart"/>
      <w:r w:rsidRPr="008F0183">
        <w:rPr>
          <w:rFonts w:ascii="Gotham" w:eastAsiaTheme="minorHAnsi" w:hAnsi="Gotham" w:cs="Gotham"/>
          <w:color w:val="000000"/>
          <w:sz w:val="18"/>
          <w:szCs w:val="18"/>
        </w:rPr>
        <w:t>Comcare</w:t>
      </w:r>
      <w:proofErr w:type="spellEnd"/>
      <w:r w:rsidRPr="008F0183">
        <w:rPr>
          <w:rFonts w:ascii="Gotham" w:eastAsiaTheme="minorHAnsi" w:hAnsi="Gotham" w:cs="Gotham"/>
          <w:color w:val="000000"/>
          <w:sz w:val="18"/>
          <w:szCs w:val="18"/>
        </w:rPr>
        <w:t xml:space="preserve"> released the </w:t>
      </w:r>
      <w:hyperlink r:id="rId72" w:history="1">
        <w:r w:rsidRPr="00033601">
          <w:rPr>
            <w:rStyle w:val="Hyperlink"/>
            <w:rFonts w:ascii="Gotham" w:eastAsiaTheme="minorHAnsi" w:hAnsi="Gotham" w:cs="Gotham"/>
            <w:i/>
            <w:iCs/>
            <w:sz w:val="18"/>
            <w:szCs w:val="18"/>
          </w:rPr>
          <w:t>Working Together: promoting mental health and wellbeing at work</w:t>
        </w:r>
      </w:hyperlink>
      <w:r w:rsidRPr="008F0183">
        <w:rPr>
          <w:rFonts w:ascii="Gotham" w:eastAsiaTheme="minorHAnsi" w:hAnsi="Gotham" w:cs="Gotham"/>
          <w:i/>
          <w:iCs/>
          <w:color w:val="000000"/>
          <w:sz w:val="18"/>
          <w:szCs w:val="18"/>
          <w:u w:val="single"/>
        </w:rPr>
        <w:t xml:space="preserve"> </w:t>
      </w:r>
      <w:r w:rsidRPr="008F0183">
        <w:rPr>
          <w:rFonts w:ascii="Gotham" w:eastAsiaTheme="minorHAnsi" w:hAnsi="Gotham" w:cs="Gotham"/>
          <w:i/>
          <w:iCs/>
          <w:color w:val="000000"/>
          <w:sz w:val="18"/>
          <w:szCs w:val="18"/>
        </w:rPr>
        <w:t>guide</w:t>
      </w:r>
      <w:r w:rsidRPr="008F0183">
        <w:rPr>
          <w:rFonts w:ascii="Gotham" w:eastAsiaTheme="minorHAnsi" w:hAnsi="Gotham" w:cs="Gotham"/>
          <w:color w:val="000000"/>
          <w:sz w:val="18"/>
          <w:szCs w:val="18"/>
        </w:rPr>
        <w:t>. This guide aims to empower managers and workers to work together to build inclusive workplaces and effective systems for promoting mental health in the APS.</w:t>
      </w:r>
    </w:p>
    <w:p w:rsidR="00390B30" w:rsidRPr="00390B30" w:rsidRDefault="004B5D98" w:rsidP="00390B30">
      <w:pPr>
        <w:keepNext/>
        <w:tabs>
          <w:tab w:val="left" w:pos="966"/>
        </w:tabs>
        <w:spacing w:before="120"/>
        <w:outlineLvl w:val="1"/>
        <w:rPr>
          <w:b/>
          <w:i/>
          <w:sz w:val="24"/>
        </w:rPr>
      </w:pPr>
      <w:hyperlink r:id="rId73" w:history="1">
        <w:bookmarkStart w:id="4" w:name="_Toc384372885"/>
        <w:r w:rsidR="00390B30" w:rsidRPr="00390B30">
          <w:rPr>
            <w:b/>
            <w:i/>
            <w:color w:val="0000FF"/>
            <w:sz w:val="24"/>
            <w:u w:val="single"/>
          </w:rPr>
          <w:t>Responsive and effective regulation</w:t>
        </w:r>
        <w:bookmarkEnd w:id="4"/>
      </w:hyperlink>
      <w:r w:rsidR="00390B30" w:rsidRPr="00390B30">
        <w:rPr>
          <w:b/>
          <w:i/>
          <w:sz w:val="24"/>
        </w:rPr>
        <w:t xml:space="preserve"> </w:t>
      </w:r>
    </w:p>
    <w:p w:rsidR="00390B30" w:rsidRPr="001E3B7C" w:rsidRDefault="00390B30" w:rsidP="00FE568A">
      <w:pPr>
        <w:pStyle w:val="Heading3"/>
      </w:pPr>
      <w:r w:rsidRPr="001E3B7C">
        <w:t xml:space="preserve">Why is getting this right important? </w:t>
      </w:r>
    </w:p>
    <w:p w:rsidR="00390B30" w:rsidRPr="00390B30" w:rsidRDefault="00390B30" w:rsidP="002A0FDE">
      <w:pPr>
        <w:tabs>
          <w:tab w:val="left" w:pos="966"/>
        </w:tabs>
      </w:pPr>
      <w:r w:rsidRPr="00390B30">
        <w:t xml:space="preserve">WHS regulators recognise </w:t>
      </w:r>
      <w:r w:rsidR="002A0FDE" w:rsidRPr="00390B30">
        <w:t xml:space="preserve">they need a flexible response </w:t>
      </w:r>
      <w:r w:rsidRPr="00390B30">
        <w:t xml:space="preserve">when deciding </w:t>
      </w:r>
      <w:r w:rsidR="002A0FDE">
        <w:t>how to deal</w:t>
      </w:r>
      <w:r w:rsidRPr="00390B30">
        <w:t xml:space="preserve"> with organisations with poor </w:t>
      </w:r>
      <w:r w:rsidR="00E94491">
        <w:t>WHS</w:t>
      </w:r>
      <w:r w:rsidR="00E81ED3">
        <w:t xml:space="preserve"> practices</w:t>
      </w:r>
      <w:r w:rsidRPr="00390B30">
        <w:t>. This includes consideration of the particular business circumstances such as their size, past history and environment</w:t>
      </w:r>
      <w:r w:rsidR="002A0FDE">
        <w:t xml:space="preserve"> –</w:t>
      </w:r>
      <w:r w:rsidRPr="00390B30">
        <w:t xml:space="preserve"> for example, if their work is high risk. </w:t>
      </w:r>
    </w:p>
    <w:p w:rsidR="005F502D" w:rsidRDefault="00390B30" w:rsidP="005F502D">
      <w:pPr>
        <w:tabs>
          <w:tab w:val="left" w:pos="966"/>
        </w:tabs>
      </w:pPr>
      <w:r w:rsidRPr="00390B30">
        <w:t xml:space="preserve">The community expects people should be able to come home safely and workplaces that </w:t>
      </w:r>
      <w:r w:rsidR="002A0FDE">
        <w:t xml:space="preserve">expose their workers to serious risk, or </w:t>
      </w:r>
      <w:r w:rsidRPr="00390B30">
        <w:t xml:space="preserve">cause death or serious injury will be held to account. </w:t>
      </w:r>
    </w:p>
    <w:p w:rsidR="00390B30" w:rsidRPr="00390B30" w:rsidRDefault="00390B30" w:rsidP="00FE568A">
      <w:pPr>
        <w:pStyle w:val="Heading3"/>
      </w:pPr>
      <w:r w:rsidRPr="00390B30">
        <w:t xml:space="preserve">What is being done? </w:t>
      </w:r>
    </w:p>
    <w:p w:rsidR="00390B30" w:rsidRPr="00390B30" w:rsidRDefault="00390B30" w:rsidP="00390B30">
      <w:pPr>
        <w:tabs>
          <w:tab w:val="left" w:pos="966"/>
        </w:tabs>
      </w:pPr>
      <w:r w:rsidRPr="00390B30">
        <w:t xml:space="preserve">The work to create a more nationally consistent regulatory framework across </w:t>
      </w:r>
      <w:r w:rsidRPr="00390B30">
        <w:lastRenderedPageBreak/>
        <w:t xml:space="preserve">Australia began in 2009 under the </w:t>
      </w:r>
      <w:hyperlink r:id="rId74" w:history="1">
        <w:r w:rsidRPr="00390B30">
          <w:rPr>
            <w:color w:val="0000FF"/>
            <w:u w:val="single"/>
          </w:rPr>
          <w:t>National OHS Strategy 2002-2012</w:t>
        </w:r>
      </w:hyperlink>
      <w:r w:rsidRPr="00390B30">
        <w:t xml:space="preserve">. </w:t>
      </w:r>
    </w:p>
    <w:p w:rsidR="00390B30" w:rsidRPr="00390B30" w:rsidRDefault="00390B30" w:rsidP="002A0FDE">
      <w:pPr>
        <w:tabs>
          <w:tab w:val="left" w:pos="966"/>
        </w:tabs>
        <w:rPr>
          <w:rFonts w:cs="Arial"/>
        </w:rPr>
      </w:pPr>
      <w:r w:rsidRPr="00390B30">
        <w:t xml:space="preserve">During the reporting period for this first progress report five jurisdictions adopted the model WHS laws. On 1 January 2013, </w:t>
      </w:r>
      <w:r w:rsidR="002A0FDE">
        <w:t>South Australia</w:t>
      </w:r>
      <w:r w:rsidR="002A0FDE" w:rsidRPr="00390B30">
        <w:t xml:space="preserve"> </w:t>
      </w:r>
      <w:r w:rsidRPr="00390B30">
        <w:t>and Tasmania also adopted the new legislation.</w:t>
      </w:r>
      <w:r w:rsidRPr="00390B30">
        <w:rPr>
          <w:rFonts w:cs="Arial"/>
        </w:rPr>
        <w:t xml:space="preserve"> </w:t>
      </w:r>
    </w:p>
    <w:p w:rsidR="00390B30" w:rsidRPr="00390B30" w:rsidRDefault="001E3B7C" w:rsidP="005F502D">
      <w:r w:rsidRPr="00D008DE">
        <w:rPr>
          <w:noProof/>
        </w:rPr>
        <mc:AlternateContent>
          <mc:Choice Requires="wps">
            <w:drawing>
              <wp:anchor distT="0" distB="0" distL="114300" distR="114300" simplePos="0" relativeHeight="251696128" behindDoc="0" locked="0" layoutInCell="1" allowOverlap="1" wp14:anchorId="3D159196" wp14:editId="7F7F0047">
                <wp:simplePos x="0" y="0"/>
                <wp:positionH relativeFrom="column">
                  <wp:posOffset>6772275</wp:posOffset>
                </wp:positionH>
                <wp:positionV relativeFrom="paragraph">
                  <wp:posOffset>-8321675</wp:posOffset>
                </wp:positionV>
                <wp:extent cx="1133475" cy="914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33475" cy="914400"/>
                        </a:xfrm>
                        <a:prstGeom prst="rect">
                          <a:avLst/>
                        </a:prstGeom>
                        <a:solidFill>
                          <a:srgbClr val="DDDDDD"/>
                        </a:solidFill>
                        <a:ln w="25400" cap="flat" cmpd="sng" algn="ctr">
                          <a:solidFill>
                            <a:srgbClr val="DDDDDD">
                              <a:shade val="50000"/>
                            </a:srgbClr>
                          </a:solidFill>
                          <a:prstDash val="solid"/>
                        </a:ln>
                        <a:effectLst/>
                      </wps:spPr>
                      <wps:txbx>
                        <w:txbxContent>
                          <w:p w:rsidR="00D01011" w:rsidRDefault="00D01011" w:rsidP="00E81ED3">
                            <w:pPr>
                              <w:rPr>
                                <w:i/>
                                <w:sz w:val="18"/>
                                <w:szCs w:val="18"/>
                              </w:rPr>
                            </w:pPr>
                            <w:r w:rsidRPr="00287B06">
                              <w:rPr>
                                <w:i/>
                                <w:sz w:val="18"/>
                                <w:szCs w:val="18"/>
                              </w:rPr>
                              <w:t xml:space="preserve">Link </w:t>
                            </w:r>
                            <w:r>
                              <w:rPr>
                                <w:i/>
                                <w:sz w:val="18"/>
                                <w:szCs w:val="18"/>
                              </w:rPr>
                              <w:t xml:space="preserve">– ACT Certification program – </w:t>
                            </w:r>
                          </w:p>
                          <w:p w:rsidR="00D01011" w:rsidRPr="00287B06" w:rsidRDefault="00D01011" w:rsidP="00E81ED3">
                            <w:pPr>
                              <w:rPr>
                                <w:i/>
                                <w:sz w:val="18"/>
                                <w:szCs w:val="18"/>
                              </w:rPr>
                            </w:pPr>
                            <w:r>
                              <w:rPr>
                                <w:i/>
                                <w:sz w:val="18"/>
                                <w:szCs w:val="18"/>
                              </w:rPr>
                              <w:t xml:space="preserve">ACT Construction Advisory Group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margin-left:533.25pt;margin-top:-655.25pt;width:89.25pt;height:1in;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" fillcolor="#ddd" strokecolor="#a2a2a2" strokeweight="2pt">
                <v:textbox>
                  <w:txbxContent>
                    <w:p w:rsidR="00D01011" w:rsidRDefault="00D01011" w:rsidP="00E81ED3">
                      <w:pPr>
                        <w:rPr>
                          <w:i/>
                          <w:sz w:val="18"/>
                          <w:szCs w:val="18"/>
                        </w:rPr>
                      </w:pPr>
                      <w:r w:rsidRPr="00287B06">
                        <w:rPr>
                          <w:i/>
                          <w:sz w:val="18"/>
                          <w:szCs w:val="18"/>
                        </w:rPr>
                        <w:t xml:space="preserve">Link </w:t>
                      </w:r>
                      <w:r>
                        <w:rPr>
                          <w:i/>
                          <w:sz w:val="18"/>
                          <w:szCs w:val="18"/>
                        </w:rPr>
                        <w:t xml:space="preserve">– ACT Certification program – </w:t>
                      </w:r>
                    </w:p>
                    <w:p w:rsidR="00D01011" w:rsidRPr="00287B06" w:rsidRDefault="00D01011" w:rsidP="00E81ED3">
                      <w:pPr>
                        <w:rPr>
                          <w:i/>
                          <w:sz w:val="18"/>
                          <w:szCs w:val="18"/>
                        </w:rPr>
                      </w:pPr>
                      <w:r>
                        <w:rPr>
                          <w:i/>
                          <w:sz w:val="18"/>
                          <w:szCs w:val="18"/>
                        </w:rPr>
                        <w:t xml:space="preserve">ACT Construction Advisory Group </w:t>
                      </w:r>
                    </w:p>
                  </w:txbxContent>
                </v:textbox>
              </v:rect>
            </w:pict>
          </mc:Fallback>
        </mc:AlternateContent>
      </w:r>
      <w:r w:rsidR="00390B30" w:rsidRPr="00390B30">
        <w:t>Making minor adjustments to improve the workability of the new legislation is important. S</w:t>
      </w:r>
      <w:r w:rsidR="00234438">
        <w:t xml:space="preserve">afe Work Australia </w:t>
      </w:r>
      <w:r w:rsidR="002A0FDE">
        <w:t>has set up a</w:t>
      </w:r>
      <w:r w:rsidR="00390B30" w:rsidRPr="00390B30">
        <w:t xml:space="preserve"> tripartite Implementation Temporary Advisory Group </w:t>
      </w:r>
      <w:r w:rsidR="002A0FDE">
        <w:t>to</w:t>
      </w:r>
      <w:r w:rsidR="002A0FDE" w:rsidRPr="00390B30">
        <w:t xml:space="preserve"> </w:t>
      </w:r>
      <w:r w:rsidR="00390B30" w:rsidRPr="00390B30">
        <w:t>continue to identify and resolve any ongoing interpretation and workability issues.</w:t>
      </w:r>
    </w:p>
    <w:p w:rsidR="005F502D" w:rsidRPr="005F502D" w:rsidRDefault="005F502D" w:rsidP="005F502D">
      <w:pPr>
        <w:pStyle w:val="responsiveregulation"/>
        <w:rPr>
          <w:b/>
        </w:rPr>
      </w:pPr>
      <w:r w:rsidRPr="005F502D">
        <w:rPr>
          <w:b/>
        </w:rPr>
        <w:t>Understanding Regulatory Effectiveness</w:t>
      </w:r>
    </w:p>
    <w:p w:rsidR="005F502D" w:rsidRPr="00F15C6F" w:rsidRDefault="005F502D" w:rsidP="005F502D">
      <w:pPr>
        <w:pStyle w:val="responsiveregulation"/>
      </w:pPr>
      <w:r w:rsidRPr="00F15C6F">
        <w:t xml:space="preserve">The </w:t>
      </w:r>
      <w:hyperlink r:id="rId75" w:history="1">
        <w:r w:rsidRPr="00614B4E">
          <w:rPr>
            <w:rStyle w:val="Hyperlink"/>
            <w:szCs w:val="20"/>
          </w:rPr>
          <w:t>Australian National University Regulatory Institutions Network (</w:t>
        </w:r>
        <w:proofErr w:type="spellStart"/>
        <w:r w:rsidRPr="00614B4E">
          <w:rPr>
            <w:rStyle w:val="Hyperlink"/>
            <w:szCs w:val="20"/>
          </w:rPr>
          <w:t>RegNet</w:t>
        </w:r>
        <w:proofErr w:type="spellEnd"/>
        <w:r w:rsidRPr="00614B4E">
          <w:rPr>
            <w:rStyle w:val="Hyperlink"/>
            <w:szCs w:val="20"/>
          </w:rPr>
          <w:t>)</w:t>
        </w:r>
      </w:hyperlink>
      <w:r w:rsidRPr="00F15C6F">
        <w:t xml:space="preserve"> </w:t>
      </w:r>
      <w:r>
        <w:br/>
      </w:r>
      <w:r w:rsidRPr="00F15C6F">
        <w:t>research program is involved in exploring and understanding critical domains of regulation.</w:t>
      </w:r>
    </w:p>
    <w:p w:rsidR="005F502D" w:rsidRPr="00F15C6F" w:rsidRDefault="005F502D" w:rsidP="005F502D">
      <w:pPr>
        <w:pStyle w:val="responsiveregulation"/>
      </w:pPr>
      <w:proofErr w:type="spellStart"/>
      <w:r w:rsidRPr="00F15C6F">
        <w:t>RegNet</w:t>
      </w:r>
      <w:proofErr w:type="spellEnd"/>
      <w:r w:rsidRPr="00F15C6F">
        <w:t xml:space="preserve"> receives funding from Safe Work Australia to assess the effectiveness of the model </w:t>
      </w:r>
      <w:proofErr w:type="spellStart"/>
      <w:r w:rsidRPr="00F15C6F">
        <w:t>WHS</w:t>
      </w:r>
      <w:proofErr w:type="spellEnd"/>
      <w:r w:rsidRPr="00F15C6F">
        <w:t xml:space="preserve"> laws. This work will be completed </w:t>
      </w:r>
      <w:r>
        <w:br/>
      </w:r>
      <w:r w:rsidRPr="00F15C6F">
        <w:t>in 2016.</w:t>
      </w:r>
    </w:p>
    <w:p w:rsidR="006E54E2" w:rsidRDefault="00694260" w:rsidP="00390B30">
      <w:pPr>
        <w:tabs>
          <w:tab w:val="left" w:pos="966"/>
        </w:tabs>
      </w:pPr>
      <w:r>
        <w:t xml:space="preserve"> </w:t>
      </w:r>
    </w:p>
    <w:p w:rsidR="00390B30" w:rsidRPr="00390B30" w:rsidRDefault="00390B30" w:rsidP="00390B30">
      <w:pPr>
        <w:tabs>
          <w:tab w:val="left" w:pos="966"/>
        </w:tabs>
      </w:pPr>
      <w:r w:rsidRPr="00390B30">
        <w:t>To assist businesses and organisations understand the new requirements, S</w:t>
      </w:r>
      <w:r w:rsidR="00234438">
        <w:t xml:space="preserve">afe Work Australia </w:t>
      </w:r>
      <w:r w:rsidRPr="00390B30">
        <w:t xml:space="preserve">developed a suite of 43 </w:t>
      </w:r>
      <w:hyperlink r:id="rId76" w:history="1">
        <w:r w:rsidR="005F7096" w:rsidRPr="00694260">
          <w:rPr>
            <w:rStyle w:val="Hyperlink"/>
          </w:rPr>
          <w:t>model Codes of Practice</w:t>
        </w:r>
      </w:hyperlink>
      <w:r w:rsidRPr="00390B30">
        <w:t xml:space="preserve">, </w:t>
      </w:r>
      <w:hyperlink r:id="rId77" w:history="1">
        <w:r w:rsidR="005F7096" w:rsidRPr="00694260">
          <w:rPr>
            <w:rStyle w:val="Hyperlink"/>
          </w:rPr>
          <w:t>industry guidance and fact sheets</w:t>
        </w:r>
      </w:hyperlink>
      <w:r w:rsidRPr="00390B30">
        <w:t xml:space="preserve">. This information complements the extensive information already provided by the WHS regulators. </w:t>
      </w:r>
    </w:p>
    <w:p w:rsidR="005F502D" w:rsidRDefault="00390B30" w:rsidP="00390B30">
      <w:pPr>
        <w:tabs>
          <w:tab w:val="left" w:pos="966"/>
        </w:tabs>
      </w:pPr>
      <w:r w:rsidRPr="00390B30">
        <w:t xml:space="preserve">Mining activities significantly contribute to Australia’s productivity but are also by their nature hazardous. </w:t>
      </w:r>
      <w:r w:rsidR="00234438" w:rsidRPr="00390B30">
        <w:t>S</w:t>
      </w:r>
      <w:r w:rsidR="00234438">
        <w:t xml:space="preserve">afe Work Australia </w:t>
      </w:r>
      <w:r w:rsidRPr="00390B30">
        <w:t>worked with the relevant regulators on the</w:t>
      </w:r>
    </w:p>
    <w:p w:rsidR="005F502D" w:rsidRPr="001C0AC4" w:rsidRDefault="005F502D" w:rsidP="005F502D">
      <w:pPr>
        <w:pStyle w:val="responsiveregulation"/>
        <w:rPr>
          <w:b/>
        </w:rPr>
      </w:pPr>
      <w:r w:rsidRPr="001C0AC4">
        <w:rPr>
          <w:b/>
        </w:rPr>
        <w:t>Case studies</w:t>
      </w:r>
    </w:p>
    <w:p w:rsidR="005F502D" w:rsidRPr="00A04AE1" w:rsidRDefault="005F502D" w:rsidP="001C0AC4">
      <w:pPr>
        <w:pStyle w:val="responsiveregulation"/>
        <w:jc w:val="left"/>
        <w:rPr>
          <w:i/>
          <w:color w:val="0000FF"/>
          <w:u w:val="single"/>
        </w:rPr>
      </w:pPr>
      <w:r w:rsidRPr="00F15C6F">
        <w:t>WorkCover NSW</w:t>
      </w:r>
      <w:r w:rsidRPr="00F15C6F">
        <w:rPr>
          <w:i/>
        </w:rPr>
        <w:t xml:space="preserve"> </w:t>
      </w:r>
      <w:hyperlink r:id="rId78" w:history="1">
        <w:r w:rsidRPr="003C0C25">
          <w:rPr>
            <w:rStyle w:val="Hyperlink"/>
            <w:i/>
            <w:szCs w:val="20"/>
          </w:rPr>
          <w:t>Explosives</w:t>
        </w:r>
      </w:hyperlink>
    </w:p>
    <w:p w:rsidR="005F502D" w:rsidRPr="00F15C6F" w:rsidRDefault="005F502D" w:rsidP="001C0AC4">
      <w:pPr>
        <w:pStyle w:val="responsiveregulation"/>
        <w:jc w:val="left"/>
        <w:rPr>
          <w:i/>
          <w:color w:val="C00000"/>
        </w:rPr>
      </w:pPr>
      <w:proofErr w:type="spellStart"/>
      <w:r w:rsidRPr="00F15C6F">
        <w:t>WorkSafe</w:t>
      </w:r>
      <w:proofErr w:type="spellEnd"/>
      <w:r w:rsidRPr="00F15C6F">
        <w:t xml:space="preserve"> ACT</w:t>
      </w:r>
      <w:r w:rsidRPr="00F15C6F">
        <w:rPr>
          <w:i/>
          <w:color w:val="C00000"/>
        </w:rPr>
        <w:t xml:space="preserve"> </w:t>
      </w:r>
      <w:hyperlink r:id="rId79" w:history="1">
        <w:r w:rsidRPr="003C0C25">
          <w:rPr>
            <w:rStyle w:val="Hyperlink"/>
            <w:i/>
            <w:szCs w:val="20"/>
          </w:rPr>
          <w:t>Compliance with work health and safety laws</w:t>
        </w:r>
      </w:hyperlink>
    </w:p>
    <w:p w:rsidR="005F502D" w:rsidRPr="00F15C6F" w:rsidRDefault="005F502D" w:rsidP="001C0AC4">
      <w:pPr>
        <w:pStyle w:val="responsiveregulation"/>
        <w:jc w:val="left"/>
        <w:rPr>
          <w:i/>
          <w:color w:val="C00000"/>
        </w:rPr>
      </w:pPr>
      <w:r w:rsidRPr="00F15C6F">
        <w:t>Tasmania</w:t>
      </w:r>
      <w:r w:rsidRPr="00F15C6F">
        <w:rPr>
          <w:i/>
          <w:color w:val="C00000"/>
        </w:rPr>
        <w:t xml:space="preserve"> </w:t>
      </w:r>
      <w:hyperlink r:id="rId80" w:history="1">
        <w:r w:rsidRPr="003C0C25">
          <w:rPr>
            <w:rStyle w:val="Hyperlink"/>
            <w:i/>
            <w:szCs w:val="20"/>
          </w:rPr>
          <w:t>Log-truck initiative</w:t>
        </w:r>
      </w:hyperlink>
      <w:r w:rsidRPr="00A04AE1">
        <w:rPr>
          <w:i/>
          <w:color w:val="0000FF"/>
        </w:rPr>
        <w:t xml:space="preserve"> </w:t>
      </w:r>
    </w:p>
    <w:p w:rsidR="005F502D" w:rsidRPr="00F15C6F" w:rsidRDefault="005F502D" w:rsidP="001C0AC4">
      <w:pPr>
        <w:pStyle w:val="responsiveregulation"/>
        <w:jc w:val="left"/>
        <w:rPr>
          <w:i/>
          <w:color w:val="C00000"/>
        </w:rPr>
      </w:pPr>
      <w:r w:rsidRPr="00F15C6F">
        <w:t xml:space="preserve">Safe Work Australia </w:t>
      </w:r>
      <w:hyperlink r:id="rId81" w:history="1">
        <w:r w:rsidRPr="003C0C25">
          <w:rPr>
            <w:rStyle w:val="Hyperlink"/>
            <w:i/>
            <w:szCs w:val="20"/>
          </w:rPr>
          <w:t>Nanotechnology</w:t>
        </w:r>
      </w:hyperlink>
    </w:p>
    <w:p w:rsidR="00CF378C" w:rsidRDefault="00390B30" w:rsidP="00390B30">
      <w:pPr>
        <w:tabs>
          <w:tab w:val="left" w:pos="966"/>
        </w:tabs>
      </w:pPr>
      <w:r w:rsidRPr="00390B30">
        <w:t xml:space="preserve"> </w:t>
      </w:r>
    </w:p>
    <w:p w:rsidR="00390B30" w:rsidRPr="00390B30" w:rsidRDefault="004B5D98" w:rsidP="00390B30">
      <w:pPr>
        <w:tabs>
          <w:tab w:val="left" w:pos="966"/>
        </w:tabs>
      </w:pPr>
      <w:hyperlink r:id="rId82" w:history="1">
        <w:proofErr w:type="gramStart"/>
        <w:r w:rsidR="00390B30" w:rsidRPr="00694260">
          <w:rPr>
            <w:rStyle w:val="Hyperlink"/>
          </w:rPr>
          <w:t>National Mine Safety Framework.</w:t>
        </w:r>
        <w:proofErr w:type="gramEnd"/>
      </w:hyperlink>
      <w:r w:rsidR="00390B30" w:rsidRPr="00390B30">
        <w:t xml:space="preserve"> This aims to create greater uniformity and improved safety in this sector across Australia. </w:t>
      </w:r>
    </w:p>
    <w:p w:rsidR="00390B30" w:rsidRPr="00390B30" w:rsidRDefault="00390B30" w:rsidP="00390B30">
      <w:pPr>
        <w:tabs>
          <w:tab w:val="left" w:pos="966"/>
        </w:tabs>
      </w:pPr>
      <w:r w:rsidRPr="00390B30">
        <w:t>S</w:t>
      </w:r>
      <w:r w:rsidR="00234438">
        <w:t xml:space="preserve">afe Work Australia </w:t>
      </w:r>
      <w:r w:rsidRPr="00390B30">
        <w:t xml:space="preserve">and </w:t>
      </w:r>
      <w:r w:rsidR="00B01F79">
        <w:t xml:space="preserve">WHS </w:t>
      </w:r>
      <w:r w:rsidRPr="00390B30">
        <w:t xml:space="preserve">regulators are in collaboration with the </w:t>
      </w:r>
      <w:hyperlink r:id="rId83" w:history="1">
        <w:r w:rsidRPr="00390B30">
          <w:rPr>
            <w:color w:val="0000FF"/>
            <w:u w:val="single"/>
          </w:rPr>
          <w:t xml:space="preserve">Australian </w:t>
        </w:r>
        <w:r w:rsidRPr="00390B30">
          <w:rPr>
            <w:color w:val="0000FF"/>
            <w:u w:val="single"/>
          </w:rPr>
          <w:lastRenderedPageBreak/>
          <w:t>Forum of Explosives Regulators</w:t>
        </w:r>
      </w:hyperlink>
      <w:r w:rsidRPr="00390B30">
        <w:t xml:space="preserve"> working to ensure greater national uniformity in explosive</w:t>
      </w:r>
      <w:r w:rsidR="00A81AB0">
        <w:t>s</w:t>
      </w:r>
      <w:r w:rsidRPr="00390B30">
        <w:t xml:space="preserve"> regulations. This will ultimately reduce the regulatory burden, improve safety and ensure a more competitive market place in Australia and internationally.</w:t>
      </w:r>
    </w:p>
    <w:p w:rsidR="00390B30" w:rsidRPr="00390B30" w:rsidRDefault="00390B30" w:rsidP="00390B30">
      <w:pPr>
        <w:tabs>
          <w:tab w:val="left" w:pos="966"/>
        </w:tabs>
      </w:pPr>
      <w:r w:rsidRPr="00390B30">
        <w:t xml:space="preserve">Businesses expect </w:t>
      </w:r>
      <w:r w:rsidR="00B01F79">
        <w:t xml:space="preserve">WHS </w:t>
      </w:r>
      <w:r w:rsidRPr="00390B30">
        <w:t xml:space="preserve">regulators will be consistent and fair when applying the laws.  </w:t>
      </w:r>
      <w:proofErr w:type="spellStart"/>
      <w:r w:rsidRPr="00E42A3E">
        <w:t>HWSA</w:t>
      </w:r>
      <w:proofErr w:type="spellEnd"/>
      <w:r w:rsidRPr="00390B30">
        <w:rPr>
          <w:color w:val="0000FF"/>
          <w:u w:val="single"/>
        </w:rPr>
        <w:t xml:space="preserve"> </w:t>
      </w:r>
      <w:r w:rsidRPr="00390B30">
        <w:t xml:space="preserve">respects this community expectation and adopted and commenced implementation of the </w:t>
      </w:r>
      <w:hyperlink r:id="rId84" w:history="1">
        <w:r w:rsidRPr="00390B30">
          <w:rPr>
            <w:color w:val="0000FF"/>
            <w:u w:val="single"/>
          </w:rPr>
          <w:t>National Compliance and Enforcement Policy</w:t>
        </w:r>
      </w:hyperlink>
      <w:r w:rsidRPr="00390B30">
        <w:t xml:space="preserve">. This sets out the principles underpinning the approach taken by the </w:t>
      </w:r>
      <w:r w:rsidR="00B01F79">
        <w:t xml:space="preserve">WHS </w:t>
      </w:r>
      <w:r w:rsidRPr="00390B30">
        <w:t>regulators to monitor and enforce compliance.</w:t>
      </w:r>
    </w:p>
    <w:p w:rsidR="001C0AC4" w:rsidRDefault="00390B30" w:rsidP="00A81AB0">
      <w:pPr>
        <w:tabs>
          <w:tab w:val="left" w:pos="966"/>
        </w:tabs>
      </w:pPr>
      <w:r w:rsidRPr="00390B30">
        <w:t xml:space="preserve">The 2012 national compliance campaigns coordinated by </w:t>
      </w:r>
      <w:proofErr w:type="spellStart"/>
      <w:r w:rsidRPr="00390B30">
        <w:t>HWSA</w:t>
      </w:r>
      <w:proofErr w:type="spellEnd"/>
      <w:r w:rsidRPr="00390B30">
        <w:t xml:space="preserve"> were targeted at high risk industries including transport, agriculture, residential aged care and</w:t>
      </w:r>
    </w:p>
    <w:p w:rsidR="001C0AC4" w:rsidRPr="001C0AC4" w:rsidRDefault="001C0AC4" w:rsidP="001C0AC4">
      <w:pPr>
        <w:pStyle w:val="responsiveregulation"/>
        <w:rPr>
          <w:b/>
        </w:rPr>
      </w:pPr>
      <w:r w:rsidRPr="001C0AC4">
        <w:rPr>
          <w:b/>
        </w:rPr>
        <w:t>Further information</w:t>
      </w:r>
    </w:p>
    <w:p w:rsidR="001C0AC4" w:rsidRPr="00F15C6F" w:rsidRDefault="001C0AC4" w:rsidP="001C0AC4">
      <w:pPr>
        <w:pStyle w:val="responsiveregulation"/>
      </w:pPr>
      <w:r w:rsidRPr="00F15C6F">
        <w:t>Reports</w:t>
      </w:r>
    </w:p>
    <w:p w:rsidR="001C0AC4" w:rsidRPr="00F15C6F" w:rsidRDefault="004B5D98" w:rsidP="001C0AC4">
      <w:pPr>
        <w:pStyle w:val="responsiveregulation"/>
      </w:pPr>
      <w:hyperlink r:id="rId85" w:history="1">
        <w:r w:rsidR="001C0AC4" w:rsidRPr="00F15C6F">
          <w:rPr>
            <w:rStyle w:val="Hyperlink"/>
            <w:i/>
            <w:szCs w:val="20"/>
          </w:rPr>
          <w:t>Comparative Performance Monitoring Report</w:t>
        </w:r>
      </w:hyperlink>
      <w:r w:rsidR="001C0AC4" w:rsidRPr="00F15C6F">
        <w:rPr>
          <w:i/>
        </w:rPr>
        <w:t xml:space="preserve"> </w:t>
      </w:r>
      <w:r w:rsidR="001C0AC4" w:rsidRPr="00F15C6F">
        <w:t>for more information on regulators’ compliance and enforcement activity.</w:t>
      </w:r>
    </w:p>
    <w:p w:rsidR="001C0AC4" w:rsidRPr="00847C32" w:rsidRDefault="001C0AC4" w:rsidP="001C0AC4">
      <w:pPr>
        <w:pStyle w:val="responsiveregulation"/>
        <w:rPr>
          <w:rStyle w:val="Hyperlink"/>
          <w:i/>
          <w:szCs w:val="20"/>
        </w:rPr>
      </w:pPr>
      <w:r>
        <w:rPr>
          <w:i/>
        </w:rPr>
        <w:fldChar w:fldCharType="begin"/>
      </w:r>
      <w:r>
        <w:rPr>
          <w:i/>
        </w:rPr>
        <w:instrText xml:space="preserve"> HYPERLINK "http://www.safeworkaustralia.gov.au/sites/swa/about/publications/pages/the-effectiveness-of-whs-interventions" </w:instrText>
      </w:r>
      <w:r>
        <w:rPr>
          <w:i/>
        </w:rPr>
        <w:fldChar w:fldCharType="separate"/>
      </w:r>
      <w:r w:rsidRPr="00847C32">
        <w:rPr>
          <w:rStyle w:val="Hyperlink"/>
          <w:i/>
          <w:szCs w:val="20"/>
        </w:rPr>
        <w:t>Effectiveness of work health and safety interventions by regulators</w:t>
      </w:r>
    </w:p>
    <w:p w:rsidR="001C0AC4" w:rsidRPr="00F15C6F" w:rsidRDefault="001C0AC4" w:rsidP="001C0AC4">
      <w:pPr>
        <w:pStyle w:val="responsiveregulation"/>
        <w:rPr>
          <w:i/>
        </w:rPr>
      </w:pPr>
      <w:r>
        <w:rPr>
          <w:i/>
        </w:rPr>
        <w:fldChar w:fldCharType="end"/>
      </w:r>
      <w:r w:rsidRPr="00F15C6F">
        <w:rPr>
          <w:i/>
        </w:rPr>
        <w:t>Safe Work Australia Plant and Licencing Review</w:t>
      </w:r>
    </w:p>
    <w:p w:rsidR="001C0AC4" w:rsidRDefault="001C0AC4" w:rsidP="00A81AB0">
      <w:pPr>
        <w:tabs>
          <w:tab w:val="left" w:pos="966"/>
        </w:tabs>
      </w:pPr>
    </w:p>
    <w:p w:rsidR="00390B30" w:rsidRDefault="00390B30" w:rsidP="00A81AB0">
      <w:pPr>
        <w:tabs>
          <w:tab w:val="left" w:pos="966"/>
        </w:tabs>
      </w:pPr>
      <w:r w:rsidRPr="00390B30">
        <w:t xml:space="preserve"> </w:t>
      </w:r>
      <w:proofErr w:type="gramStart"/>
      <w:r w:rsidRPr="00390B30">
        <w:t>fraudulent</w:t>
      </w:r>
      <w:proofErr w:type="gramEnd"/>
      <w:r w:rsidRPr="00390B30">
        <w:t xml:space="preserve"> high risk work licences.</w:t>
      </w:r>
    </w:p>
    <w:p w:rsidR="00390B30" w:rsidRPr="00390B30" w:rsidRDefault="00390B30" w:rsidP="00390B30">
      <w:pPr>
        <w:tabs>
          <w:tab w:val="left" w:pos="966"/>
        </w:tabs>
        <w:spacing w:after="0"/>
      </w:pPr>
      <w:proofErr w:type="spellStart"/>
      <w:r w:rsidRPr="00390B30">
        <w:t>HWSA</w:t>
      </w:r>
      <w:proofErr w:type="spellEnd"/>
      <w:r w:rsidRPr="00390B30">
        <w:t xml:space="preserve"> developed consistent national approaches to such important matters as:</w:t>
      </w:r>
    </w:p>
    <w:p w:rsidR="00390B30" w:rsidRPr="00390B30" w:rsidRDefault="00390B30" w:rsidP="00390B30">
      <w:pPr>
        <w:numPr>
          <w:ilvl w:val="0"/>
          <w:numId w:val="11"/>
        </w:numPr>
        <w:tabs>
          <w:tab w:val="left" w:pos="440"/>
          <w:tab w:val="left" w:pos="966"/>
          <w:tab w:val="right" w:leader="dot" w:pos="9062"/>
        </w:tabs>
        <w:spacing w:after="60"/>
        <w:ind w:left="426" w:hanging="426"/>
        <w:contextualSpacing/>
        <w:rPr>
          <w:rFonts w:eastAsia="Batang"/>
        </w:rPr>
      </w:pPr>
      <w:r w:rsidRPr="00390B30">
        <w:rPr>
          <w:rFonts w:eastAsia="Batang"/>
        </w:rPr>
        <w:t>procedure for dealing with applications for asbestos-related licences, and</w:t>
      </w:r>
    </w:p>
    <w:p w:rsidR="00390B30" w:rsidRPr="00390B30" w:rsidRDefault="00390B30" w:rsidP="00390B30">
      <w:pPr>
        <w:numPr>
          <w:ilvl w:val="0"/>
          <w:numId w:val="11"/>
        </w:numPr>
        <w:tabs>
          <w:tab w:val="left" w:pos="440"/>
          <w:tab w:val="left" w:pos="966"/>
          <w:tab w:val="right" w:leader="dot" w:pos="9062"/>
        </w:tabs>
        <w:spacing w:after="60"/>
        <w:ind w:left="426" w:hanging="426"/>
        <w:contextualSpacing/>
        <w:rPr>
          <w:rFonts w:eastAsia="Batang"/>
        </w:rPr>
      </w:pPr>
      <w:proofErr w:type="gramStart"/>
      <w:r w:rsidRPr="00390B30">
        <w:rPr>
          <w:rFonts w:eastAsia="Batang"/>
        </w:rPr>
        <w:t>work</w:t>
      </w:r>
      <w:proofErr w:type="gramEnd"/>
      <w:r w:rsidRPr="00390B30">
        <w:rPr>
          <w:rFonts w:eastAsia="Batang"/>
        </w:rPr>
        <w:t xml:space="preserve"> health and safety undertakings. </w:t>
      </w:r>
    </w:p>
    <w:p w:rsidR="00390B30" w:rsidRPr="00390B30" w:rsidRDefault="00390B30" w:rsidP="00390B30">
      <w:pPr>
        <w:tabs>
          <w:tab w:val="left" w:pos="440"/>
          <w:tab w:val="left" w:pos="966"/>
          <w:tab w:val="right" w:leader="dot" w:pos="9062"/>
        </w:tabs>
        <w:spacing w:after="60"/>
        <w:ind w:left="426"/>
        <w:contextualSpacing/>
        <w:rPr>
          <w:rFonts w:eastAsia="Batang"/>
        </w:rPr>
      </w:pPr>
    </w:p>
    <w:p w:rsidR="00234438" w:rsidRDefault="00390B30" w:rsidP="00390B30">
      <w:pPr>
        <w:tabs>
          <w:tab w:val="left" w:pos="440"/>
          <w:tab w:val="left" w:pos="966"/>
          <w:tab w:val="right" w:leader="dot" w:pos="9062"/>
        </w:tabs>
        <w:spacing w:after="60"/>
        <w:rPr>
          <w:rFonts w:eastAsia="Batang"/>
        </w:rPr>
      </w:pPr>
      <w:r w:rsidRPr="00390B30">
        <w:rPr>
          <w:rFonts w:eastAsia="Batang"/>
        </w:rPr>
        <w:t xml:space="preserve">Individual jurisdictions of course continue to review and improve their approaches to compliance and enforcement to ensure they respond to their local conditions. </w:t>
      </w:r>
    </w:p>
    <w:p w:rsidR="00390B30" w:rsidRDefault="00390B30" w:rsidP="007F3783">
      <w:pPr>
        <w:tabs>
          <w:tab w:val="left" w:pos="440"/>
          <w:tab w:val="left" w:pos="966"/>
          <w:tab w:val="right" w:leader="dot" w:pos="9062"/>
        </w:tabs>
        <w:spacing w:after="60"/>
      </w:pPr>
      <w:r w:rsidRPr="00390B30">
        <w:t>Finally a responsive and effective regulatory framework needs to respond to new and emerging technologies and hazards. The S</w:t>
      </w:r>
      <w:r w:rsidR="00086647">
        <w:t xml:space="preserve">afe </w:t>
      </w:r>
      <w:r w:rsidRPr="00390B30">
        <w:t>W</w:t>
      </w:r>
      <w:r w:rsidR="00086647">
        <w:t xml:space="preserve">ork </w:t>
      </w:r>
      <w:r w:rsidRPr="00390B30">
        <w:t>A</w:t>
      </w:r>
      <w:r w:rsidR="00086647">
        <w:t>ustralia</w:t>
      </w:r>
      <w:r w:rsidRPr="00390B30">
        <w:t xml:space="preserve"> N</w:t>
      </w:r>
      <w:r w:rsidRPr="00B01F79">
        <w:t>anotechnology</w:t>
      </w:r>
      <w:r w:rsidRPr="00390B30">
        <w:t xml:space="preserve"> Program is an exciting example of a national and international contribution to productivity, innovation and health and safety in an emerging technology. </w:t>
      </w:r>
    </w:p>
    <w:p w:rsidR="00390B30" w:rsidRPr="00390B30" w:rsidRDefault="004B5D98" w:rsidP="00145652">
      <w:pPr>
        <w:pStyle w:val="Heading2"/>
        <w:rPr>
          <w:b/>
          <w:i/>
        </w:rPr>
      </w:pPr>
      <w:hyperlink r:id="rId86" w:history="1">
        <w:r w:rsidR="00390B30" w:rsidRPr="00390B30">
          <w:rPr>
            <w:b/>
            <w:i/>
            <w:color w:val="0000FF"/>
            <w:u w:val="single"/>
          </w:rPr>
          <w:t>Supporting Small Business</w:t>
        </w:r>
      </w:hyperlink>
      <w:r w:rsidR="00390B30" w:rsidRPr="00390B30">
        <w:rPr>
          <w:b/>
          <w:i/>
        </w:rPr>
        <w:t xml:space="preserve"> </w:t>
      </w:r>
    </w:p>
    <w:p w:rsidR="00390B30" w:rsidRPr="0096720E" w:rsidRDefault="00390B30" w:rsidP="0096720E">
      <w:pPr>
        <w:pStyle w:val="Heading3"/>
      </w:pPr>
      <w:r w:rsidRPr="0096720E">
        <w:t xml:space="preserve">Why is this important? </w:t>
      </w:r>
    </w:p>
    <w:p w:rsidR="00390B30" w:rsidRPr="00390B30" w:rsidRDefault="00390B30" w:rsidP="00390B30">
      <w:pPr>
        <w:tabs>
          <w:tab w:val="left" w:pos="966"/>
        </w:tabs>
        <w:rPr>
          <w:lang w:eastAsia="en-US"/>
        </w:rPr>
      </w:pPr>
      <w:r w:rsidRPr="00390B30">
        <w:rPr>
          <w:lang w:eastAsia="en-US"/>
        </w:rPr>
        <w:lastRenderedPageBreak/>
        <w:t xml:space="preserve">Small businesses make a significant contribution to the Australian economy and employ 4.8 million workers. For a range of reasons they sometimes struggle with workplace issues. However owners know their business, know their risks and know their people. With targeted help from WHS regulators and industry groups they can be supported to work with their employees to </w:t>
      </w:r>
      <w:r w:rsidR="007F3783">
        <w:rPr>
          <w:lang w:eastAsia="en-US"/>
        </w:rPr>
        <w:t xml:space="preserve">implement practical solutions. </w:t>
      </w:r>
      <w:r w:rsidRPr="00390B30">
        <w:rPr>
          <w:lang w:eastAsia="en-US"/>
        </w:rPr>
        <w:t xml:space="preserve">This is a priority for all Australian governments. </w:t>
      </w:r>
    </w:p>
    <w:p w:rsidR="00390B30" w:rsidRPr="0096720E" w:rsidRDefault="00390B30" w:rsidP="0096720E">
      <w:pPr>
        <w:pStyle w:val="Heading3"/>
      </w:pPr>
      <w:r w:rsidRPr="0096720E">
        <w:t xml:space="preserve">What is being done? </w:t>
      </w:r>
    </w:p>
    <w:p w:rsidR="00390B30" w:rsidRPr="00390B30" w:rsidRDefault="00390B30" w:rsidP="00390B30">
      <w:pPr>
        <w:tabs>
          <w:tab w:val="left" w:pos="966"/>
        </w:tabs>
        <w:rPr>
          <w:lang w:eastAsia="en-US"/>
        </w:rPr>
      </w:pPr>
      <w:r w:rsidRPr="00390B30">
        <w:rPr>
          <w:lang w:eastAsia="en-US"/>
        </w:rPr>
        <w:t xml:space="preserve">The Commonwealth, state and territory </w:t>
      </w:r>
      <w:r w:rsidR="00B01F79">
        <w:rPr>
          <w:lang w:eastAsia="en-US"/>
        </w:rPr>
        <w:t>WHS</w:t>
      </w:r>
      <w:r w:rsidR="00B9308A">
        <w:rPr>
          <w:lang w:eastAsia="en-US"/>
        </w:rPr>
        <w:t xml:space="preserve"> </w:t>
      </w:r>
      <w:r w:rsidRPr="00390B30">
        <w:rPr>
          <w:lang w:eastAsia="en-US"/>
        </w:rPr>
        <w:t xml:space="preserve">regulators have all developed resources specifically to assist small business owners better understand and meet their obligations. These include access to: free advisory services, information sessions, fact sheets and tool kits. </w:t>
      </w:r>
    </w:p>
    <w:p w:rsidR="00390B30" w:rsidRPr="00390B30" w:rsidRDefault="00390B30" w:rsidP="00390B30">
      <w:pPr>
        <w:tabs>
          <w:tab w:val="left" w:pos="966"/>
        </w:tabs>
        <w:rPr>
          <w:rFonts w:eastAsiaTheme="minorHAnsi" w:cs="Arial"/>
        </w:rPr>
      </w:pPr>
      <w:r w:rsidRPr="00390B30">
        <w:rPr>
          <w:rFonts w:eastAsiaTheme="minorHAnsi" w:cs="Arial"/>
        </w:rPr>
        <w:t xml:space="preserve">Some recent examples have included: </w:t>
      </w:r>
    </w:p>
    <w:p w:rsidR="00390B30" w:rsidRPr="00390B30" w:rsidRDefault="00390B30" w:rsidP="00A81AB0">
      <w:pPr>
        <w:numPr>
          <w:ilvl w:val="0"/>
          <w:numId w:val="26"/>
        </w:numPr>
        <w:tabs>
          <w:tab w:val="num" w:pos="-2520"/>
          <w:tab w:val="left" w:pos="966"/>
        </w:tabs>
        <w:ind w:left="360"/>
        <w:rPr>
          <w:rFonts w:cs="Arial"/>
        </w:rPr>
      </w:pPr>
      <w:r w:rsidRPr="00390B30">
        <w:rPr>
          <w:rFonts w:cs="Arial"/>
        </w:rPr>
        <w:t>Work Cover NSW</w:t>
      </w:r>
      <w:hyperlink r:id="rId87" w:history="1">
        <w:r w:rsidR="00A81AB0" w:rsidRPr="00BF290A">
          <w:rPr>
            <w:rStyle w:val="Hyperlink"/>
            <w:rFonts w:cs="Arial"/>
          </w:rPr>
          <w:t xml:space="preserve">: </w:t>
        </w:r>
        <w:r w:rsidR="00B01F79" w:rsidRPr="00BF290A">
          <w:rPr>
            <w:rStyle w:val="Hyperlink"/>
          </w:rPr>
          <w:t>Small Business Strategy</w:t>
        </w:r>
      </w:hyperlink>
      <w:r w:rsidR="00B01F79" w:rsidRPr="00BF290A">
        <w:rPr>
          <w:color w:val="0000FF"/>
          <w:u w:val="single"/>
        </w:rPr>
        <w:t xml:space="preserve"> </w:t>
      </w:r>
      <w:r w:rsidRPr="00390B30">
        <w:rPr>
          <w:rFonts w:eastAsia="Batang"/>
        </w:rPr>
        <w:t>,</w:t>
      </w:r>
      <w:r w:rsidRPr="00390B30">
        <w:rPr>
          <w:rFonts w:cs="Arial"/>
        </w:rPr>
        <w:t xml:space="preserve"> m</w:t>
      </w:r>
      <w:r w:rsidRPr="00390B30">
        <w:t>aking it easier for small business</w:t>
      </w:r>
      <w:r w:rsidRPr="00390B30">
        <w:rPr>
          <w:rFonts w:cs="Arial"/>
        </w:rPr>
        <w:t xml:space="preserve">, </w:t>
      </w:r>
      <w:r w:rsidRPr="00390B30">
        <w:t>and</w:t>
      </w:r>
      <w:r w:rsidRPr="00390B30">
        <w:rPr>
          <w:i/>
        </w:rPr>
        <w:t xml:space="preserve"> </w:t>
      </w:r>
      <w:hyperlink r:id="rId88" w:history="1">
        <w:r w:rsidRPr="00390B30">
          <w:rPr>
            <w:color w:val="0000FF"/>
            <w:u w:val="single"/>
          </w:rPr>
          <w:t xml:space="preserve">Safety Coach Program </w:t>
        </w:r>
      </w:hyperlink>
      <w:r w:rsidRPr="00390B30">
        <w:t xml:space="preserve"> </w:t>
      </w:r>
    </w:p>
    <w:p w:rsidR="00390B30" w:rsidRPr="00390B30" w:rsidRDefault="00614B4E" w:rsidP="00A81AB0">
      <w:pPr>
        <w:numPr>
          <w:ilvl w:val="0"/>
          <w:numId w:val="26"/>
        </w:numPr>
        <w:tabs>
          <w:tab w:val="num" w:pos="-2520"/>
          <w:tab w:val="left" w:pos="966"/>
        </w:tabs>
        <w:ind w:left="360"/>
        <w:rPr>
          <w:rFonts w:cs="Arial"/>
        </w:rPr>
      </w:pPr>
      <w:r>
        <w:t>Victorian WorkCover Authority</w:t>
      </w:r>
      <w:r w:rsidR="00B169A3">
        <w:t xml:space="preserve">: </w:t>
      </w:r>
      <w:hyperlink r:id="rId89" w:history="1">
        <w:r w:rsidR="00B169A3" w:rsidRPr="00B169A3">
          <w:rPr>
            <w:color w:val="0000FF"/>
            <w:u w:val="single"/>
          </w:rPr>
          <w:t>Small Business</w:t>
        </w:r>
        <w:r w:rsidR="00B169A3">
          <w:rPr>
            <w:rFonts w:cs="Arial"/>
            <w:u w:val="single"/>
          </w:rPr>
          <w:t xml:space="preserve"> </w:t>
        </w:r>
      </w:hyperlink>
    </w:p>
    <w:p w:rsidR="00390B30" w:rsidRPr="00390B30" w:rsidRDefault="00614B4E" w:rsidP="00390B30">
      <w:pPr>
        <w:numPr>
          <w:ilvl w:val="0"/>
          <w:numId w:val="28"/>
        </w:numPr>
        <w:tabs>
          <w:tab w:val="num" w:pos="-1800"/>
          <w:tab w:val="left" w:pos="966"/>
        </w:tabs>
        <w:ind w:left="360"/>
        <w:rPr>
          <w:rFonts w:cs="Arial"/>
        </w:rPr>
      </w:pPr>
      <w:r>
        <w:rPr>
          <w:rFonts w:cs="Arial"/>
        </w:rPr>
        <w:t>Workplace Health and Safety Queensland</w:t>
      </w:r>
      <w:r w:rsidR="00390B30" w:rsidRPr="00390B30">
        <w:rPr>
          <w:rFonts w:cs="Arial"/>
        </w:rPr>
        <w:t xml:space="preserve">: </w:t>
      </w:r>
      <w:hyperlink r:id="rId90" w:history="1">
        <w:r w:rsidR="00390B30" w:rsidRPr="00390B30">
          <w:rPr>
            <w:color w:val="0000FF"/>
            <w:u w:val="single"/>
          </w:rPr>
          <w:t>Small to medium enterprises program</w:t>
        </w:r>
      </w:hyperlink>
    </w:p>
    <w:p w:rsidR="00390B30" w:rsidRPr="00614B4E" w:rsidRDefault="00614B4E" w:rsidP="00390B30">
      <w:pPr>
        <w:numPr>
          <w:ilvl w:val="0"/>
          <w:numId w:val="29"/>
        </w:numPr>
        <w:tabs>
          <w:tab w:val="num" w:pos="-1440"/>
          <w:tab w:val="left" w:pos="966"/>
        </w:tabs>
        <w:ind w:left="360"/>
        <w:rPr>
          <w:rStyle w:val="Hyperlink"/>
          <w:rFonts w:cs="Arial"/>
        </w:rPr>
      </w:pPr>
      <w:proofErr w:type="spellStart"/>
      <w:r>
        <w:rPr>
          <w:rFonts w:cs="Arial"/>
        </w:rPr>
        <w:t>WorkSafe</w:t>
      </w:r>
      <w:proofErr w:type="spellEnd"/>
      <w:r w:rsidR="00390B30" w:rsidRPr="00390B30">
        <w:rPr>
          <w:rFonts w:cs="Arial"/>
        </w:rPr>
        <w:t xml:space="preserve"> Tasmania: </w:t>
      </w:r>
      <w:r>
        <w:rPr>
          <w:color w:val="0000FF"/>
          <w:u w:val="single"/>
        </w:rPr>
        <w:fldChar w:fldCharType="begin"/>
      </w:r>
      <w:r>
        <w:rPr>
          <w:color w:val="0000FF"/>
          <w:u w:val="single"/>
        </w:rPr>
        <w:instrText xml:space="preserve"> HYPERLINK "http://worksafe.tas.gov.au/industry_and_safety/advisors/safety_advisors" </w:instrText>
      </w:r>
      <w:r>
        <w:rPr>
          <w:color w:val="0000FF"/>
          <w:u w:val="single"/>
        </w:rPr>
        <w:fldChar w:fldCharType="separate"/>
      </w:r>
      <w:r w:rsidR="00390B30" w:rsidRPr="00614B4E">
        <w:rPr>
          <w:rStyle w:val="Hyperlink"/>
        </w:rPr>
        <w:t>Small business safety resources and advisors</w:t>
      </w:r>
    </w:p>
    <w:p w:rsidR="00390B30" w:rsidRPr="00390B30" w:rsidRDefault="00614B4E" w:rsidP="00390B30">
      <w:pPr>
        <w:numPr>
          <w:ilvl w:val="0"/>
          <w:numId w:val="30"/>
        </w:numPr>
        <w:tabs>
          <w:tab w:val="num" w:pos="-1080"/>
          <w:tab w:val="left" w:pos="966"/>
        </w:tabs>
        <w:ind w:left="360"/>
        <w:rPr>
          <w:rFonts w:cs="Arial"/>
        </w:rPr>
      </w:pPr>
      <w:r>
        <w:rPr>
          <w:color w:val="0000FF"/>
          <w:u w:val="single"/>
        </w:rPr>
        <w:fldChar w:fldCharType="end"/>
      </w:r>
      <w:proofErr w:type="spellStart"/>
      <w:r w:rsidR="00390B30" w:rsidRPr="00390B30">
        <w:rPr>
          <w:rFonts w:cs="Arial"/>
        </w:rPr>
        <w:t>SafeWork</w:t>
      </w:r>
      <w:proofErr w:type="spellEnd"/>
      <w:r w:rsidR="00390B30" w:rsidRPr="00390B30">
        <w:rPr>
          <w:rFonts w:cs="Arial"/>
        </w:rPr>
        <w:t xml:space="preserve"> SA: Small Business Strategy, Small Employer Incentives Package; and </w:t>
      </w:r>
      <w:hyperlink r:id="rId91" w:history="1">
        <w:r w:rsidR="00390B30" w:rsidRPr="00390B30">
          <w:rPr>
            <w:color w:val="0000FF"/>
            <w:u w:val="single"/>
          </w:rPr>
          <w:t>Seven steps for small business</w:t>
        </w:r>
      </w:hyperlink>
    </w:p>
    <w:p w:rsidR="00390B30" w:rsidRPr="00390B30" w:rsidRDefault="00390B30" w:rsidP="00390B30">
      <w:pPr>
        <w:numPr>
          <w:ilvl w:val="0"/>
          <w:numId w:val="31"/>
        </w:numPr>
        <w:tabs>
          <w:tab w:val="num" w:pos="-720"/>
          <w:tab w:val="left" w:pos="966"/>
        </w:tabs>
        <w:rPr>
          <w:rFonts w:cs="Arial"/>
        </w:rPr>
      </w:pPr>
      <w:proofErr w:type="spellStart"/>
      <w:r w:rsidRPr="00390B30">
        <w:rPr>
          <w:rFonts w:cs="Arial"/>
        </w:rPr>
        <w:t>WorkSafe</w:t>
      </w:r>
      <w:proofErr w:type="spellEnd"/>
      <w:r w:rsidRPr="00390B30">
        <w:rPr>
          <w:rFonts w:cs="Arial"/>
        </w:rPr>
        <w:t xml:space="preserve"> WA: </w:t>
      </w:r>
      <w:hyperlink r:id="rId92" w:history="1">
        <w:proofErr w:type="spellStart"/>
        <w:r w:rsidRPr="00390B30">
          <w:rPr>
            <w:color w:val="0000FF"/>
            <w:u w:val="single"/>
          </w:rPr>
          <w:t>ThinkSafe</w:t>
        </w:r>
        <w:proofErr w:type="spellEnd"/>
        <w:r w:rsidRPr="00390B30">
          <w:rPr>
            <w:color w:val="0000FF"/>
            <w:u w:val="single"/>
          </w:rPr>
          <w:t xml:space="preserve"> small business program</w:t>
        </w:r>
      </w:hyperlink>
    </w:p>
    <w:p w:rsidR="00390B30" w:rsidRPr="00390B30" w:rsidRDefault="00390B30" w:rsidP="00390B30">
      <w:pPr>
        <w:numPr>
          <w:ilvl w:val="0"/>
          <w:numId w:val="32"/>
        </w:numPr>
        <w:tabs>
          <w:tab w:val="num" w:pos="-360"/>
          <w:tab w:val="left" w:pos="966"/>
        </w:tabs>
        <w:ind w:left="360"/>
        <w:rPr>
          <w:rFonts w:cs="Arial"/>
        </w:rPr>
      </w:pPr>
      <w:proofErr w:type="spellStart"/>
      <w:r w:rsidRPr="00390B30">
        <w:rPr>
          <w:rFonts w:cs="Arial"/>
        </w:rPr>
        <w:t>WorkSafe</w:t>
      </w:r>
      <w:proofErr w:type="spellEnd"/>
      <w:r w:rsidRPr="00390B30">
        <w:rPr>
          <w:rFonts w:cs="Arial"/>
        </w:rPr>
        <w:t xml:space="preserve"> ACT: </w:t>
      </w:r>
      <w:hyperlink r:id="rId93" w:anchor="Free Information Sessions" w:history="1">
        <w:r w:rsidRPr="00390B30">
          <w:rPr>
            <w:color w:val="0000FF"/>
            <w:u w:val="single"/>
          </w:rPr>
          <w:t>Getting started – small business</w:t>
        </w:r>
      </w:hyperlink>
    </w:p>
    <w:p w:rsidR="00390B30" w:rsidRPr="00390B30" w:rsidRDefault="00390B30" w:rsidP="00390B30">
      <w:pPr>
        <w:numPr>
          <w:ilvl w:val="0"/>
          <w:numId w:val="33"/>
        </w:numPr>
        <w:tabs>
          <w:tab w:val="num" w:pos="0"/>
          <w:tab w:val="left" w:pos="966"/>
        </w:tabs>
        <w:ind w:left="360"/>
        <w:rPr>
          <w:rFonts w:cs="Arial"/>
        </w:rPr>
      </w:pPr>
      <w:r w:rsidRPr="00390B30">
        <w:rPr>
          <w:rFonts w:cs="Arial"/>
        </w:rPr>
        <w:t xml:space="preserve">Worksafe NT: </w:t>
      </w:r>
      <w:hyperlink r:id="rId94" w:history="1">
        <w:r w:rsidRPr="00390B30">
          <w:rPr>
            <w:color w:val="0000FF"/>
            <w:u w:val="single"/>
          </w:rPr>
          <w:t>Business – rights and obligations</w:t>
        </w:r>
      </w:hyperlink>
    </w:p>
    <w:p w:rsidR="00390B30" w:rsidRPr="00390B30" w:rsidRDefault="00390B30" w:rsidP="00390B30">
      <w:pPr>
        <w:numPr>
          <w:ilvl w:val="0"/>
          <w:numId w:val="33"/>
        </w:numPr>
        <w:tabs>
          <w:tab w:val="num" w:pos="0"/>
          <w:tab w:val="left" w:pos="966"/>
        </w:tabs>
        <w:ind w:left="360"/>
      </w:pPr>
      <w:r w:rsidRPr="00390B30">
        <w:t>Ai Group:</w:t>
      </w:r>
      <w:r w:rsidRPr="00390B30">
        <w:rPr>
          <w:i/>
        </w:rPr>
        <w:t xml:space="preserve"> </w:t>
      </w:r>
      <w:r w:rsidRPr="00390B30">
        <w:t>offered their members a series of business videos and webinars on the new</w:t>
      </w:r>
      <w:r w:rsidR="00B9308A">
        <w:t xml:space="preserve"> </w:t>
      </w:r>
      <w:r w:rsidRPr="00390B30">
        <w:rPr>
          <w:rFonts w:cs="Arial"/>
        </w:rPr>
        <w:t>WHS</w:t>
      </w:r>
      <w:r w:rsidRPr="00390B30">
        <w:t xml:space="preserve"> laws, and</w:t>
      </w:r>
    </w:p>
    <w:p w:rsidR="00390B30" w:rsidRPr="00390B30" w:rsidRDefault="00390B30" w:rsidP="00390B30">
      <w:pPr>
        <w:numPr>
          <w:ilvl w:val="0"/>
          <w:numId w:val="25"/>
        </w:numPr>
        <w:tabs>
          <w:tab w:val="left" w:pos="966"/>
        </w:tabs>
        <w:ind w:left="360"/>
        <w:contextualSpacing/>
      </w:pPr>
      <w:proofErr w:type="spellStart"/>
      <w:r w:rsidRPr="00390B30">
        <w:t>ACCI</w:t>
      </w:r>
      <w:proofErr w:type="spellEnd"/>
      <w:r w:rsidRPr="00390B30">
        <w:t>:</w:t>
      </w:r>
      <w:r w:rsidR="00B9308A">
        <w:t xml:space="preserve"> </w:t>
      </w:r>
      <w:proofErr w:type="spellStart"/>
      <w:r w:rsidRPr="00390B30">
        <w:t>WHS</w:t>
      </w:r>
      <w:proofErr w:type="spellEnd"/>
      <w:r w:rsidRPr="00390B30">
        <w:t xml:space="preserve"> Introductory Information - assistance for small business videos and information.</w:t>
      </w:r>
    </w:p>
    <w:p w:rsidR="001C0AC4" w:rsidRDefault="001C0AC4" w:rsidP="00C03673">
      <w:pPr>
        <w:pStyle w:val="Heading1"/>
      </w:pPr>
    </w:p>
    <w:p w:rsidR="00390B30" w:rsidRPr="00C03673" w:rsidRDefault="00390B30" w:rsidP="00C03673">
      <w:pPr>
        <w:pStyle w:val="Heading1"/>
      </w:pPr>
      <w:r w:rsidRPr="00C03673">
        <w:lastRenderedPageBreak/>
        <w:t xml:space="preserve">priority INDUSTRIES </w:t>
      </w:r>
    </w:p>
    <w:p w:rsidR="00390B30" w:rsidRPr="00390B30" w:rsidRDefault="00390B30" w:rsidP="00390B30">
      <w:pPr>
        <w:tabs>
          <w:tab w:val="left" w:pos="966"/>
        </w:tabs>
        <w:spacing w:before="240"/>
      </w:pPr>
      <w:r w:rsidRPr="00390B30">
        <w:t xml:space="preserve">The Australian Strategy identified seven industry groups where there were high numbers and rates of injury and/or fatalities or </w:t>
      </w:r>
      <w:proofErr w:type="gramStart"/>
      <w:r w:rsidRPr="00390B30">
        <w:t>were</w:t>
      </w:r>
      <w:proofErr w:type="gramEnd"/>
      <w:r w:rsidRPr="00390B30">
        <w:t xml:space="preserve"> by their nature hazardous:</w:t>
      </w:r>
    </w:p>
    <w:p w:rsidR="00390B30" w:rsidRPr="00390B30" w:rsidRDefault="00390B30" w:rsidP="00390B30">
      <w:pPr>
        <w:numPr>
          <w:ilvl w:val="0"/>
          <w:numId w:val="25"/>
        </w:numPr>
        <w:tabs>
          <w:tab w:val="left" w:pos="440"/>
          <w:tab w:val="left" w:pos="966"/>
          <w:tab w:val="right" w:leader="dot" w:pos="9062"/>
        </w:tabs>
        <w:spacing w:after="60"/>
        <w:ind w:hanging="578"/>
        <w:contextualSpacing/>
        <w:rPr>
          <w:rFonts w:eastAsia="Batang"/>
        </w:rPr>
      </w:pPr>
      <w:r w:rsidRPr="00390B30">
        <w:rPr>
          <w:rFonts w:eastAsia="Batang"/>
        </w:rPr>
        <w:t>Agriculture*</w:t>
      </w:r>
    </w:p>
    <w:p w:rsidR="00390B30" w:rsidRPr="00390B30" w:rsidRDefault="00390B30" w:rsidP="00390B30">
      <w:pPr>
        <w:numPr>
          <w:ilvl w:val="0"/>
          <w:numId w:val="25"/>
        </w:numPr>
        <w:tabs>
          <w:tab w:val="left" w:pos="440"/>
          <w:tab w:val="left" w:pos="966"/>
          <w:tab w:val="right" w:leader="dot" w:pos="9062"/>
        </w:tabs>
        <w:spacing w:after="60"/>
        <w:ind w:hanging="578"/>
        <w:contextualSpacing/>
        <w:rPr>
          <w:rFonts w:eastAsia="Batang"/>
        </w:rPr>
      </w:pPr>
      <w:r w:rsidRPr="00390B30">
        <w:rPr>
          <w:rFonts w:eastAsia="Batang"/>
        </w:rPr>
        <w:t>Road transport*</w:t>
      </w:r>
    </w:p>
    <w:p w:rsidR="00390B30" w:rsidRPr="00390B30" w:rsidRDefault="00390B30" w:rsidP="00390B30">
      <w:pPr>
        <w:numPr>
          <w:ilvl w:val="0"/>
          <w:numId w:val="25"/>
        </w:numPr>
        <w:tabs>
          <w:tab w:val="left" w:pos="440"/>
          <w:tab w:val="left" w:pos="966"/>
          <w:tab w:val="right" w:leader="dot" w:pos="9062"/>
        </w:tabs>
        <w:spacing w:after="60"/>
        <w:ind w:hanging="578"/>
        <w:contextualSpacing/>
        <w:rPr>
          <w:rFonts w:eastAsia="Batang"/>
        </w:rPr>
      </w:pPr>
      <w:r w:rsidRPr="00390B30">
        <w:rPr>
          <w:rFonts w:eastAsia="Batang"/>
        </w:rPr>
        <w:t>Manufacturing*</w:t>
      </w:r>
    </w:p>
    <w:p w:rsidR="00390B30" w:rsidRPr="00390B30" w:rsidRDefault="00390B30" w:rsidP="00390B30">
      <w:pPr>
        <w:numPr>
          <w:ilvl w:val="0"/>
          <w:numId w:val="25"/>
        </w:numPr>
        <w:tabs>
          <w:tab w:val="left" w:pos="440"/>
          <w:tab w:val="left" w:pos="966"/>
          <w:tab w:val="right" w:leader="dot" w:pos="9062"/>
        </w:tabs>
        <w:spacing w:after="60"/>
        <w:ind w:hanging="578"/>
        <w:contextualSpacing/>
        <w:rPr>
          <w:rFonts w:eastAsia="Batang"/>
        </w:rPr>
      </w:pPr>
      <w:r w:rsidRPr="00390B30">
        <w:rPr>
          <w:rFonts w:eastAsia="Batang"/>
        </w:rPr>
        <w:t>Construction*</w:t>
      </w:r>
    </w:p>
    <w:p w:rsidR="00390B30" w:rsidRPr="00390B30" w:rsidRDefault="00390B30" w:rsidP="00390B30">
      <w:pPr>
        <w:numPr>
          <w:ilvl w:val="0"/>
          <w:numId w:val="25"/>
        </w:numPr>
        <w:tabs>
          <w:tab w:val="left" w:pos="440"/>
          <w:tab w:val="left" w:pos="966"/>
          <w:tab w:val="right" w:leader="dot" w:pos="9062"/>
        </w:tabs>
        <w:spacing w:after="60"/>
        <w:ind w:hanging="578"/>
        <w:contextualSpacing/>
        <w:rPr>
          <w:rFonts w:eastAsia="Batang"/>
        </w:rPr>
      </w:pPr>
      <w:r w:rsidRPr="00390B30">
        <w:rPr>
          <w:rFonts w:eastAsia="Batang"/>
        </w:rPr>
        <w:t xml:space="preserve">Accommodation and food services </w:t>
      </w:r>
    </w:p>
    <w:p w:rsidR="00390B30" w:rsidRPr="00390B30" w:rsidRDefault="00390B30" w:rsidP="00390B30">
      <w:pPr>
        <w:numPr>
          <w:ilvl w:val="0"/>
          <w:numId w:val="25"/>
        </w:numPr>
        <w:tabs>
          <w:tab w:val="left" w:pos="440"/>
          <w:tab w:val="left" w:pos="966"/>
          <w:tab w:val="right" w:leader="dot" w:pos="9062"/>
        </w:tabs>
        <w:spacing w:after="60"/>
        <w:ind w:hanging="578"/>
        <w:contextualSpacing/>
        <w:rPr>
          <w:rFonts w:eastAsia="Batang"/>
        </w:rPr>
      </w:pPr>
      <w:r w:rsidRPr="00390B30">
        <w:rPr>
          <w:rFonts w:eastAsia="Batang"/>
        </w:rPr>
        <w:t>Public administration and safety, and</w:t>
      </w:r>
    </w:p>
    <w:p w:rsidR="00390B30" w:rsidRPr="00390B30" w:rsidRDefault="00390B30" w:rsidP="00390B30">
      <w:pPr>
        <w:numPr>
          <w:ilvl w:val="0"/>
          <w:numId w:val="25"/>
        </w:numPr>
        <w:tabs>
          <w:tab w:val="left" w:pos="440"/>
          <w:tab w:val="left" w:pos="966"/>
          <w:tab w:val="right" w:leader="dot" w:pos="9062"/>
        </w:tabs>
        <w:spacing w:after="60"/>
        <w:ind w:hanging="578"/>
        <w:contextualSpacing/>
        <w:rPr>
          <w:rFonts w:eastAsia="Batang"/>
        </w:rPr>
      </w:pPr>
      <w:r w:rsidRPr="00390B30">
        <w:rPr>
          <w:rFonts w:eastAsia="Batang"/>
        </w:rPr>
        <w:t>Health care and social assistance*</w:t>
      </w:r>
    </w:p>
    <w:p w:rsidR="00F15C6F" w:rsidRDefault="00F15C6F" w:rsidP="00390B30">
      <w:pPr>
        <w:tabs>
          <w:tab w:val="left" w:pos="966"/>
        </w:tabs>
        <w:rPr>
          <w:sz w:val="16"/>
        </w:rPr>
      </w:pPr>
      <w:r>
        <w:rPr>
          <w:sz w:val="16"/>
        </w:rPr>
        <w:t xml:space="preserve"> </w:t>
      </w:r>
    </w:p>
    <w:p w:rsidR="00390B30" w:rsidRPr="00390B30" w:rsidRDefault="00390B30" w:rsidP="00390B30">
      <w:pPr>
        <w:tabs>
          <w:tab w:val="left" w:pos="966"/>
        </w:tabs>
        <w:rPr>
          <w:sz w:val="16"/>
        </w:rPr>
      </w:pPr>
      <w:r w:rsidRPr="00390B30">
        <w:rPr>
          <w:sz w:val="16"/>
        </w:rPr>
        <w:t>Note: * indicates the same or similar group to the priority industries under the National OHS Strategy 2002-2012.</w:t>
      </w:r>
    </w:p>
    <w:p w:rsidR="00390B30" w:rsidRPr="00390B30" w:rsidRDefault="00390B30" w:rsidP="00A81AB0">
      <w:pPr>
        <w:tabs>
          <w:tab w:val="left" w:pos="966"/>
        </w:tabs>
      </w:pPr>
      <w:r w:rsidRPr="00390B30">
        <w:t>The 2012 data on performance in these industries is not yet available</w:t>
      </w:r>
      <w:r w:rsidR="00A81AB0">
        <w:t>, s</w:t>
      </w:r>
      <w:r w:rsidRPr="00390B30">
        <w:t xml:space="preserve">o data used in this report reflects the impact of initiatives undertaken as part of the </w:t>
      </w:r>
      <w:hyperlink r:id="rId95" w:history="1">
        <w:r w:rsidRPr="005F5EEF">
          <w:rPr>
            <w:color w:val="0000FF"/>
            <w:u w:val="single"/>
          </w:rPr>
          <w:t>National OHS Strategy 2002-2012.</w:t>
        </w:r>
        <w:r w:rsidRPr="00390B30">
          <w:rPr>
            <w:color w:val="0000FF"/>
            <w:u w:val="single"/>
          </w:rPr>
          <w:t xml:space="preserve">  </w:t>
        </w:r>
      </w:hyperlink>
      <w:r w:rsidRPr="00390B30">
        <w:t xml:space="preserve"> </w:t>
      </w:r>
    </w:p>
    <w:p w:rsidR="00E266F4" w:rsidRPr="00E266F4" w:rsidRDefault="00E266F4" w:rsidP="00E266F4">
      <w:pPr>
        <w:pStyle w:val="breakoutbox"/>
        <w:rPr>
          <w:b/>
        </w:rPr>
      </w:pPr>
      <w:r w:rsidRPr="00E266F4">
        <w:rPr>
          <w:b/>
        </w:rPr>
        <w:t>Further information</w:t>
      </w:r>
    </w:p>
    <w:p w:rsidR="00E266F4" w:rsidRPr="00F551C5" w:rsidRDefault="004B5D98" w:rsidP="00E266F4">
      <w:pPr>
        <w:pStyle w:val="breakoutbox"/>
        <w:jc w:val="left"/>
      </w:pPr>
      <w:hyperlink r:id="rId96" w:history="1">
        <w:r w:rsidR="00E266F4" w:rsidRPr="00F551C5">
          <w:rPr>
            <w:rStyle w:val="Hyperlink"/>
            <w:szCs w:val="20"/>
          </w:rPr>
          <w:t>Australian Strategy Priority Industries</w:t>
        </w:r>
      </w:hyperlink>
      <w:r w:rsidR="00E266F4" w:rsidRPr="00F551C5">
        <w:t xml:space="preserve"> </w:t>
      </w:r>
    </w:p>
    <w:p w:rsidR="00E266F4" w:rsidRPr="00F551C5" w:rsidRDefault="00E266F4" w:rsidP="00E266F4">
      <w:pPr>
        <w:pStyle w:val="breakoutbox"/>
        <w:jc w:val="left"/>
      </w:pPr>
      <w:r w:rsidRPr="00F551C5">
        <w:t xml:space="preserve">Safe Work Australia </w:t>
      </w:r>
      <w:hyperlink r:id="rId97" w:history="1">
        <w:r w:rsidRPr="00F551C5">
          <w:rPr>
            <w:rStyle w:val="Hyperlink"/>
            <w:szCs w:val="20"/>
          </w:rPr>
          <w:t>Model Codes of Practice</w:t>
        </w:r>
      </w:hyperlink>
    </w:p>
    <w:p w:rsidR="00E266F4" w:rsidRDefault="00E266F4" w:rsidP="00E266F4">
      <w:pPr>
        <w:pStyle w:val="breakoutbox"/>
        <w:jc w:val="left"/>
      </w:pPr>
      <w:r w:rsidRPr="00F551C5">
        <w:t>Safe Work Australia</w:t>
      </w:r>
      <w:r w:rsidRPr="00F551C5">
        <w:rPr>
          <w:i/>
        </w:rPr>
        <w:t xml:space="preserve"> </w:t>
      </w:r>
      <w:hyperlink r:id="rId98" w:history="1">
        <w:r w:rsidRPr="00F551C5">
          <w:rPr>
            <w:rStyle w:val="Hyperlink"/>
            <w:szCs w:val="20"/>
          </w:rPr>
          <w:t>guides and factsheets</w:t>
        </w:r>
      </w:hyperlink>
    </w:p>
    <w:p w:rsidR="00E266F4" w:rsidRDefault="00E266F4" w:rsidP="00A81AB0">
      <w:pPr>
        <w:tabs>
          <w:tab w:val="left" w:pos="966"/>
        </w:tabs>
      </w:pPr>
    </w:p>
    <w:p w:rsidR="00390B30" w:rsidRPr="00390B30" w:rsidRDefault="00A81AB0" w:rsidP="00A81AB0">
      <w:pPr>
        <w:tabs>
          <w:tab w:val="left" w:pos="966"/>
        </w:tabs>
      </w:pPr>
      <w:r>
        <w:t>G</w:t>
      </w:r>
      <w:r w:rsidR="00390B30" w:rsidRPr="00390B30">
        <w:t xml:space="preserve">overnment, industry and unions </w:t>
      </w:r>
      <w:r>
        <w:t xml:space="preserve">have and continue to undertake significant work </w:t>
      </w:r>
      <w:r w:rsidR="00390B30" w:rsidRPr="00390B30">
        <w:t xml:space="preserve">focusing on all the priority industries. </w:t>
      </w:r>
    </w:p>
    <w:p w:rsidR="00390B30" w:rsidRDefault="00390B30" w:rsidP="00390B30">
      <w:pPr>
        <w:tabs>
          <w:tab w:val="left" w:pos="966"/>
        </w:tabs>
      </w:pPr>
      <w:r w:rsidRPr="00390B30">
        <w:t>Because of their poor work health and safety record,</w:t>
      </w:r>
      <w:r w:rsidR="00A81AB0">
        <w:t xml:space="preserve"> the</w:t>
      </w:r>
      <w:r w:rsidRPr="00390B30">
        <w:t xml:space="preserve"> agriculture and road transport industries are a specific focus of efforts for all jurisdictions during the first five years of the Australian Strategy. This first progress report highlights some of the initiatives undertaken for these two priority industries.</w:t>
      </w:r>
    </w:p>
    <w:p w:rsidR="00E266F4" w:rsidRPr="00E266F4" w:rsidRDefault="00E266F4" w:rsidP="00E266F4">
      <w:pPr>
        <w:pStyle w:val="breakoutbox"/>
        <w:rPr>
          <w:b/>
        </w:rPr>
      </w:pPr>
      <w:r w:rsidRPr="00E266F4">
        <w:rPr>
          <w:b/>
        </w:rPr>
        <w:t>Case studies</w:t>
      </w:r>
    </w:p>
    <w:p w:rsidR="00E266F4" w:rsidRPr="00F551C5" w:rsidRDefault="00E266F4" w:rsidP="00E266F4">
      <w:pPr>
        <w:pStyle w:val="breakoutbox"/>
        <w:jc w:val="left"/>
        <w:rPr>
          <w:i/>
          <w:color w:val="C00000"/>
        </w:rPr>
      </w:pPr>
      <w:r w:rsidRPr="00F551C5">
        <w:t>WorkCover NSW</w:t>
      </w:r>
      <w:r w:rsidRPr="00F551C5">
        <w:rPr>
          <w:i/>
        </w:rPr>
        <w:t xml:space="preserve"> </w:t>
      </w:r>
      <w:hyperlink r:id="rId99" w:history="1">
        <w:r w:rsidRPr="003C0C25">
          <w:rPr>
            <w:rStyle w:val="Hyperlink"/>
            <w:i/>
            <w:szCs w:val="20"/>
          </w:rPr>
          <w:t>Focus on Wood Manufacturing</w:t>
        </w:r>
      </w:hyperlink>
    </w:p>
    <w:p w:rsidR="00E266F4" w:rsidRPr="00A04AE1" w:rsidRDefault="00E266F4" w:rsidP="00E266F4">
      <w:pPr>
        <w:pStyle w:val="breakoutbox"/>
        <w:jc w:val="left"/>
        <w:rPr>
          <w:color w:val="0000FF"/>
          <w:u w:val="single"/>
        </w:rPr>
      </w:pPr>
      <w:proofErr w:type="spellStart"/>
      <w:r w:rsidRPr="00F551C5">
        <w:rPr>
          <w:i/>
        </w:rPr>
        <w:t>Comcare</w:t>
      </w:r>
      <w:proofErr w:type="spellEnd"/>
      <w:r w:rsidRPr="00F551C5">
        <w:rPr>
          <w:i/>
        </w:rPr>
        <w:t xml:space="preserve"> </w:t>
      </w:r>
      <w:hyperlink r:id="rId100" w:history="1">
        <w:r w:rsidRPr="003C0C25">
          <w:rPr>
            <w:rStyle w:val="Hyperlink"/>
            <w:i/>
            <w:szCs w:val="20"/>
          </w:rPr>
          <w:t>Remote Workers</w:t>
        </w:r>
      </w:hyperlink>
      <w:r w:rsidRPr="00A04AE1">
        <w:rPr>
          <w:i/>
          <w:color w:val="0000FF"/>
          <w:u w:val="single"/>
        </w:rPr>
        <w:t xml:space="preserve"> </w:t>
      </w:r>
    </w:p>
    <w:p w:rsidR="00B169A3" w:rsidRPr="00390B30" w:rsidRDefault="00B169A3" w:rsidP="00390B30">
      <w:pPr>
        <w:tabs>
          <w:tab w:val="left" w:pos="966"/>
        </w:tabs>
      </w:pPr>
    </w:p>
    <w:p w:rsidR="00390B30" w:rsidRPr="0096720E" w:rsidRDefault="00390B30" w:rsidP="0096720E">
      <w:pPr>
        <w:pStyle w:val="Heading3"/>
      </w:pPr>
      <w:r w:rsidRPr="0096720E">
        <w:t xml:space="preserve">Why is Agriculture a priority industry? </w:t>
      </w:r>
    </w:p>
    <w:p w:rsidR="00390B30" w:rsidRDefault="00390B30" w:rsidP="0032513F">
      <w:pPr>
        <w:rPr>
          <w:rFonts w:cs="Arial"/>
        </w:rPr>
      </w:pPr>
      <w:r w:rsidRPr="00390B30">
        <w:rPr>
          <w:rFonts w:cs="Arial"/>
        </w:rPr>
        <w:t>In 2012</w:t>
      </w:r>
      <w:r w:rsidRPr="00444B13">
        <w:rPr>
          <w:rFonts w:cs="Arial"/>
        </w:rPr>
        <w:t xml:space="preserve">, </w:t>
      </w:r>
      <w:r w:rsidR="00A81AB0" w:rsidRPr="00444B13">
        <w:rPr>
          <w:rFonts w:cs="Arial"/>
        </w:rPr>
        <w:t>the a</w:t>
      </w:r>
      <w:r w:rsidRPr="00444B13">
        <w:rPr>
          <w:rFonts w:cs="Arial"/>
        </w:rPr>
        <w:t>gricultur</w:t>
      </w:r>
      <w:r w:rsidR="00A81AB0" w:rsidRPr="00444B13">
        <w:rPr>
          <w:rFonts w:cs="Arial"/>
        </w:rPr>
        <w:t>al</w:t>
      </w:r>
      <w:r w:rsidRPr="00444B13">
        <w:rPr>
          <w:rFonts w:cs="Arial"/>
        </w:rPr>
        <w:t xml:space="preserve"> </w:t>
      </w:r>
      <w:r w:rsidRPr="00390B30">
        <w:rPr>
          <w:rFonts w:cs="Arial"/>
        </w:rPr>
        <w:t xml:space="preserve">industry employed 290 600 workers. </w:t>
      </w:r>
      <w:r w:rsidRPr="00444B13">
        <w:rPr>
          <w:rFonts w:cs="Arial"/>
        </w:rPr>
        <w:t>However agriculture</w:t>
      </w:r>
      <w:r w:rsidRPr="00390B30">
        <w:rPr>
          <w:rFonts w:cs="Arial"/>
        </w:rPr>
        <w:t xml:space="preserve"> (including support services) accounted for nearly 20</w:t>
      </w:r>
      <w:r w:rsidR="009B10D3">
        <w:rPr>
          <w:rFonts w:cs="Arial"/>
        </w:rPr>
        <w:t xml:space="preserve"> </w:t>
      </w:r>
      <w:r w:rsidR="00A81AB0">
        <w:rPr>
          <w:rFonts w:cs="Arial"/>
        </w:rPr>
        <w:t>per cent</w:t>
      </w:r>
      <w:r w:rsidRPr="00390B30">
        <w:rPr>
          <w:rFonts w:cs="Arial"/>
        </w:rPr>
        <w:t xml:space="preserve"> of all worker fatalities in </w:t>
      </w:r>
      <w:r w:rsidRPr="00390B30">
        <w:rPr>
          <w:rFonts w:cs="Arial"/>
        </w:rPr>
        <w:lastRenderedPageBreak/>
        <w:t xml:space="preserve">Australia in 2012. This is more than </w:t>
      </w:r>
      <w:r w:rsidR="00A81AB0">
        <w:rPr>
          <w:rFonts w:cs="Arial"/>
        </w:rPr>
        <w:t>seven</w:t>
      </w:r>
      <w:r w:rsidRPr="00390B30">
        <w:rPr>
          <w:rFonts w:cs="Arial"/>
        </w:rPr>
        <w:t xml:space="preserve"> times the fatality rate across all industries. This serious situation has resulted in increased S</w:t>
      </w:r>
      <w:r w:rsidR="00B9308A">
        <w:rPr>
          <w:rFonts w:cs="Arial"/>
        </w:rPr>
        <w:t xml:space="preserve">afe </w:t>
      </w:r>
      <w:r w:rsidRPr="00390B30">
        <w:rPr>
          <w:rFonts w:cs="Arial"/>
        </w:rPr>
        <w:t>W</w:t>
      </w:r>
      <w:r w:rsidR="00B9308A">
        <w:rPr>
          <w:rFonts w:cs="Arial"/>
        </w:rPr>
        <w:t xml:space="preserve">ork </w:t>
      </w:r>
      <w:r w:rsidRPr="00390B30">
        <w:rPr>
          <w:rFonts w:cs="Arial"/>
        </w:rPr>
        <w:t>A</w:t>
      </w:r>
      <w:r w:rsidR="00B9308A">
        <w:rPr>
          <w:rFonts w:cs="Arial"/>
        </w:rPr>
        <w:t>ustralia</w:t>
      </w:r>
      <w:r w:rsidRPr="00390B30">
        <w:rPr>
          <w:rFonts w:cs="Arial"/>
        </w:rPr>
        <w:t xml:space="preserve"> and jurisdictional focus on the causes of these deaths. </w:t>
      </w:r>
    </w:p>
    <w:p w:rsidR="00E266F4" w:rsidRPr="00E266F4" w:rsidRDefault="00E266F4" w:rsidP="00E266F4">
      <w:pPr>
        <w:pStyle w:val="breakoutbox"/>
        <w:rPr>
          <w:b/>
        </w:rPr>
      </w:pPr>
      <w:r w:rsidRPr="00E266F4">
        <w:rPr>
          <w:b/>
        </w:rPr>
        <w:t>Fact</w:t>
      </w:r>
    </w:p>
    <w:p w:rsidR="00E266F4" w:rsidRPr="00F551C5" w:rsidRDefault="00E266F4" w:rsidP="00E266F4">
      <w:pPr>
        <w:pStyle w:val="breakoutbox"/>
      </w:pPr>
      <w:r w:rsidRPr="00F551C5">
        <w:t xml:space="preserve">Over half of agricultural workers were employed farming sheep, beef cattle or grain </w:t>
      </w:r>
      <w:r>
        <w:br/>
      </w:r>
      <w:r w:rsidRPr="00F551C5">
        <w:t>(</w:t>
      </w:r>
      <w:hyperlink r:id="rId101" w:history="1">
        <w:r w:rsidRPr="00F551C5">
          <w:rPr>
            <w:rStyle w:val="Hyperlink"/>
            <w:szCs w:val="20"/>
          </w:rPr>
          <w:t>preliminary data for 2011-12</w:t>
        </w:r>
      </w:hyperlink>
      <w:r w:rsidRPr="00F551C5">
        <w:t>).</w:t>
      </w:r>
    </w:p>
    <w:p w:rsidR="00086647" w:rsidRPr="00390B30" w:rsidRDefault="00086647" w:rsidP="00A81AB0">
      <w:pPr>
        <w:tabs>
          <w:tab w:val="left" w:pos="966"/>
        </w:tabs>
        <w:suppressAutoHyphens/>
        <w:autoSpaceDE w:val="0"/>
        <w:autoSpaceDN w:val="0"/>
        <w:adjustRightInd w:val="0"/>
        <w:textAlignment w:val="center"/>
        <w:rPr>
          <w:rFonts w:cs="Arial"/>
        </w:rPr>
      </w:pPr>
    </w:p>
    <w:p w:rsidR="00390B30" w:rsidRPr="00390B30" w:rsidRDefault="00390B30" w:rsidP="001311F2">
      <w:pPr>
        <w:tabs>
          <w:tab w:val="left" w:pos="966"/>
        </w:tabs>
        <w:suppressAutoHyphens/>
        <w:autoSpaceDE w:val="0"/>
        <w:autoSpaceDN w:val="0"/>
        <w:adjustRightInd w:val="0"/>
        <w:textAlignment w:val="center"/>
        <w:rPr>
          <w:rFonts w:cs="Arial"/>
        </w:rPr>
      </w:pPr>
      <w:r w:rsidRPr="00390B30">
        <w:rPr>
          <w:rFonts w:cs="Arial"/>
        </w:rPr>
        <w:t xml:space="preserve">Deaths in this industry were mainly from </w:t>
      </w:r>
      <w:r w:rsidRPr="00390B30">
        <w:rPr>
          <w:rFonts w:cs="Arial"/>
          <w:i/>
        </w:rPr>
        <w:t>vehicle incidents</w:t>
      </w:r>
      <w:r w:rsidRPr="00390B30">
        <w:rPr>
          <w:rFonts w:cs="Arial"/>
        </w:rPr>
        <w:t xml:space="preserve"> including tractors, aircraft during mustering and </w:t>
      </w:r>
      <w:r w:rsidR="001311F2">
        <w:rPr>
          <w:rFonts w:cs="Arial"/>
        </w:rPr>
        <w:t>quad bike</w:t>
      </w:r>
      <w:r w:rsidR="001311F2" w:rsidRPr="00390B30">
        <w:rPr>
          <w:rFonts w:cs="Arial"/>
        </w:rPr>
        <w:t xml:space="preserve"> </w:t>
      </w:r>
      <w:r w:rsidRPr="00390B30">
        <w:rPr>
          <w:rFonts w:cs="Arial"/>
        </w:rPr>
        <w:t xml:space="preserve">use. </w:t>
      </w:r>
      <w:r w:rsidRPr="00043318">
        <w:rPr>
          <w:rFonts w:cs="Arial"/>
          <w:i/>
          <w:iCs/>
        </w:rPr>
        <w:t>Handling livestock</w:t>
      </w:r>
      <w:r w:rsidRPr="00390B30">
        <w:rPr>
          <w:rFonts w:cs="Arial"/>
        </w:rPr>
        <w:t xml:space="preserve">, </w:t>
      </w:r>
      <w:r w:rsidRPr="00043318">
        <w:rPr>
          <w:rFonts w:cs="Arial"/>
          <w:i/>
          <w:iCs/>
        </w:rPr>
        <w:t>riding horses</w:t>
      </w:r>
      <w:r w:rsidRPr="00390B30">
        <w:rPr>
          <w:rFonts w:cs="Arial"/>
        </w:rPr>
        <w:t xml:space="preserve"> </w:t>
      </w:r>
      <w:r w:rsidR="00A81AB0">
        <w:rPr>
          <w:rFonts w:cs="Arial"/>
        </w:rPr>
        <w:t>and</w:t>
      </w:r>
      <w:r w:rsidR="00A81AB0" w:rsidRPr="00390B30">
        <w:rPr>
          <w:rFonts w:cs="Arial"/>
        </w:rPr>
        <w:t xml:space="preserve"> </w:t>
      </w:r>
      <w:r w:rsidRPr="00043318">
        <w:rPr>
          <w:rFonts w:cs="Arial"/>
          <w:i/>
          <w:iCs/>
        </w:rPr>
        <w:t>contacting overhead electrical wires</w:t>
      </w:r>
      <w:r w:rsidRPr="00390B30">
        <w:rPr>
          <w:rFonts w:cs="Arial"/>
        </w:rPr>
        <w:t xml:space="preserve"> </w:t>
      </w:r>
      <w:r w:rsidR="00A81AB0">
        <w:rPr>
          <w:rFonts w:cs="Arial"/>
        </w:rPr>
        <w:t>caused a significant percentage of fatalities and injuries</w:t>
      </w:r>
      <w:r w:rsidRPr="00390B30">
        <w:rPr>
          <w:rFonts w:cs="Arial"/>
        </w:rPr>
        <w:t xml:space="preserve">.  </w:t>
      </w:r>
    </w:p>
    <w:p w:rsidR="00390B30" w:rsidRPr="00390B30" w:rsidRDefault="00390B30" w:rsidP="00390B30">
      <w:pPr>
        <w:tabs>
          <w:tab w:val="left" w:pos="966"/>
        </w:tabs>
        <w:suppressAutoHyphens/>
        <w:autoSpaceDE w:val="0"/>
        <w:autoSpaceDN w:val="0"/>
        <w:adjustRightInd w:val="0"/>
        <w:textAlignment w:val="center"/>
      </w:pPr>
      <w:r w:rsidRPr="00390B30">
        <w:rPr>
          <w:rFonts w:cs="Arial"/>
        </w:rPr>
        <w:t>The group most at risk were self-employed farmers over the age of 65 but those aged 55–64 years also experienced disturbingly high fatality rates.</w:t>
      </w:r>
    </w:p>
    <w:p w:rsidR="00390B30" w:rsidRPr="00390B30" w:rsidRDefault="00390B30" w:rsidP="00390B30">
      <w:pPr>
        <w:tabs>
          <w:tab w:val="left" w:pos="966"/>
        </w:tabs>
      </w:pPr>
      <w:r w:rsidRPr="00390B30">
        <w:t>People in the agricultural sector tend to be older with rising numbers over 65 years and declining numbers of younger workers. This pattern has implications not only for the future sustainability of their business</w:t>
      </w:r>
      <w:r w:rsidR="001311F2">
        <w:t>es</w:t>
      </w:r>
      <w:r w:rsidRPr="00390B30">
        <w:t xml:space="preserve"> but also their injury and illness profiles. </w:t>
      </w:r>
    </w:p>
    <w:p w:rsidR="00D45172" w:rsidRDefault="00390B30" w:rsidP="001311F2">
      <w:pPr>
        <w:tabs>
          <w:tab w:val="left" w:pos="966"/>
        </w:tabs>
      </w:pPr>
      <w:r w:rsidRPr="00390B30">
        <w:t xml:space="preserve">The </w:t>
      </w:r>
      <w:hyperlink r:id="rId102" w:history="1">
        <w:r w:rsidRPr="00390B30">
          <w:rPr>
            <w:color w:val="0000FF"/>
            <w:u w:val="single"/>
          </w:rPr>
          <w:t>preliminary data for 2011-12</w:t>
        </w:r>
      </w:hyperlink>
      <w:r w:rsidRPr="00390B30">
        <w:t xml:space="preserve"> on serious workers’ compensation claims indicated there were nearly 3000 claims made by agricultur</w:t>
      </w:r>
      <w:r w:rsidR="001311F2">
        <w:t>al</w:t>
      </w:r>
      <w:r w:rsidRPr="00390B30">
        <w:t xml:space="preserve"> employees for injuries or disorders requiring at least one week off work. </w:t>
      </w:r>
    </w:p>
    <w:p w:rsidR="00390B30" w:rsidRPr="00390B30" w:rsidRDefault="00390B30" w:rsidP="001311F2">
      <w:pPr>
        <w:tabs>
          <w:tab w:val="left" w:pos="966"/>
        </w:tabs>
      </w:pPr>
      <w:r w:rsidRPr="00390B30">
        <w:t>Similar to the death data these rates were significantly above those in most other sectors recording a 2</w:t>
      </w:r>
      <w:r w:rsidR="001311F2">
        <w:t> per cent</w:t>
      </w:r>
      <w:r w:rsidRPr="00390B30">
        <w:t xml:space="preserve"> increase from the previous year. </w:t>
      </w:r>
    </w:p>
    <w:p w:rsidR="00F551C5" w:rsidRPr="00C03673" w:rsidRDefault="00390B30" w:rsidP="00C03673">
      <w:pPr>
        <w:tabs>
          <w:tab w:val="left" w:pos="966"/>
        </w:tabs>
      </w:pPr>
      <w:r w:rsidRPr="00390B30">
        <w:t>The majority of serious claims (27</w:t>
      </w:r>
      <w:r w:rsidR="001311F2">
        <w:t> per cent</w:t>
      </w:r>
      <w:r w:rsidRPr="00390B30">
        <w:t xml:space="preserve">) were from </w:t>
      </w:r>
      <w:r w:rsidRPr="00390B30">
        <w:rPr>
          <w:i/>
          <w:iCs/>
        </w:rPr>
        <w:t>Body stressing</w:t>
      </w:r>
      <w:r w:rsidRPr="00390B30">
        <w:t xml:space="preserve">, followed by </w:t>
      </w:r>
      <w:r w:rsidRPr="00390B30">
        <w:rPr>
          <w:i/>
        </w:rPr>
        <w:t xml:space="preserve">Being hit by moving objects </w:t>
      </w:r>
      <w:r w:rsidRPr="00390B30">
        <w:t>other than an animal (26</w:t>
      </w:r>
      <w:r w:rsidR="009B10D3">
        <w:t xml:space="preserve"> </w:t>
      </w:r>
      <w:r w:rsidR="001311F2">
        <w:t>per</w:t>
      </w:r>
      <w:r w:rsidR="009B10D3">
        <w:t xml:space="preserve"> </w:t>
      </w:r>
      <w:r w:rsidR="001311F2">
        <w:t>cent</w:t>
      </w:r>
      <w:r w:rsidRPr="00390B30">
        <w:t xml:space="preserve">) and </w:t>
      </w:r>
      <w:r w:rsidRPr="00390B30">
        <w:rPr>
          <w:i/>
        </w:rPr>
        <w:t>Falls</w:t>
      </w:r>
      <w:r w:rsidRPr="00390B30">
        <w:t xml:space="preserve"> (on the same level – 12</w:t>
      </w:r>
      <w:r w:rsidR="009B10D3">
        <w:t xml:space="preserve"> </w:t>
      </w:r>
      <w:r w:rsidR="001311F2">
        <w:t>per</w:t>
      </w:r>
      <w:r w:rsidR="009B10D3">
        <w:t xml:space="preserve"> </w:t>
      </w:r>
      <w:r w:rsidR="001311F2">
        <w:t>cent</w:t>
      </w:r>
      <w:r w:rsidRPr="00390B30">
        <w:t xml:space="preserve"> and </w:t>
      </w:r>
      <w:r w:rsidRPr="00390B30">
        <w:rPr>
          <w:i/>
        </w:rPr>
        <w:t>Falls from a height</w:t>
      </w:r>
      <w:r w:rsidRPr="00390B30">
        <w:t xml:space="preserve"> – 9</w:t>
      </w:r>
      <w:r w:rsidR="009B10D3">
        <w:t xml:space="preserve"> </w:t>
      </w:r>
      <w:r w:rsidR="001311F2">
        <w:t>per</w:t>
      </w:r>
      <w:r w:rsidR="009B10D3">
        <w:t xml:space="preserve"> </w:t>
      </w:r>
      <w:r w:rsidR="001311F2">
        <w:t>cent</w:t>
      </w:r>
      <w:r w:rsidRPr="00390B30">
        <w:t>). The main types of injuries or disorders were for: Sprains and strains of joints and muscles (37</w:t>
      </w:r>
      <w:r w:rsidR="009B10D3">
        <w:t xml:space="preserve"> </w:t>
      </w:r>
      <w:r w:rsidR="001311F2">
        <w:t>per</w:t>
      </w:r>
      <w:r w:rsidR="009B10D3">
        <w:t xml:space="preserve"> </w:t>
      </w:r>
      <w:r w:rsidR="001311F2">
        <w:t>cent</w:t>
      </w:r>
      <w:r w:rsidRPr="00390B30">
        <w:t>), Fractures (17</w:t>
      </w:r>
      <w:r w:rsidR="009B10D3">
        <w:t xml:space="preserve"> </w:t>
      </w:r>
      <w:r w:rsidR="001311F2">
        <w:t>per</w:t>
      </w:r>
      <w:r w:rsidR="009B10D3">
        <w:t xml:space="preserve"> </w:t>
      </w:r>
      <w:r w:rsidR="001311F2">
        <w:t>cent</w:t>
      </w:r>
      <w:r w:rsidRPr="00390B30">
        <w:t xml:space="preserve">) and Open wounds </w:t>
      </w:r>
      <w:r w:rsidR="009B10D3">
        <w:br/>
      </w:r>
      <w:r w:rsidRPr="00390B30">
        <w:t>(12</w:t>
      </w:r>
      <w:r w:rsidR="009B10D3">
        <w:t xml:space="preserve"> per </w:t>
      </w:r>
      <w:r w:rsidR="001311F2">
        <w:t>cent</w:t>
      </w:r>
      <w:r w:rsidRPr="00390B30">
        <w:t>).</w:t>
      </w:r>
    </w:p>
    <w:p w:rsidR="00390B30" w:rsidRPr="0096720E" w:rsidRDefault="00390B30" w:rsidP="0096720E">
      <w:pPr>
        <w:pStyle w:val="Heading3"/>
      </w:pPr>
      <w:r w:rsidRPr="0096720E">
        <w:t xml:space="preserve">What is being done? </w:t>
      </w:r>
    </w:p>
    <w:p w:rsidR="00390B30" w:rsidRPr="00390B30" w:rsidRDefault="00390B30" w:rsidP="00390B30">
      <w:pPr>
        <w:tabs>
          <w:tab w:val="left" w:pos="966"/>
        </w:tabs>
        <w:spacing w:before="120"/>
      </w:pPr>
      <w:r w:rsidRPr="00390B30">
        <w:lastRenderedPageBreak/>
        <w:t>In this first year of the Australian Strategy S</w:t>
      </w:r>
      <w:r w:rsidR="00B9308A">
        <w:t xml:space="preserve">afe </w:t>
      </w:r>
      <w:r w:rsidRPr="00390B30">
        <w:t>W</w:t>
      </w:r>
      <w:r w:rsidR="00B9308A">
        <w:t xml:space="preserve">ork </w:t>
      </w:r>
      <w:r w:rsidRPr="00390B30">
        <w:t>A</w:t>
      </w:r>
      <w:r w:rsidR="00B9308A">
        <w:t>ustralia</w:t>
      </w:r>
      <w:r w:rsidRPr="00390B30">
        <w:t xml:space="preserve"> released a special report: </w:t>
      </w:r>
      <w:hyperlink r:id="rId103" w:history="1">
        <w:r w:rsidRPr="00390B30">
          <w:rPr>
            <w:i/>
            <w:color w:val="0000FF"/>
            <w:u w:val="single"/>
          </w:rPr>
          <w:t>Work-related Injuries and Fatalities on Australian Farms</w:t>
        </w:r>
      </w:hyperlink>
      <w:r w:rsidRPr="00390B30">
        <w:t xml:space="preserve"> to</w:t>
      </w:r>
      <w:r w:rsidRPr="00390B30">
        <w:rPr>
          <w:i/>
          <w:color w:val="0000FF"/>
        </w:rPr>
        <w:t xml:space="preserve"> </w:t>
      </w:r>
      <w:r w:rsidRPr="00390B30">
        <w:t>inform and focus national action. This report provides a profile of Australian farmers and an in depth examination of injuries and deaths on farms in 2010–11.</w:t>
      </w:r>
    </w:p>
    <w:p w:rsidR="00390B30" w:rsidRPr="00390B30" w:rsidRDefault="00390B30" w:rsidP="001311F2">
      <w:pPr>
        <w:tabs>
          <w:tab w:val="left" w:pos="966"/>
        </w:tabs>
        <w:spacing w:before="120"/>
      </w:pPr>
      <w:r w:rsidRPr="00390B30">
        <w:t>To support duty holders meeting their regulatory responsibilities S</w:t>
      </w:r>
      <w:r w:rsidR="007B3234">
        <w:t xml:space="preserve">afe </w:t>
      </w:r>
      <w:r w:rsidRPr="00390B30">
        <w:t>W</w:t>
      </w:r>
      <w:r w:rsidR="007B3234">
        <w:t xml:space="preserve">ork </w:t>
      </w:r>
      <w:r w:rsidRPr="00390B30">
        <w:t>A</w:t>
      </w:r>
      <w:r w:rsidR="007B3234">
        <w:t>ustralia</w:t>
      </w:r>
      <w:r w:rsidRPr="00390B30">
        <w:t xml:space="preserve"> finalised or commenced work on</w:t>
      </w:r>
      <w:r w:rsidR="001311F2">
        <w:t xml:space="preserve"> </w:t>
      </w:r>
      <w:r w:rsidRPr="00390B30">
        <w:t xml:space="preserve">codes of practice and guidance </w:t>
      </w:r>
      <w:r w:rsidR="001311F2">
        <w:t>material</w:t>
      </w:r>
      <w:r w:rsidRPr="00390B30">
        <w:t>:</w:t>
      </w:r>
    </w:p>
    <w:p w:rsidR="00390B30" w:rsidRPr="00390B30" w:rsidRDefault="00390B30" w:rsidP="00390B30">
      <w:pPr>
        <w:numPr>
          <w:ilvl w:val="0"/>
          <w:numId w:val="34"/>
        </w:numPr>
        <w:tabs>
          <w:tab w:val="left" w:pos="440"/>
          <w:tab w:val="left" w:pos="966"/>
          <w:tab w:val="right" w:leader="dot" w:pos="9062"/>
        </w:tabs>
        <w:spacing w:after="60"/>
        <w:contextualSpacing/>
      </w:pPr>
      <w:r w:rsidRPr="00390B30">
        <w:t xml:space="preserve">The model </w:t>
      </w:r>
      <w:r w:rsidRPr="00390B30">
        <w:rPr>
          <w:i/>
        </w:rPr>
        <w:t xml:space="preserve">Code of Practice Managing </w:t>
      </w:r>
      <w:bookmarkStart w:id="5" w:name="_GoBack"/>
      <w:r w:rsidRPr="00390B30">
        <w:rPr>
          <w:i/>
        </w:rPr>
        <w:t xml:space="preserve">Risks of Plant in Rural </w:t>
      </w:r>
      <w:r w:rsidRPr="00390B30">
        <w:rPr>
          <w:rFonts w:cs="Arial"/>
          <w:i/>
        </w:rPr>
        <w:t>Workplaces</w:t>
      </w:r>
      <w:r w:rsidRPr="00390B30">
        <w:t xml:space="preserve"> was </w:t>
      </w:r>
      <w:bookmarkEnd w:id="5"/>
      <w:r w:rsidRPr="00390B30">
        <w:t>finalised</w:t>
      </w:r>
    </w:p>
    <w:p w:rsidR="00390B30" w:rsidRPr="00390B30" w:rsidRDefault="00390B30" w:rsidP="00390B30">
      <w:pPr>
        <w:numPr>
          <w:ilvl w:val="0"/>
          <w:numId w:val="34"/>
        </w:numPr>
        <w:tabs>
          <w:tab w:val="left" w:pos="440"/>
          <w:tab w:val="left" w:pos="966"/>
          <w:tab w:val="right" w:leader="dot" w:pos="9062"/>
        </w:tabs>
        <w:spacing w:after="60"/>
        <w:contextualSpacing/>
      </w:pPr>
      <w:r w:rsidRPr="00390B30">
        <w:t xml:space="preserve">The model </w:t>
      </w:r>
      <w:r w:rsidRPr="00390B30">
        <w:rPr>
          <w:i/>
        </w:rPr>
        <w:t xml:space="preserve">Code of Practice on Working in the Vicinity of Overhead and Underground Electric Lines was finalised, and </w:t>
      </w:r>
    </w:p>
    <w:p w:rsidR="00390B30" w:rsidRPr="00390B30" w:rsidRDefault="00390B30" w:rsidP="00390B30">
      <w:pPr>
        <w:numPr>
          <w:ilvl w:val="0"/>
          <w:numId w:val="34"/>
        </w:numPr>
        <w:tabs>
          <w:tab w:val="left" w:pos="440"/>
          <w:tab w:val="left" w:pos="966"/>
          <w:tab w:val="right" w:leader="dot" w:pos="9062"/>
        </w:tabs>
        <w:spacing w:after="60"/>
        <w:contextualSpacing/>
      </w:pPr>
      <w:r w:rsidRPr="00390B30">
        <w:t xml:space="preserve">Work commenced on developing </w:t>
      </w:r>
      <w:r w:rsidRPr="00390B30">
        <w:rPr>
          <w:i/>
        </w:rPr>
        <w:t>Guidance on Horse Hand</w:t>
      </w:r>
      <w:r w:rsidR="00B055E7">
        <w:rPr>
          <w:i/>
        </w:rPr>
        <w:t>l</w:t>
      </w:r>
      <w:r w:rsidRPr="00390B30">
        <w:rPr>
          <w:i/>
        </w:rPr>
        <w:t>ing.</w:t>
      </w:r>
    </w:p>
    <w:p w:rsidR="00390B30" w:rsidRPr="00390B30" w:rsidRDefault="00390B30" w:rsidP="00390B30">
      <w:pPr>
        <w:tabs>
          <w:tab w:val="left" w:pos="966"/>
        </w:tabs>
        <w:spacing w:before="120"/>
      </w:pPr>
      <w:r w:rsidRPr="00390B30">
        <w:t xml:space="preserve">All the </w:t>
      </w:r>
      <w:r w:rsidR="0032513F">
        <w:t xml:space="preserve">WHS </w:t>
      </w:r>
      <w:r w:rsidRPr="00390B30">
        <w:t xml:space="preserve">regulators undertook targeted campaigns in this sector for example: </w:t>
      </w:r>
    </w:p>
    <w:p w:rsidR="00390B30" w:rsidRPr="00390B30" w:rsidRDefault="00390B30" w:rsidP="001311F2">
      <w:pPr>
        <w:numPr>
          <w:ilvl w:val="0"/>
          <w:numId w:val="34"/>
        </w:numPr>
        <w:tabs>
          <w:tab w:val="left" w:pos="440"/>
          <w:tab w:val="left" w:pos="966"/>
          <w:tab w:val="right" w:leader="dot" w:pos="9062"/>
        </w:tabs>
        <w:spacing w:after="60"/>
        <w:contextualSpacing/>
        <w:rPr>
          <w:rFonts w:eastAsia="Batang"/>
        </w:rPr>
      </w:pPr>
      <w:r w:rsidRPr="00390B30">
        <w:t xml:space="preserve">The </w:t>
      </w:r>
      <w:hyperlink r:id="rId104" w:history="1">
        <w:r w:rsidR="007B3234" w:rsidRPr="007D36DD">
          <w:rPr>
            <w:rStyle w:val="Hyperlink"/>
            <w:i/>
          </w:rPr>
          <w:t>NSW Sheep &amp; Beef Cattle Industry Action Plan 2013-2014</w:t>
        </w:r>
      </w:hyperlink>
      <w:r w:rsidRPr="00390B30">
        <w:t xml:space="preserve"> </w:t>
      </w:r>
      <w:r w:rsidRPr="00390B30">
        <w:rPr>
          <w:rFonts w:cs="Arial"/>
        </w:rPr>
        <w:t xml:space="preserve">addresses the highest risks in this sector including use of tractors, </w:t>
      </w:r>
      <w:r w:rsidRPr="00390B30">
        <w:rPr>
          <w:rFonts w:eastAsia="Batang"/>
        </w:rPr>
        <w:t xml:space="preserve">quad bikes, working with </w:t>
      </w:r>
      <w:r w:rsidRPr="00390B30">
        <w:rPr>
          <w:rFonts w:asciiTheme="majorHAnsi" w:eastAsiaTheme="majorEastAsia" w:hAnsiTheme="majorHAnsi" w:cstheme="majorBidi"/>
          <w:bCs/>
          <w:iCs/>
        </w:rPr>
        <w:t>livestock</w:t>
      </w:r>
      <w:r w:rsidRPr="00390B30">
        <w:rPr>
          <w:rFonts w:eastAsia="Batang"/>
        </w:rPr>
        <w:t xml:space="preserve">, occupational diseases, child safety on farms, injury management and return to work. </w:t>
      </w:r>
    </w:p>
    <w:p w:rsidR="00390B30" w:rsidRPr="00390B30" w:rsidRDefault="00390B30" w:rsidP="00390B30">
      <w:pPr>
        <w:numPr>
          <w:ilvl w:val="0"/>
          <w:numId w:val="34"/>
        </w:numPr>
        <w:tabs>
          <w:tab w:val="left" w:pos="440"/>
          <w:tab w:val="left" w:pos="966"/>
          <w:tab w:val="right" w:leader="dot" w:pos="9062"/>
        </w:tabs>
        <w:spacing w:after="60"/>
        <w:contextualSpacing/>
      </w:pPr>
      <w:r w:rsidRPr="00390B30">
        <w:rPr>
          <w:rFonts w:asciiTheme="majorHAnsi" w:eastAsiaTheme="majorEastAsia" w:hAnsiTheme="majorHAnsi" w:cstheme="majorBidi"/>
          <w:bCs/>
          <w:iCs/>
        </w:rPr>
        <w:t>The</w:t>
      </w:r>
      <w:r w:rsidRPr="00390B30">
        <w:t xml:space="preserve"> </w:t>
      </w:r>
      <w:hyperlink r:id="rId105" w:history="1">
        <w:r w:rsidR="007B3234" w:rsidRPr="003C0C25">
          <w:rPr>
            <w:rStyle w:val="Hyperlink"/>
            <w:i/>
          </w:rPr>
          <w:t>WA agricultural field day</w:t>
        </w:r>
      </w:hyperlink>
      <w:r w:rsidRPr="00A04AE1">
        <w:rPr>
          <w:rFonts w:asciiTheme="majorHAnsi" w:eastAsiaTheme="majorEastAsia" w:hAnsiTheme="majorHAnsi" w:cstheme="majorBidi"/>
          <w:bCs/>
          <w:i/>
          <w:iCs/>
          <w:color w:val="0000FF"/>
          <w:u w:val="single"/>
        </w:rPr>
        <w:t xml:space="preserve"> </w:t>
      </w:r>
      <w:r w:rsidRPr="00390B30">
        <w:rPr>
          <w:rFonts w:asciiTheme="majorHAnsi" w:eastAsiaTheme="majorEastAsia" w:hAnsiTheme="majorHAnsi" w:cstheme="majorBidi"/>
          <w:bCs/>
          <w:iCs/>
        </w:rPr>
        <w:t xml:space="preserve">provided an opportunity for inspectors to give </w:t>
      </w:r>
      <w:r w:rsidRPr="00390B30">
        <w:t xml:space="preserve">advice on quad bikes to suppliers, manufactures and farmers. </w:t>
      </w:r>
    </w:p>
    <w:p w:rsidR="00390B30" w:rsidRDefault="004B5D98" w:rsidP="00390B30">
      <w:pPr>
        <w:numPr>
          <w:ilvl w:val="0"/>
          <w:numId w:val="34"/>
        </w:numPr>
        <w:tabs>
          <w:tab w:val="left" w:pos="440"/>
          <w:tab w:val="left" w:pos="966"/>
          <w:tab w:val="right" w:leader="dot" w:pos="9062"/>
        </w:tabs>
        <w:spacing w:before="120"/>
        <w:contextualSpacing/>
        <w:rPr>
          <w:rFonts w:eastAsia="Batang"/>
        </w:rPr>
      </w:pPr>
      <w:hyperlink r:id="rId106" w:history="1">
        <w:r w:rsidR="001311F2">
          <w:rPr>
            <w:color w:val="0000FF"/>
            <w:u w:val="single"/>
          </w:rPr>
          <w:t xml:space="preserve">South Australia as part of the </w:t>
        </w:r>
        <w:proofErr w:type="spellStart"/>
        <w:r w:rsidR="001311F2">
          <w:rPr>
            <w:color w:val="0000FF"/>
            <w:u w:val="single"/>
          </w:rPr>
          <w:t>HWSA</w:t>
        </w:r>
        <w:proofErr w:type="spellEnd"/>
        <w:r w:rsidR="001311F2">
          <w:rPr>
            <w:color w:val="0000FF"/>
            <w:u w:val="single"/>
          </w:rPr>
          <w:t xml:space="preserve"> agriculture intervention campaign </w:t>
        </w:r>
      </w:hyperlink>
      <w:r w:rsidR="00390B30" w:rsidRPr="00390B30">
        <w:rPr>
          <w:rFonts w:asciiTheme="majorHAnsi" w:eastAsiaTheme="majorEastAsia" w:hAnsiTheme="majorHAnsi" w:cstheme="majorBidi"/>
          <w:bCs/>
          <w:iCs/>
        </w:rPr>
        <w:t xml:space="preserve">assisted </w:t>
      </w:r>
      <w:r w:rsidR="00390B30" w:rsidRPr="00390B30">
        <w:rPr>
          <w:rFonts w:cs="Arial"/>
          <w:bCs/>
        </w:rPr>
        <w:t xml:space="preserve">farmers by providing </w:t>
      </w:r>
      <w:r w:rsidR="00390B30" w:rsidRPr="00390B30">
        <w:rPr>
          <w:rFonts w:eastAsia="Batang"/>
        </w:rPr>
        <w:t>basic tools and processes for farm safety management plans and systems for the safe use of plant and equipment.</w:t>
      </w:r>
    </w:p>
    <w:p w:rsidR="00390B30" w:rsidRPr="0096720E" w:rsidRDefault="00390B30" w:rsidP="0096720E">
      <w:pPr>
        <w:pStyle w:val="Heading3"/>
        <w:rPr>
          <w:rFonts w:eastAsiaTheme="majorEastAsia"/>
          <w:highlight w:val="yellow"/>
        </w:rPr>
      </w:pPr>
      <w:r w:rsidRPr="0096720E">
        <w:rPr>
          <w:rFonts w:eastAsiaTheme="majorEastAsia"/>
        </w:rPr>
        <w:t>Why is road transport a priority industry?</w:t>
      </w:r>
    </w:p>
    <w:p w:rsidR="00390B30" w:rsidRDefault="00390B30" w:rsidP="001311F2">
      <w:pPr>
        <w:tabs>
          <w:tab w:val="left" w:pos="966"/>
        </w:tabs>
      </w:pPr>
      <w:r w:rsidRPr="00390B30">
        <w:t xml:space="preserve">In 2012 the </w:t>
      </w:r>
      <w:r w:rsidR="001311F2">
        <w:t>r</w:t>
      </w:r>
      <w:r w:rsidRPr="00390B30">
        <w:t xml:space="preserve">oad transport industry fatality rate was 12 times the national average. The road transport industry makes up only </w:t>
      </w:r>
      <w:r w:rsidR="00503D52">
        <w:br/>
      </w:r>
      <w:r w:rsidRPr="00390B30">
        <w:t>2</w:t>
      </w:r>
      <w:r w:rsidR="00503D52">
        <w:t xml:space="preserve"> </w:t>
      </w:r>
      <w:r w:rsidR="001311F2">
        <w:t>percent</w:t>
      </w:r>
      <w:r w:rsidRPr="00390B30">
        <w:t xml:space="preserve"> of the Australian workforce but accounted for 18</w:t>
      </w:r>
      <w:r w:rsidR="00503D52">
        <w:t xml:space="preserve"> </w:t>
      </w:r>
      <w:r w:rsidR="001311F2">
        <w:t>percent</w:t>
      </w:r>
      <w:r w:rsidRPr="00390B30">
        <w:t xml:space="preserve"> of those killed while at work. </w:t>
      </w:r>
    </w:p>
    <w:p w:rsidR="00E266F4" w:rsidRDefault="00E266F4" w:rsidP="001311F2">
      <w:pPr>
        <w:tabs>
          <w:tab w:val="left" w:pos="966"/>
        </w:tabs>
      </w:pPr>
    </w:p>
    <w:p w:rsidR="00E266F4" w:rsidRDefault="00E266F4" w:rsidP="001311F2">
      <w:pPr>
        <w:tabs>
          <w:tab w:val="left" w:pos="966"/>
        </w:tabs>
      </w:pPr>
    </w:p>
    <w:p w:rsidR="00E266F4" w:rsidRPr="00E266F4" w:rsidRDefault="00E266F4" w:rsidP="00E266F4">
      <w:pPr>
        <w:pStyle w:val="breakoutbox"/>
        <w:rPr>
          <w:b/>
        </w:rPr>
      </w:pPr>
      <w:r w:rsidRPr="00E266F4">
        <w:rPr>
          <w:b/>
        </w:rPr>
        <w:lastRenderedPageBreak/>
        <w:t>Fact</w:t>
      </w:r>
    </w:p>
    <w:p w:rsidR="007B3234" w:rsidRPr="00390B30" w:rsidRDefault="00E266F4" w:rsidP="00E266F4">
      <w:pPr>
        <w:pStyle w:val="breakoutbox"/>
      </w:pPr>
      <w:r w:rsidRPr="00F551C5">
        <w:t>“Around 80 workers are killed each year while working in or around a truck” said SWA Chair Ms Ann Sherry</w:t>
      </w:r>
      <w:r>
        <w:t xml:space="preserve"> </w:t>
      </w:r>
      <w:r w:rsidRPr="00F551C5">
        <w:t>AO. “Not only is this d</w:t>
      </w:r>
      <w:r>
        <w:t>isturbing in itself, but 30 per</w:t>
      </w:r>
      <w:r w:rsidRPr="00F551C5">
        <w:t>cent of these people die in single vehicle truck crashes.”</w:t>
      </w:r>
    </w:p>
    <w:p w:rsidR="00390B30" w:rsidRPr="00390B30" w:rsidRDefault="00390B30" w:rsidP="001311F2">
      <w:pPr>
        <w:tabs>
          <w:tab w:val="left" w:pos="966"/>
        </w:tabs>
      </w:pPr>
      <w:r w:rsidRPr="00390B30">
        <w:t>The main cause of deaths was v</w:t>
      </w:r>
      <w:r w:rsidRPr="00390B30">
        <w:rPr>
          <w:i/>
          <w:iCs/>
        </w:rPr>
        <w:t>ehicle incidents</w:t>
      </w:r>
      <w:r w:rsidRPr="00390B30">
        <w:t xml:space="preserve"> and 78</w:t>
      </w:r>
      <w:r w:rsidR="009B10D3">
        <w:t xml:space="preserve"> </w:t>
      </w:r>
      <w:r w:rsidR="001311F2">
        <w:t>percent</w:t>
      </w:r>
      <w:r w:rsidRPr="00390B30">
        <w:t xml:space="preserve"> of these were in single-vehicle incidents on public roads.</w:t>
      </w:r>
    </w:p>
    <w:p w:rsidR="00390B30" w:rsidRPr="00390B30" w:rsidRDefault="00F754E7" w:rsidP="00390B30">
      <w:pPr>
        <w:tabs>
          <w:tab w:val="left" w:pos="966"/>
        </w:tabs>
      </w:pPr>
      <w:r w:rsidRPr="00D008DE">
        <w:rPr>
          <w:noProof/>
        </w:rPr>
        <mc:AlternateContent>
          <mc:Choice Requires="wps">
            <w:drawing>
              <wp:anchor distT="0" distB="0" distL="114300" distR="114300" simplePos="0" relativeHeight="251708416" behindDoc="0" locked="0" layoutInCell="1" allowOverlap="1" wp14:anchorId="20E3A269" wp14:editId="57DA4E6A">
                <wp:simplePos x="0" y="0"/>
                <wp:positionH relativeFrom="column">
                  <wp:posOffset>6505575</wp:posOffset>
                </wp:positionH>
                <wp:positionV relativeFrom="paragraph">
                  <wp:posOffset>-7669530</wp:posOffset>
                </wp:positionV>
                <wp:extent cx="1133475" cy="914400"/>
                <wp:effectExtent l="0" t="0" r="28575" b="19050"/>
                <wp:wrapNone/>
                <wp:docPr id="300" name="Rectangle 300"/>
                <wp:cNvGraphicFramePr/>
                <a:graphic xmlns:a="http://schemas.openxmlformats.org/drawingml/2006/main">
                  <a:graphicData uri="http://schemas.microsoft.com/office/word/2010/wordprocessingShape">
                    <wps:wsp>
                      <wps:cNvSpPr/>
                      <wps:spPr>
                        <a:xfrm>
                          <a:off x="0" y="0"/>
                          <a:ext cx="1133475" cy="914400"/>
                        </a:xfrm>
                        <a:prstGeom prst="rect">
                          <a:avLst/>
                        </a:prstGeom>
                        <a:solidFill>
                          <a:srgbClr val="DDDDDD"/>
                        </a:solidFill>
                        <a:ln w="25400" cap="flat" cmpd="sng" algn="ctr">
                          <a:solidFill>
                            <a:srgbClr val="DDDDDD">
                              <a:shade val="50000"/>
                            </a:srgbClr>
                          </a:solidFill>
                          <a:prstDash val="solid"/>
                        </a:ln>
                        <a:effectLst/>
                      </wps:spPr>
                      <wps:txbx>
                        <w:txbxContent>
                          <w:p w:rsidR="00D01011" w:rsidRDefault="00D01011" w:rsidP="00444B13">
                            <w:pPr>
                              <w:rPr>
                                <w:i/>
                                <w:sz w:val="18"/>
                                <w:szCs w:val="18"/>
                              </w:rPr>
                            </w:pPr>
                            <w:r w:rsidRPr="00287B06">
                              <w:rPr>
                                <w:i/>
                                <w:sz w:val="18"/>
                                <w:szCs w:val="18"/>
                              </w:rPr>
                              <w:t xml:space="preserve">Link </w:t>
                            </w:r>
                            <w:r>
                              <w:rPr>
                                <w:i/>
                                <w:sz w:val="18"/>
                                <w:szCs w:val="18"/>
                              </w:rPr>
                              <w:t>– NSW Quad Bike</w:t>
                            </w:r>
                          </w:p>
                          <w:p w:rsidR="00D01011" w:rsidRPr="00287B06" w:rsidRDefault="00D01011" w:rsidP="00444B13">
                            <w:pPr>
                              <w:rPr>
                                <w:i/>
                                <w:sz w:val="18"/>
                                <w:szCs w:val="18"/>
                              </w:rPr>
                            </w:pPr>
                            <w:r>
                              <w:rPr>
                                <w:i/>
                                <w:sz w:val="18"/>
                                <w:szCs w:val="18"/>
                              </w:rPr>
                              <w:t xml:space="preserve">NSW priority on regional Communities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0" o:spid="_x0000_s1028" style="position:absolute;margin-left:512.25pt;margin-top:-603.9pt;width:89.25pt;height:1in;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" fillcolor="#ddd" strokecolor="#a2a2a2" strokeweight="2pt">
                <v:textbox>
                  <w:txbxContent>
                    <w:p w:rsidR="00D01011" w:rsidRDefault="00D01011" w:rsidP="00444B13">
                      <w:pPr>
                        <w:rPr>
                          <w:i/>
                          <w:sz w:val="18"/>
                          <w:szCs w:val="18"/>
                        </w:rPr>
                      </w:pPr>
                      <w:r w:rsidRPr="00287B06">
                        <w:rPr>
                          <w:i/>
                          <w:sz w:val="18"/>
                          <w:szCs w:val="18"/>
                        </w:rPr>
                        <w:t xml:space="preserve">Link </w:t>
                      </w:r>
                      <w:r>
                        <w:rPr>
                          <w:i/>
                          <w:sz w:val="18"/>
                          <w:szCs w:val="18"/>
                        </w:rPr>
                        <w:t>– NSW Quad Bike</w:t>
                      </w:r>
                    </w:p>
                    <w:p w:rsidR="00D01011" w:rsidRPr="00287B06" w:rsidRDefault="00D01011" w:rsidP="00444B13">
                      <w:pPr>
                        <w:rPr>
                          <w:i/>
                          <w:sz w:val="18"/>
                          <w:szCs w:val="18"/>
                        </w:rPr>
                      </w:pPr>
                      <w:r>
                        <w:rPr>
                          <w:i/>
                          <w:sz w:val="18"/>
                          <w:szCs w:val="18"/>
                        </w:rPr>
                        <w:t xml:space="preserve">NSW priority on regional Communities </w:t>
                      </w:r>
                    </w:p>
                  </w:txbxContent>
                </v:textbox>
              </v:rect>
            </w:pict>
          </mc:Fallback>
        </mc:AlternateContent>
      </w:r>
      <w:r w:rsidR="00390B30" w:rsidRPr="00390B30">
        <w:t xml:space="preserve">The </w:t>
      </w:r>
      <w:hyperlink r:id="rId107" w:history="1">
        <w:r w:rsidR="00390B30" w:rsidRPr="00390B30">
          <w:rPr>
            <w:color w:val="0000FF"/>
            <w:u w:val="single"/>
          </w:rPr>
          <w:t>preliminary data for 2011-12</w:t>
        </w:r>
      </w:hyperlink>
      <w:r w:rsidR="00390B30" w:rsidRPr="00390B30">
        <w:t xml:space="preserve"> on serious workers’ compensation claims indicate there were 4915 claims made by employees for injuries or disorders requiring at least one week off work, a 4</w:t>
      </w:r>
      <w:r w:rsidR="009B10D3">
        <w:t xml:space="preserve"> </w:t>
      </w:r>
      <w:r w:rsidR="001311F2">
        <w:t>percent</w:t>
      </w:r>
      <w:r w:rsidR="00390B30" w:rsidRPr="00390B30">
        <w:t xml:space="preserve"> decrease from the numbers of serious accepted claims in 2010-11. Nevertheless this was still significantly above the injury rate for other sectors. </w:t>
      </w:r>
    </w:p>
    <w:p w:rsidR="00390B30" w:rsidRDefault="00390B30" w:rsidP="0032513F">
      <w:r w:rsidRPr="00390B30">
        <w:t xml:space="preserve">Most serious claims in this sector resulted from </w:t>
      </w:r>
      <w:r w:rsidRPr="00390B30">
        <w:rPr>
          <w:i/>
        </w:rPr>
        <w:t>Body stressing</w:t>
      </w:r>
      <w:r w:rsidRPr="00390B30">
        <w:t xml:space="preserve">, followed by </w:t>
      </w:r>
      <w:proofErr w:type="gramStart"/>
      <w:r w:rsidRPr="00390B30">
        <w:rPr>
          <w:i/>
        </w:rPr>
        <w:t>Falls</w:t>
      </w:r>
      <w:proofErr w:type="gramEnd"/>
      <w:r w:rsidRPr="00390B30">
        <w:t xml:space="preserve">. The main types of injuries or disorders that resulted in serious workers’ compensation claims: </w:t>
      </w:r>
      <w:r w:rsidRPr="00390B30">
        <w:rPr>
          <w:i/>
        </w:rPr>
        <w:t>Sprains and strains</w:t>
      </w:r>
      <w:r w:rsidRPr="00390B30">
        <w:t xml:space="preserve"> of joints and muscles (45</w:t>
      </w:r>
      <w:r w:rsidR="00FC3F6C">
        <w:t xml:space="preserve"> </w:t>
      </w:r>
      <w:r w:rsidR="001311F2">
        <w:t>percent</w:t>
      </w:r>
      <w:r w:rsidRPr="00390B30">
        <w:t xml:space="preserve">), </w:t>
      </w:r>
      <w:r w:rsidRPr="00390B30">
        <w:rPr>
          <w:i/>
        </w:rPr>
        <w:t>Fractures</w:t>
      </w:r>
      <w:r w:rsidRPr="00390B30">
        <w:t xml:space="preserve"> </w:t>
      </w:r>
      <w:r w:rsidR="00FC3F6C">
        <w:br/>
      </w:r>
      <w:r w:rsidRPr="00390B30">
        <w:t>(9</w:t>
      </w:r>
      <w:r w:rsidR="00FC3F6C">
        <w:t xml:space="preserve"> </w:t>
      </w:r>
      <w:r w:rsidR="001311F2">
        <w:t>percent</w:t>
      </w:r>
      <w:r w:rsidRPr="00390B30">
        <w:t xml:space="preserve">) and </w:t>
      </w:r>
      <w:r w:rsidRPr="00390B30">
        <w:rPr>
          <w:i/>
        </w:rPr>
        <w:t>Contusion with skin intact</w:t>
      </w:r>
      <w:r w:rsidRPr="00390B30">
        <w:t xml:space="preserve"> (7</w:t>
      </w:r>
      <w:r w:rsidR="00FC3F6C">
        <w:t xml:space="preserve"> </w:t>
      </w:r>
      <w:r w:rsidR="001311F2">
        <w:t>percent</w:t>
      </w:r>
      <w:r w:rsidRPr="00390B30">
        <w:t>).</w:t>
      </w:r>
    </w:p>
    <w:p w:rsidR="00E266F4" w:rsidRPr="00E266F4" w:rsidRDefault="00E266F4" w:rsidP="00E266F4">
      <w:pPr>
        <w:pStyle w:val="breakoutbox"/>
        <w:rPr>
          <w:b/>
        </w:rPr>
      </w:pPr>
      <w:r w:rsidRPr="00E266F4">
        <w:rPr>
          <w:b/>
        </w:rPr>
        <w:t>Fact</w:t>
      </w:r>
    </w:p>
    <w:p w:rsidR="00D45172" w:rsidRPr="00390B30" w:rsidRDefault="00E266F4" w:rsidP="00E266F4">
      <w:pPr>
        <w:pStyle w:val="breakoutbox"/>
      </w:pPr>
      <w:r w:rsidRPr="00F551C5">
        <w:t>Over the 10 years to 2012, 472 workers in the road transport sector were killed while at work.</w:t>
      </w:r>
    </w:p>
    <w:p w:rsidR="00390B30" w:rsidRPr="00390B30" w:rsidRDefault="00390B30" w:rsidP="00C03673">
      <w:pPr>
        <w:pStyle w:val="Heading3"/>
      </w:pPr>
      <w:r w:rsidRPr="0096720E">
        <w:t>What is being done</w:t>
      </w:r>
      <w:r w:rsidRPr="00390B30">
        <w:t xml:space="preserve">? </w:t>
      </w:r>
    </w:p>
    <w:p w:rsidR="00390B30" w:rsidRPr="00390B30" w:rsidRDefault="00390B30" w:rsidP="00390B30">
      <w:pPr>
        <w:tabs>
          <w:tab w:val="left" w:pos="966"/>
        </w:tabs>
        <w:spacing w:before="120"/>
        <w:rPr>
          <w:sz w:val="20"/>
        </w:rPr>
      </w:pPr>
      <w:r w:rsidRPr="00390B30">
        <w:t xml:space="preserve">In this first year of the Australian Strategy </w:t>
      </w:r>
      <w:r w:rsidR="0067509C">
        <w:t xml:space="preserve">Safe Work Australia </w:t>
      </w:r>
      <w:r w:rsidRPr="00390B30">
        <w:t xml:space="preserve">released a special report: </w:t>
      </w:r>
      <w:hyperlink r:id="rId108" w:history="1">
        <w:r w:rsidRPr="00390B30">
          <w:rPr>
            <w:i/>
            <w:color w:val="0000FF"/>
            <w:u w:val="single"/>
          </w:rPr>
          <w:t>Work health and safety in the road freight transport industry</w:t>
        </w:r>
      </w:hyperlink>
      <w:r w:rsidRPr="00390B30">
        <w:rPr>
          <w:i/>
          <w:color w:val="0000FF"/>
          <w:u w:val="single"/>
        </w:rPr>
        <w:t xml:space="preserve">. </w:t>
      </w:r>
      <w:r w:rsidRPr="00390B30">
        <w:t xml:space="preserve">This has drawn national attention to the serious rates of death and injury in this sector.  </w:t>
      </w:r>
    </w:p>
    <w:p w:rsidR="00390B30" w:rsidRPr="00390B30" w:rsidRDefault="00390B30" w:rsidP="00390B30">
      <w:pPr>
        <w:tabs>
          <w:tab w:val="left" w:pos="966"/>
        </w:tabs>
        <w:spacing w:before="120"/>
      </w:pPr>
      <w:r w:rsidRPr="00390B30">
        <w:t xml:space="preserve">WHS regulators undertook targeted sector specific campaigns for example the: </w:t>
      </w:r>
    </w:p>
    <w:p w:rsidR="00E266F4" w:rsidRDefault="004B5D98" w:rsidP="00390B30">
      <w:pPr>
        <w:numPr>
          <w:ilvl w:val="0"/>
          <w:numId w:val="34"/>
        </w:numPr>
        <w:tabs>
          <w:tab w:val="left" w:pos="440"/>
          <w:tab w:val="left" w:pos="966"/>
          <w:tab w:val="right" w:leader="dot" w:pos="9062"/>
        </w:tabs>
        <w:spacing w:after="60"/>
        <w:contextualSpacing/>
      </w:pPr>
      <w:hyperlink r:id="rId109" w:history="1">
        <w:r w:rsidR="002777C8" w:rsidRPr="0039729A">
          <w:rPr>
            <w:rStyle w:val="Hyperlink"/>
          </w:rPr>
          <w:t>NSW Road Freight Transport Industry Action Plan</w:t>
        </w:r>
      </w:hyperlink>
      <w:r w:rsidR="00390B30" w:rsidRPr="00390B30">
        <w:rPr>
          <w:color w:val="0000FF"/>
          <w:u w:val="single"/>
        </w:rPr>
        <w:t xml:space="preserve"> </w:t>
      </w:r>
      <w:r w:rsidR="00390B30" w:rsidRPr="00390B30">
        <w:t xml:space="preserve">aimed at short and long distance and bulk freight transport provided incentives, practical advice and </w:t>
      </w:r>
    </w:p>
    <w:p w:rsidR="00E266F4" w:rsidRDefault="00E266F4" w:rsidP="00E266F4">
      <w:pPr>
        <w:tabs>
          <w:tab w:val="left" w:pos="440"/>
          <w:tab w:val="left" w:pos="966"/>
          <w:tab w:val="right" w:leader="dot" w:pos="9062"/>
        </w:tabs>
        <w:spacing w:after="60"/>
        <w:contextualSpacing/>
      </w:pPr>
    </w:p>
    <w:p w:rsidR="00E266F4" w:rsidRDefault="00E266F4" w:rsidP="00E266F4">
      <w:pPr>
        <w:tabs>
          <w:tab w:val="left" w:pos="440"/>
          <w:tab w:val="left" w:pos="966"/>
          <w:tab w:val="right" w:leader="dot" w:pos="9062"/>
        </w:tabs>
        <w:spacing w:after="60"/>
        <w:contextualSpacing/>
      </w:pPr>
    </w:p>
    <w:p w:rsidR="00E266F4" w:rsidRDefault="00E266F4" w:rsidP="00E266F4">
      <w:pPr>
        <w:tabs>
          <w:tab w:val="left" w:pos="440"/>
          <w:tab w:val="left" w:pos="966"/>
          <w:tab w:val="right" w:leader="dot" w:pos="9062"/>
        </w:tabs>
        <w:spacing w:after="60"/>
        <w:contextualSpacing/>
      </w:pPr>
    </w:p>
    <w:p w:rsidR="00E266F4" w:rsidRDefault="00E266F4" w:rsidP="00E266F4">
      <w:pPr>
        <w:tabs>
          <w:tab w:val="left" w:pos="440"/>
          <w:tab w:val="left" w:pos="966"/>
          <w:tab w:val="right" w:leader="dot" w:pos="9062"/>
        </w:tabs>
        <w:spacing w:after="60"/>
        <w:contextualSpacing/>
      </w:pPr>
    </w:p>
    <w:p w:rsidR="00E266F4" w:rsidRDefault="00E266F4" w:rsidP="00E266F4">
      <w:pPr>
        <w:tabs>
          <w:tab w:val="left" w:pos="440"/>
          <w:tab w:val="left" w:pos="966"/>
          <w:tab w:val="right" w:leader="dot" w:pos="9062"/>
        </w:tabs>
        <w:spacing w:after="60"/>
        <w:contextualSpacing/>
      </w:pPr>
    </w:p>
    <w:p w:rsidR="00E266F4" w:rsidRDefault="00E266F4" w:rsidP="00E266F4">
      <w:pPr>
        <w:tabs>
          <w:tab w:val="left" w:pos="440"/>
          <w:tab w:val="left" w:pos="966"/>
          <w:tab w:val="right" w:leader="dot" w:pos="9062"/>
        </w:tabs>
        <w:spacing w:after="60"/>
        <w:contextualSpacing/>
      </w:pPr>
    </w:p>
    <w:p w:rsidR="00E266F4" w:rsidRDefault="00E266F4" w:rsidP="00E266F4">
      <w:pPr>
        <w:tabs>
          <w:tab w:val="left" w:pos="440"/>
          <w:tab w:val="left" w:pos="966"/>
          <w:tab w:val="right" w:leader="dot" w:pos="9062"/>
        </w:tabs>
        <w:spacing w:after="60"/>
        <w:contextualSpacing/>
      </w:pPr>
    </w:p>
    <w:p w:rsidR="00E266F4" w:rsidRPr="00E266F4" w:rsidRDefault="00E266F4" w:rsidP="00E266F4">
      <w:pPr>
        <w:pStyle w:val="breakoutbox"/>
        <w:rPr>
          <w:b/>
        </w:rPr>
      </w:pPr>
      <w:r w:rsidRPr="00E266F4">
        <w:rPr>
          <w:b/>
        </w:rPr>
        <w:lastRenderedPageBreak/>
        <w:t>Further information</w:t>
      </w:r>
    </w:p>
    <w:p w:rsidR="00E266F4" w:rsidRPr="00E266F4" w:rsidRDefault="00E266F4" w:rsidP="00E266F4">
      <w:pPr>
        <w:pStyle w:val="breakoutbox"/>
        <w:jc w:val="left"/>
        <w:rPr>
          <w:i/>
          <w:color w:val="0000FF"/>
          <w:u w:val="single"/>
        </w:rPr>
      </w:pPr>
      <w:proofErr w:type="spellStart"/>
      <w:r w:rsidRPr="00E266F4">
        <w:t>WorkSafe</w:t>
      </w:r>
      <w:proofErr w:type="spellEnd"/>
      <w:r w:rsidRPr="00E266F4">
        <w:t xml:space="preserve"> WA </w:t>
      </w:r>
      <w:hyperlink r:id="rId110" w:history="1">
        <w:r w:rsidRPr="00E266F4">
          <w:rPr>
            <w:rStyle w:val="Hyperlink"/>
            <w:i/>
            <w:szCs w:val="20"/>
          </w:rPr>
          <w:t>Quad bikes</w:t>
        </w:r>
      </w:hyperlink>
    </w:p>
    <w:p w:rsidR="00E266F4" w:rsidRPr="00E266F4" w:rsidRDefault="00E266F4" w:rsidP="00E266F4">
      <w:pPr>
        <w:pStyle w:val="breakoutbox"/>
        <w:jc w:val="left"/>
        <w:rPr>
          <w:i/>
          <w:color w:val="0000FF"/>
          <w:u w:val="single"/>
        </w:rPr>
      </w:pPr>
      <w:proofErr w:type="spellStart"/>
      <w:r w:rsidRPr="00E266F4">
        <w:t>SafeWork</w:t>
      </w:r>
      <w:proofErr w:type="spellEnd"/>
      <w:r w:rsidRPr="00E266F4">
        <w:t xml:space="preserve"> SA </w:t>
      </w:r>
      <w:hyperlink r:id="rId111" w:history="1">
        <w:r w:rsidRPr="00E266F4">
          <w:rPr>
            <w:rStyle w:val="Hyperlink"/>
            <w:i/>
            <w:szCs w:val="20"/>
          </w:rPr>
          <w:t>Agricultural intervention</w:t>
        </w:r>
      </w:hyperlink>
    </w:p>
    <w:p w:rsidR="00E266F4" w:rsidRDefault="00E266F4" w:rsidP="00E266F4">
      <w:pPr>
        <w:pStyle w:val="breakoutbox"/>
        <w:jc w:val="left"/>
        <w:rPr>
          <w:i/>
          <w:color w:val="C00000"/>
        </w:rPr>
      </w:pPr>
      <w:r w:rsidRPr="00E266F4">
        <w:t>WorkCover NSW</w:t>
      </w:r>
      <w:r w:rsidRPr="00E266F4">
        <w:rPr>
          <w:i/>
        </w:rPr>
        <w:t xml:space="preserve"> </w:t>
      </w:r>
      <w:hyperlink r:id="rId112" w:history="1">
        <w:r w:rsidRPr="00E266F4">
          <w:rPr>
            <w:rStyle w:val="Hyperlink"/>
            <w:i/>
            <w:szCs w:val="20"/>
          </w:rPr>
          <w:t>Quad Bikes</w:t>
        </w:r>
      </w:hyperlink>
    </w:p>
    <w:p w:rsidR="00E266F4" w:rsidRPr="00E266F4" w:rsidRDefault="00E266F4" w:rsidP="00E266F4">
      <w:pPr>
        <w:pStyle w:val="breakoutbox"/>
        <w:jc w:val="left"/>
        <w:rPr>
          <w:i/>
          <w:color w:val="C00000"/>
        </w:rPr>
      </w:pPr>
      <w:r w:rsidRPr="00E266F4">
        <w:t>WorkCover NSW</w:t>
      </w:r>
      <w:r w:rsidRPr="00E266F4">
        <w:rPr>
          <w:i/>
        </w:rPr>
        <w:t xml:space="preserve"> </w:t>
      </w:r>
      <w:hyperlink r:id="rId113" w:history="1">
        <w:r w:rsidRPr="00E266F4">
          <w:rPr>
            <w:rStyle w:val="Hyperlink"/>
            <w:i/>
            <w:szCs w:val="20"/>
          </w:rPr>
          <w:t>priority on regional communities</w:t>
        </w:r>
      </w:hyperlink>
    </w:p>
    <w:p w:rsidR="00E266F4" w:rsidRPr="00E266F4" w:rsidRDefault="00E266F4" w:rsidP="00E266F4">
      <w:pPr>
        <w:pStyle w:val="breakoutbox"/>
      </w:pPr>
    </w:p>
    <w:p w:rsidR="00390B30" w:rsidRPr="00390B30" w:rsidRDefault="00390B30" w:rsidP="00E266F4">
      <w:pPr>
        <w:numPr>
          <w:ilvl w:val="0"/>
          <w:numId w:val="34"/>
        </w:numPr>
        <w:tabs>
          <w:tab w:val="left" w:pos="440"/>
          <w:tab w:val="left" w:pos="966"/>
          <w:tab w:val="right" w:leader="dot" w:pos="9062"/>
        </w:tabs>
        <w:spacing w:after="60"/>
        <w:contextualSpacing/>
      </w:pPr>
      <w:proofErr w:type="gramStart"/>
      <w:r w:rsidRPr="00390B30">
        <w:t>coaching</w:t>
      </w:r>
      <w:proofErr w:type="gramEnd"/>
      <w:r w:rsidRPr="00390B30">
        <w:t xml:space="preserve"> on such diverse topics as onsite traffic management, manual loading/unloading, driver wellness and return to work / injury management.</w:t>
      </w:r>
    </w:p>
    <w:p w:rsidR="00390B30" w:rsidRPr="00390B30" w:rsidRDefault="00390B30" w:rsidP="00C350FE">
      <w:pPr>
        <w:numPr>
          <w:ilvl w:val="0"/>
          <w:numId w:val="34"/>
        </w:numPr>
        <w:tabs>
          <w:tab w:val="left" w:pos="440"/>
          <w:tab w:val="left" w:pos="966"/>
          <w:tab w:val="right" w:leader="dot" w:pos="9062"/>
        </w:tabs>
        <w:spacing w:after="60"/>
        <w:contextualSpacing/>
      </w:pPr>
      <w:r w:rsidRPr="00390B30">
        <w:t xml:space="preserve">The </w:t>
      </w:r>
      <w:hyperlink r:id="rId114" w:history="1">
        <w:r w:rsidR="002777C8" w:rsidRPr="0039729A">
          <w:rPr>
            <w:rStyle w:val="Hyperlink"/>
          </w:rPr>
          <w:t>Safer Restraints</w:t>
        </w:r>
      </w:hyperlink>
      <w:r w:rsidR="002777C8" w:rsidRPr="007D36DD">
        <w:rPr>
          <w:color w:val="C00000"/>
        </w:rPr>
        <w:t xml:space="preserve"> </w:t>
      </w:r>
      <w:r w:rsidRPr="00043318">
        <w:t xml:space="preserve">project was a collaborative arrangement where </w:t>
      </w:r>
      <w:r w:rsidR="001E0053">
        <w:t>Workplace Health and Safety Queensland</w:t>
      </w:r>
      <w:r w:rsidR="002777C8">
        <w:t xml:space="preserve"> </w:t>
      </w:r>
      <w:r w:rsidRPr="00390B30">
        <w:t>worked with industry to test alternative load restraint devices to determine if they were safer than ‘dogs or cheaters’.</w:t>
      </w:r>
    </w:p>
    <w:p w:rsidR="00390B30" w:rsidRPr="00D8278D" w:rsidRDefault="00390B30" w:rsidP="00C03673">
      <w:pPr>
        <w:pStyle w:val="Heading1"/>
      </w:pPr>
      <w:r w:rsidRPr="00D8278D">
        <w:t>Priority disorders</w:t>
      </w:r>
    </w:p>
    <w:p w:rsidR="00390B30" w:rsidRPr="00390B30" w:rsidRDefault="00390B30" w:rsidP="00390B30">
      <w:pPr>
        <w:tabs>
          <w:tab w:val="left" w:pos="966"/>
        </w:tabs>
      </w:pPr>
      <w:r w:rsidRPr="00390B30">
        <w:t xml:space="preserve">The Australian Strategy identifies six disorder categories as national priorities for the first five years of the </w:t>
      </w:r>
      <w:r w:rsidR="00C350FE">
        <w:t>S</w:t>
      </w:r>
      <w:r w:rsidRPr="00390B30">
        <w:t xml:space="preserve">trategy. These were chosen based on the severity of consequences, the numbers of people estimated to be affected and the existence of known prevention options. </w:t>
      </w:r>
    </w:p>
    <w:p w:rsidR="00390B30" w:rsidRPr="00390B30" w:rsidRDefault="00390B30" w:rsidP="00390B30">
      <w:pPr>
        <w:tabs>
          <w:tab w:val="left" w:pos="966"/>
        </w:tabs>
      </w:pPr>
      <w:r w:rsidRPr="00390B30">
        <w:t xml:space="preserve">The priority disorders are: </w:t>
      </w:r>
    </w:p>
    <w:p w:rsidR="00390B30" w:rsidRPr="00390B30" w:rsidRDefault="00390B30" w:rsidP="00390B30">
      <w:pPr>
        <w:numPr>
          <w:ilvl w:val="0"/>
          <w:numId w:val="23"/>
        </w:numPr>
        <w:tabs>
          <w:tab w:val="left" w:pos="440"/>
          <w:tab w:val="left" w:pos="966"/>
          <w:tab w:val="right" w:leader="dot" w:pos="9062"/>
        </w:tabs>
        <w:spacing w:after="60"/>
        <w:contextualSpacing/>
        <w:rPr>
          <w:rFonts w:eastAsia="Batang"/>
        </w:rPr>
      </w:pPr>
      <w:r w:rsidRPr="00390B30">
        <w:rPr>
          <w:rFonts w:eastAsia="Batang"/>
        </w:rPr>
        <w:t>musculoskeletal disorders (</w:t>
      </w:r>
      <w:proofErr w:type="spellStart"/>
      <w:r w:rsidRPr="00390B30">
        <w:rPr>
          <w:rFonts w:eastAsia="Batang"/>
        </w:rPr>
        <w:t>MSDs</w:t>
      </w:r>
      <w:proofErr w:type="spellEnd"/>
      <w:r w:rsidRPr="00390B30">
        <w:rPr>
          <w:rFonts w:eastAsia="Batang"/>
        </w:rPr>
        <w:t>)</w:t>
      </w:r>
    </w:p>
    <w:p w:rsidR="00390B30" w:rsidRPr="00390B30" w:rsidRDefault="00390B30" w:rsidP="00390B30">
      <w:pPr>
        <w:numPr>
          <w:ilvl w:val="0"/>
          <w:numId w:val="23"/>
        </w:numPr>
        <w:tabs>
          <w:tab w:val="left" w:pos="440"/>
          <w:tab w:val="left" w:pos="966"/>
          <w:tab w:val="right" w:leader="dot" w:pos="9062"/>
        </w:tabs>
        <w:spacing w:after="60"/>
        <w:contextualSpacing/>
        <w:rPr>
          <w:rFonts w:eastAsia="Batang"/>
        </w:rPr>
      </w:pPr>
      <w:r w:rsidRPr="00390B30">
        <w:rPr>
          <w:rFonts w:eastAsia="Batang"/>
        </w:rPr>
        <w:t xml:space="preserve">mental disorders </w:t>
      </w:r>
    </w:p>
    <w:p w:rsidR="00390B30" w:rsidRPr="00390B30" w:rsidRDefault="00390B30" w:rsidP="00390B30">
      <w:pPr>
        <w:numPr>
          <w:ilvl w:val="0"/>
          <w:numId w:val="23"/>
        </w:numPr>
        <w:tabs>
          <w:tab w:val="left" w:pos="440"/>
          <w:tab w:val="left" w:pos="966"/>
          <w:tab w:val="right" w:leader="dot" w:pos="9062"/>
        </w:tabs>
        <w:spacing w:after="60"/>
        <w:contextualSpacing/>
        <w:rPr>
          <w:rFonts w:eastAsia="Batang"/>
        </w:rPr>
      </w:pPr>
      <w:r w:rsidRPr="00390B30">
        <w:rPr>
          <w:rFonts w:eastAsia="Batang"/>
        </w:rPr>
        <w:t xml:space="preserve">cancers (including skin cancer) </w:t>
      </w:r>
    </w:p>
    <w:p w:rsidR="00390B30" w:rsidRPr="00390B30" w:rsidRDefault="00390B30" w:rsidP="00390B30">
      <w:pPr>
        <w:numPr>
          <w:ilvl w:val="0"/>
          <w:numId w:val="23"/>
        </w:numPr>
        <w:tabs>
          <w:tab w:val="left" w:pos="440"/>
          <w:tab w:val="left" w:pos="966"/>
          <w:tab w:val="right" w:leader="dot" w:pos="9062"/>
        </w:tabs>
        <w:spacing w:after="60"/>
        <w:contextualSpacing/>
        <w:rPr>
          <w:rFonts w:eastAsia="Batang"/>
        </w:rPr>
      </w:pPr>
      <w:r w:rsidRPr="00390B30">
        <w:rPr>
          <w:rFonts w:eastAsia="Batang"/>
        </w:rPr>
        <w:t>asthma</w:t>
      </w:r>
    </w:p>
    <w:p w:rsidR="00390B30" w:rsidRPr="00390B30" w:rsidRDefault="00390B30" w:rsidP="00390B30">
      <w:pPr>
        <w:numPr>
          <w:ilvl w:val="0"/>
          <w:numId w:val="23"/>
        </w:numPr>
        <w:tabs>
          <w:tab w:val="left" w:pos="440"/>
          <w:tab w:val="left" w:pos="966"/>
          <w:tab w:val="right" w:leader="dot" w:pos="9062"/>
        </w:tabs>
        <w:spacing w:after="60"/>
        <w:contextualSpacing/>
        <w:rPr>
          <w:rFonts w:eastAsia="Batang"/>
        </w:rPr>
      </w:pPr>
      <w:r w:rsidRPr="00390B30">
        <w:rPr>
          <w:rFonts w:eastAsia="Batang"/>
        </w:rPr>
        <w:t xml:space="preserve">contact dermatitis, and </w:t>
      </w:r>
    </w:p>
    <w:p w:rsidR="00390B30" w:rsidRPr="00390B30" w:rsidRDefault="00390B30" w:rsidP="00390B30">
      <w:pPr>
        <w:numPr>
          <w:ilvl w:val="0"/>
          <w:numId w:val="23"/>
        </w:numPr>
        <w:tabs>
          <w:tab w:val="left" w:pos="440"/>
          <w:tab w:val="left" w:pos="966"/>
          <w:tab w:val="right" w:leader="dot" w:pos="9062"/>
        </w:tabs>
        <w:contextualSpacing/>
        <w:rPr>
          <w:rFonts w:eastAsia="Batang"/>
        </w:rPr>
      </w:pPr>
      <w:proofErr w:type="gramStart"/>
      <w:r w:rsidRPr="00390B30">
        <w:rPr>
          <w:rFonts w:eastAsia="Batang"/>
        </w:rPr>
        <w:t>noise-induced</w:t>
      </w:r>
      <w:proofErr w:type="gramEnd"/>
      <w:r w:rsidRPr="00390B30">
        <w:rPr>
          <w:rFonts w:eastAsia="Batang"/>
        </w:rPr>
        <w:t xml:space="preserve"> hearing loss. </w:t>
      </w:r>
    </w:p>
    <w:p w:rsidR="00390B30" w:rsidRPr="00390B30" w:rsidRDefault="00390B30" w:rsidP="00390B30">
      <w:pPr>
        <w:tabs>
          <w:tab w:val="left" w:pos="966"/>
        </w:tabs>
        <w:spacing w:before="120"/>
      </w:pPr>
    </w:p>
    <w:p w:rsidR="00390B30" w:rsidRPr="00390B30" w:rsidRDefault="00390B30" w:rsidP="00390B30">
      <w:pPr>
        <w:tabs>
          <w:tab w:val="left" w:pos="966"/>
        </w:tabs>
        <w:spacing w:before="120"/>
      </w:pPr>
      <w:r w:rsidRPr="00390B30">
        <w:t xml:space="preserve">For this first progress report three of the six priority disorders, </w:t>
      </w:r>
      <w:proofErr w:type="spellStart"/>
      <w:r w:rsidRPr="00390B30">
        <w:t>MSDs</w:t>
      </w:r>
      <w:proofErr w:type="spellEnd"/>
      <w:r w:rsidRPr="00390B30">
        <w:t xml:space="preserve">, mental disorders and cancers are considered.  </w:t>
      </w:r>
    </w:p>
    <w:p w:rsidR="00390B30" w:rsidRPr="0096720E" w:rsidRDefault="00390B30" w:rsidP="0096720E">
      <w:pPr>
        <w:pStyle w:val="Heading3"/>
      </w:pPr>
      <w:bookmarkStart w:id="6" w:name="_Toc384372886"/>
      <w:r w:rsidRPr="0096720E">
        <w:t>How is progress being measured?</w:t>
      </w:r>
      <w:bookmarkEnd w:id="6"/>
      <w:r w:rsidRPr="0096720E">
        <w:t xml:space="preserve"> </w:t>
      </w:r>
    </w:p>
    <w:p w:rsidR="00390B30" w:rsidRPr="00390B30" w:rsidRDefault="00390B30" w:rsidP="00C350FE">
      <w:pPr>
        <w:tabs>
          <w:tab w:val="left" w:pos="966"/>
        </w:tabs>
      </w:pPr>
      <w:r w:rsidRPr="00390B30">
        <w:t xml:space="preserve">Measuring the progress </w:t>
      </w:r>
      <w:r w:rsidR="00C350FE">
        <w:t>of</w:t>
      </w:r>
      <w:r w:rsidR="00C350FE" w:rsidRPr="00390B30">
        <w:t xml:space="preserve"> </w:t>
      </w:r>
      <w:r w:rsidRPr="00390B30">
        <w:t>reduc</w:t>
      </w:r>
      <w:r w:rsidR="00C350FE">
        <w:t>ing</w:t>
      </w:r>
      <w:r w:rsidRPr="00390B30">
        <w:t xml:space="preserve"> occupational disorders is challenging. For some it is intrinsically difficult to determine the contribution of work to the onset of the condition. </w:t>
      </w:r>
    </w:p>
    <w:p w:rsidR="00390B30" w:rsidRPr="00390B30" w:rsidRDefault="0032513F" w:rsidP="00390B30">
      <w:pPr>
        <w:tabs>
          <w:tab w:val="left" w:pos="966"/>
        </w:tabs>
      </w:pPr>
      <w:r w:rsidRPr="00D008DE">
        <w:rPr>
          <w:noProof/>
        </w:rPr>
        <mc:AlternateContent>
          <mc:Choice Requires="wps">
            <w:drawing>
              <wp:anchor distT="0" distB="0" distL="114300" distR="114300" simplePos="0" relativeHeight="251716608" behindDoc="0" locked="0" layoutInCell="1" allowOverlap="1" wp14:anchorId="38F0421A" wp14:editId="7424AF64">
                <wp:simplePos x="0" y="0"/>
                <wp:positionH relativeFrom="column">
                  <wp:posOffset>6633210</wp:posOffset>
                </wp:positionH>
                <wp:positionV relativeFrom="paragraph">
                  <wp:posOffset>-7788275</wp:posOffset>
                </wp:positionV>
                <wp:extent cx="1133475" cy="914400"/>
                <wp:effectExtent l="0" t="0" r="28575" b="19050"/>
                <wp:wrapNone/>
                <wp:docPr id="304" name="Rectangle 304"/>
                <wp:cNvGraphicFramePr/>
                <a:graphic xmlns:a="http://schemas.openxmlformats.org/drawingml/2006/main">
                  <a:graphicData uri="http://schemas.microsoft.com/office/word/2010/wordprocessingShape">
                    <wps:wsp>
                      <wps:cNvSpPr/>
                      <wps:spPr>
                        <a:xfrm>
                          <a:off x="0" y="0"/>
                          <a:ext cx="1133475" cy="914400"/>
                        </a:xfrm>
                        <a:prstGeom prst="rect">
                          <a:avLst/>
                        </a:prstGeom>
                        <a:solidFill>
                          <a:srgbClr val="DDDDDD"/>
                        </a:solidFill>
                        <a:ln w="25400" cap="flat" cmpd="sng" algn="ctr">
                          <a:solidFill>
                            <a:srgbClr val="DDDDDD">
                              <a:shade val="50000"/>
                            </a:srgbClr>
                          </a:solidFill>
                          <a:prstDash val="solid"/>
                        </a:ln>
                        <a:effectLst/>
                      </wps:spPr>
                      <wps:txbx>
                        <w:txbxContent>
                          <w:p w:rsidR="00D01011" w:rsidRPr="0032513F" w:rsidRDefault="00D01011" w:rsidP="0032513F">
                            <w:pPr>
                              <w:rPr>
                                <w:i/>
                                <w:sz w:val="18"/>
                                <w:szCs w:val="18"/>
                              </w:rPr>
                            </w:pPr>
                            <w:r w:rsidRPr="00287B06">
                              <w:rPr>
                                <w:i/>
                                <w:sz w:val="18"/>
                                <w:szCs w:val="18"/>
                              </w:rPr>
                              <w:t xml:space="preserve">Link </w:t>
                            </w:r>
                            <w:r>
                              <w:rPr>
                                <w:i/>
                                <w:sz w:val="18"/>
                                <w:szCs w:val="18"/>
                              </w:rPr>
                              <w:t xml:space="preserve">– </w:t>
                            </w:r>
                            <w:r w:rsidRPr="0032513F">
                              <w:rPr>
                                <w:i/>
                                <w:sz w:val="18"/>
                                <w:szCs w:val="18"/>
                              </w:rPr>
                              <w:t xml:space="preserve">NSW </w:t>
                            </w:r>
                            <w:r>
                              <w:rPr>
                                <w:i/>
                                <w:sz w:val="18"/>
                                <w:szCs w:val="18"/>
                              </w:rPr>
                              <w:t xml:space="preserve">Road Freight Transport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4" o:spid="_x0000_s1029" style="position:absolute;margin-left:522.3pt;margin-top:-613.25pt;width:89.25pt;height:1in;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" fillcolor="#ddd" strokecolor="#a2a2a2" strokeweight="2pt">
                <v:textbox>
                  <w:txbxContent>
                    <w:p w:rsidR="00D01011" w:rsidRPr="0032513F" w:rsidRDefault="00D01011" w:rsidP="0032513F">
                      <w:pPr>
                        <w:rPr>
                          <w:i/>
                          <w:sz w:val="18"/>
                          <w:szCs w:val="18"/>
                        </w:rPr>
                      </w:pPr>
                      <w:r w:rsidRPr="00287B06">
                        <w:rPr>
                          <w:i/>
                          <w:sz w:val="18"/>
                          <w:szCs w:val="18"/>
                        </w:rPr>
                        <w:t xml:space="preserve">Link </w:t>
                      </w:r>
                      <w:r>
                        <w:rPr>
                          <w:i/>
                          <w:sz w:val="18"/>
                          <w:szCs w:val="18"/>
                        </w:rPr>
                        <w:t xml:space="preserve">– </w:t>
                      </w:r>
                      <w:r w:rsidRPr="0032513F">
                        <w:rPr>
                          <w:i/>
                          <w:sz w:val="18"/>
                          <w:szCs w:val="18"/>
                        </w:rPr>
                        <w:t xml:space="preserve">NSW </w:t>
                      </w:r>
                      <w:r>
                        <w:rPr>
                          <w:i/>
                          <w:sz w:val="18"/>
                          <w:szCs w:val="18"/>
                        </w:rPr>
                        <w:t xml:space="preserve">Road Freight Transport </w:t>
                      </w:r>
                    </w:p>
                  </w:txbxContent>
                </v:textbox>
              </v:rect>
            </w:pict>
          </mc:Fallback>
        </mc:AlternateContent>
      </w:r>
      <w:r w:rsidR="00390B30" w:rsidRPr="00390B30">
        <w:t>The exceptions are diseases for which there are only a limited number of causes (mesothelioma), where the work-related cause is well established medically (noise-</w:t>
      </w:r>
      <w:r w:rsidR="00390B30" w:rsidRPr="00390B30">
        <w:lastRenderedPageBreak/>
        <w:t xml:space="preserve">induced hearing loss) or where there is a short interval between the work place exposure to the cause of the disease and the onset and diagnosis of the disease such as asthma. </w:t>
      </w:r>
    </w:p>
    <w:p w:rsidR="00390B30" w:rsidRPr="00390B30" w:rsidRDefault="00390B30" w:rsidP="00390B30">
      <w:pPr>
        <w:tabs>
          <w:tab w:val="left" w:pos="966"/>
        </w:tabs>
      </w:pPr>
      <w:r w:rsidRPr="00390B30">
        <w:t xml:space="preserve">However, for the majority of occupational diseases and disorders there is a long latency period between the work-related exposure and diagnosis. </w:t>
      </w:r>
    </w:p>
    <w:p w:rsidR="00390B30" w:rsidRPr="00390B30" w:rsidRDefault="00390B30" w:rsidP="00390B30">
      <w:pPr>
        <w:tabs>
          <w:tab w:val="left" w:pos="966"/>
        </w:tabs>
      </w:pPr>
      <w:r w:rsidRPr="00390B30">
        <w:t xml:space="preserve">There are usually </w:t>
      </w:r>
      <w:r w:rsidR="00544717">
        <w:t xml:space="preserve">a </w:t>
      </w:r>
      <w:r w:rsidRPr="00390B30">
        <w:t>wide variety of contributing factors to the development of these diseases and disorders including lifestyle and non-work-related factors. Because of the difficult</w:t>
      </w:r>
      <w:r w:rsidR="00C350FE">
        <w:t>y</w:t>
      </w:r>
      <w:r w:rsidRPr="00390B30">
        <w:t xml:space="preserve"> proving work contribution (for the purposes of workers’ compensation claims) it is likely the available national data underestimates the true incidence and burden of work-related priority disorders.</w:t>
      </w:r>
    </w:p>
    <w:p w:rsidR="00390B30" w:rsidRDefault="00390B30" w:rsidP="00390B30">
      <w:pPr>
        <w:tabs>
          <w:tab w:val="left" w:pos="966"/>
        </w:tabs>
      </w:pPr>
      <w:r w:rsidRPr="00390B30">
        <w:t>An important note is for long latency disorders the incidence data reflect historical exposure patterns which in many cases we know to have improved.</w:t>
      </w:r>
    </w:p>
    <w:p w:rsidR="00160B35" w:rsidRPr="00160B35" w:rsidRDefault="00160B35" w:rsidP="00160B35">
      <w:pPr>
        <w:pStyle w:val="breakoutbox"/>
        <w:rPr>
          <w:b/>
        </w:rPr>
      </w:pPr>
      <w:r w:rsidRPr="00160B35">
        <w:rPr>
          <w:b/>
        </w:rPr>
        <w:t>Research</w:t>
      </w:r>
    </w:p>
    <w:p w:rsidR="00160B35" w:rsidRPr="003567E0" w:rsidRDefault="00160B35" w:rsidP="00160B35">
      <w:pPr>
        <w:pStyle w:val="breakoutbox"/>
      </w:pPr>
      <w:r w:rsidRPr="003567E0">
        <w:t>The National Research Program is providing data on current exposu</w:t>
      </w:r>
      <w:r>
        <w:t>res to disease caus</w:t>
      </w:r>
      <w:r w:rsidRPr="003567E0">
        <w:t>ing hazards and the controls workplaces are using.</w:t>
      </w:r>
    </w:p>
    <w:p w:rsidR="009A4C53" w:rsidRPr="00160B35" w:rsidRDefault="00160B35" w:rsidP="00160B35">
      <w:pPr>
        <w:pStyle w:val="breakoutbox"/>
        <w:rPr>
          <w:szCs w:val="20"/>
        </w:rPr>
      </w:pPr>
      <w:r w:rsidRPr="003567E0">
        <w:rPr>
          <w:szCs w:val="20"/>
        </w:rPr>
        <w:t>This will over time provide useful information to measure change</w:t>
      </w:r>
    </w:p>
    <w:p w:rsidR="00390B30" w:rsidRPr="00390B30" w:rsidRDefault="00390B30" w:rsidP="00390B30">
      <w:pPr>
        <w:tabs>
          <w:tab w:val="left" w:pos="966"/>
        </w:tabs>
      </w:pPr>
      <w:r w:rsidRPr="00390B30">
        <w:t>So with the exception of short latency diseases, it is unlikely interventions and programs undertaken as part of the Australian Strategy will have a measureable impact on the incidence of work-related diseases and disorders during the period of the strategy (2012</w:t>
      </w:r>
      <w:r w:rsidR="00C350FE">
        <w:t>–</w:t>
      </w:r>
      <w:r w:rsidRPr="00390B30">
        <w:t>2022).</w:t>
      </w:r>
    </w:p>
    <w:p w:rsidR="00390B30" w:rsidRPr="00390B30" w:rsidRDefault="00390B30" w:rsidP="00C350FE">
      <w:pPr>
        <w:tabs>
          <w:tab w:val="left" w:pos="966"/>
        </w:tabs>
      </w:pPr>
      <w:r w:rsidRPr="00390B30">
        <w:t xml:space="preserve">Despite this, it is still worth monitoring occupational disorder statistics. Trends over time provide an indication of whether or not progress is being made in reducing the incidence. The statistics provide a tangible reminder of the hazards and risk associated with work and the motivation to reduce these risks. </w:t>
      </w:r>
    </w:p>
    <w:p w:rsidR="00390B30" w:rsidRPr="00390B30" w:rsidRDefault="00390B30" w:rsidP="00C350FE">
      <w:pPr>
        <w:tabs>
          <w:tab w:val="left" w:pos="966"/>
        </w:tabs>
      </w:pPr>
      <w:r w:rsidRPr="00390B30">
        <w:t xml:space="preserve">The </w:t>
      </w:r>
      <w:hyperlink r:id="rId115" w:history="1">
        <w:r w:rsidRPr="00390B30">
          <w:rPr>
            <w:rFonts w:eastAsiaTheme="majorEastAsia"/>
            <w:color w:val="0000FF"/>
            <w:u w:val="single"/>
          </w:rPr>
          <w:t>Occupational disease indicators</w:t>
        </w:r>
      </w:hyperlink>
      <w:r w:rsidRPr="00390B30">
        <w:t xml:space="preserve"> report uses a range of data sources to track health outcomes especially for long latency </w:t>
      </w:r>
      <w:r w:rsidR="00C350FE">
        <w:t>disorders</w:t>
      </w:r>
      <w:r w:rsidRPr="00390B30">
        <w:t xml:space="preserve">. A better measure of progress in preventing long latency disorders will be to monitor changes in exposure to the disease </w:t>
      </w:r>
      <w:r w:rsidRPr="00390B30">
        <w:lastRenderedPageBreak/>
        <w:t xml:space="preserve">causing hazards and the use and effectiveness of known controls in Australian workplaces. </w:t>
      </w:r>
    </w:p>
    <w:p w:rsidR="00390B30" w:rsidRPr="0096720E" w:rsidRDefault="00390B30" w:rsidP="0096720E">
      <w:pPr>
        <w:pStyle w:val="Heading3"/>
      </w:pPr>
      <w:bookmarkStart w:id="7" w:name="_Toc384372887"/>
      <w:r w:rsidRPr="0096720E">
        <w:t xml:space="preserve">Why are </w:t>
      </w:r>
      <w:proofErr w:type="spellStart"/>
      <w:r w:rsidRPr="0096720E">
        <w:t>MSDs</w:t>
      </w:r>
      <w:proofErr w:type="spellEnd"/>
      <w:r w:rsidRPr="0096720E">
        <w:t xml:space="preserve"> a national priority?</w:t>
      </w:r>
      <w:bookmarkEnd w:id="7"/>
      <w:r w:rsidRPr="0096720E">
        <w:t xml:space="preserve"> </w:t>
      </w:r>
    </w:p>
    <w:p w:rsidR="00390B30" w:rsidRPr="00390B30" w:rsidRDefault="00390B30" w:rsidP="00390B30">
      <w:pPr>
        <w:tabs>
          <w:tab w:val="left" w:pos="966"/>
        </w:tabs>
      </w:pPr>
      <w:proofErr w:type="spellStart"/>
      <w:r w:rsidRPr="00390B30">
        <w:t>MSDs</w:t>
      </w:r>
      <w:proofErr w:type="spellEnd"/>
      <w:r w:rsidRPr="00390B30">
        <w:t xml:space="preserve"> are the most commonly compensated work-related condition. Muscular disorders include strains and sprains of joints and adjacent muscles; disorders of muscle, tendons and other soft tissues; and sometimes hernias</w:t>
      </w:r>
      <w:r w:rsidRPr="00390B30">
        <w:rPr>
          <w:rFonts w:cs="Arial"/>
          <w:color w:val="000000"/>
          <w:sz w:val="20"/>
          <w:szCs w:val="20"/>
          <w:lang w:val="en-US"/>
        </w:rPr>
        <w:t>.</w:t>
      </w:r>
      <w:r w:rsidRPr="00390B30">
        <w:t xml:space="preserve"> Skeletal disorders can include fractures, disorders of the bones, joints and cartilage. </w:t>
      </w:r>
    </w:p>
    <w:p w:rsidR="009A4C53" w:rsidRDefault="00390B30" w:rsidP="00390B30">
      <w:pPr>
        <w:tabs>
          <w:tab w:val="left" w:pos="966"/>
        </w:tabs>
      </w:pPr>
      <w:r w:rsidRPr="00390B30">
        <w:t xml:space="preserve">Most claims for </w:t>
      </w:r>
      <w:proofErr w:type="spellStart"/>
      <w:r w:rsidRPr="00390B30">
        <w:t>MSDs</w:t>
      </w:r>
      <w:proofErr w:type="spellEnd"/>
      <w:r w:rsidRPr="00390B30">
        <w:t xml:space="preserve"> are from </w:t>
      </w:r>
      <w:r w:rsidRPr="00390B30">
        <w:rPr>
          <w:i/>
        </w:rPr>
        <w:t>body stressing.</w:t>
      </w:r>
      <w:r w:rsidRPr="00390B30">
        <w:t xml:space="preserve"> </w:t>
      </w:r>
    </w:p>
    <w:p w:rsidR="00160B35" w:rsidRPr="00160B35" w:rsidRDefault="00160B35" w:rsidP="00160B35">
      <w:pPr>
        <w:pStyle w:val="breakoutbox"/>
        <w:rPr>
          <w:b/>
        </w:rPr>
      </w:pPr>
      <w:r w:rsidRPr="00160B35">
        <w:rPr>
          <w:b/>
        </w:rPr>
        <w:t>What is Body Stressing?</w:t>
      </w:r>
    </w:p>
    <w:p w:rsidR="009A4C53" w:rsidRDefault="00160B35" w:rsidP="00160B35">
      <w:pPr>
        <w:pStyle w:val="breakoutbox"/>
      </w:pPr>
      <w:r w:rsidRPr="003567E0">
        <w:t>Body stressing is muscular stress from manual handling lifting, carrying, pushing</w:t>
      </w:r>
      <w:r>
        <w:t>,</w:t>
      </w:r>
      <w:r w:rsidRPr="003567E0">
        <w:t xml:space="preserve"> pulling objects or stress from physical movements such as holding a posture or making repetitive movements.</w:t>
      </w:r>
    </w:p>
    <w:p w:rsidR="00390B30" w:rsidRPr="00390B30" w:rsidRDefault="00390B30" w:rsidP="00390B30">
      <w:pPr>
        <w:tabs>
          <w:tab w:val="left" w:pos="966"/>
        </w:tabs>
      </w:pPr>
      <w:r w:rsidRPr="00390B30">
        <w:t xml:space="preserve">The incidence rate of workers’ compensation claims involving </w:t>
      </w:r>
      <w:proofErr w:type="spellStart"/>
      <w:r w:rsidRPr="00390B30">
        <w:t>MSDs</w:t>
      </w:r>
      <w:proofErr w:type="spellEnd"/>
      <w:r w:rsidRPr="00390B30">
        <w:t xml:space="preserve"> caused by body stressing decreased over the period 2000–01 to 2010 reflecting the interventions that occurred as part of the National OHS Strategy 2002-2012. </w:t>
      </w:r>
    </w:p>
    <w:p w:rsidR="00390B30" w:rsidRPr="00390B30" w:rsidRDefault="00390B30" w:rsidP="00390B30">
      <w:pPr>
        <w:tabs>
          <w:tab w:val="left" w:pos="966"/>
        </w:tabs>
        <w:rPr>
          <w:rFonts w:cs="Arial"/>
          <w:color w:val="000000"/>
          <w:lang w:val="en-US"/>
        </w:rPr>
      </w:pPr>
      <w:r w:rsidRPr="00390B30">
        <w:rPr>
          <w:rFonts w:cs="Arial"/>
          <w:color w:val="000000"/>
          <w:lang w:val="en-US"/>
        </w:rPr>
        <w:t xml:space="preserve">‘Over the period 2000–01 to 2008–09 there was an overall downward trend in the incidence of </w:t>
      </w:r>
      <w:proofErr w:type="spellStart"/>
      <w:r w:rsidRPr="00390B30">
        <w:rPr>
          <w:rFonts w:cs="Arial"/>
          <w:color w:val="000000"/>
          <w:lang w:val="en-US"/>
        </w:rPr>
        <w:t>MSDs</w:t>
      </w:r>
      <w:proofErr w:type="spellEnd"/>
      <w:r w:rsidRPr="00390B30">
        <w:rPr>
          <w:rFonts w:cs="Arial"/>
          <w:color w:val="000000"/>
          <w:lang w:val="en-US"/>
        </w:rPr>
        <w:t xml:space="preserve">: the incidence rate for all claims involving </w:t>
      </w:r>
      <w:proofErr w:type="spellStart"/>
      <w:r w:rsidRPr="00390B30">
        <w:rPr>
          <w:rFonts w:cs="Arial"/>
          <w:color w:val="000000"/>
          <w:lang w:val="en-US"/>
        </w:rPr>
        <w:t>MSDs</w:t>
      </w:r>
      <w:proofErr w:type="spellEnd"/>
      <w:r w:rsidRPr="00390B30">
        <w:rPr>
          <w:rFonts w:cs="Arial"/>
          <w:color w:val="000000"/>
          <w:lang w:val="en-US"/>
        </w:rPr>
        <w:t xml:space="preserve"> that were caused by body stressing decreased by 28</w:t>
      </w:r>
      <w:r w:rsidR="001311F2">
        <w:rPr>
          <w:rFonts w:cs="Arial"/>
          <w:color w:val="000000"/>
          <w:lang w:val="en-US"/>
        </w:rPr>
        <w:t> per cent</w:t>
      </w:r>
      <w:r w:rsidRPr="00390B30">
        <w:rPr>
          <w:rFonts w:cs="Arial"/>
          <w:color w:val="000000"/>
          <w:lang w:val="en-US"/>
        </w:rPr>
        <w:t xml:space="preserve">’ </w:t>
      </w:r>
    </w:p>
    <w:p w:rsidR="00390B30" w:rsidRPr="0096720E" w:rsidRDefault="00390B30" w:rsidP="0096720E">
      <w:pPr>
        <w:pStyle w:val="Heading3"/>
      </w:pPr>
      <w:r w:rsidRPr="0096720E">
        <w:t xml:space="preserve">What is being done? </w:t>
      </w:r>
    </w:p>
    <w:p w:rsidR="00390B30" w:rsidRPr="00390B30" w:rsidRDefault="00390B30" w:rsidP="00C350FE">
      <w:pPr>
        <w:tabs>
          <w:tab w:val="left" w:pos="966"/>
        </w:tabs>
      </w:pPr>
      <w:r w:rsidRPr="00390B30">
        <w:t xml:space="preserve">All the </w:t>
      </w:r>
      <w:r w:rsidR="00783B2B">
        <w:t xml:space="preserve">WHS </w:t>
      </w:r>
      <w:r w:rsidRPr="00390B30">
        <w:t xml:space="preserve">regulators publish specific guidance on manual tasks; many of these providing very targeted industry advice. Because </w:t>
      </w:r>
      <w:proofErr w:type="spellStart"/>
      <w:r w:rsidRPr="00390B30">
        <w:t>MSDs</w:t>
      </w:r>
      <w:proofErr w:type="spellEnd"/>
      <w:r w:rsidRPr="00390B30">
        <w:t xml:space="preserve"> </w:t>
      </w:r>
      <w:r w:rsidR="00C350FE">
        <w:t xml:space="preserve">can </w:t>
      </w:r>
      <w:r w:rsidRPr="00390B30">
        <w:t xml:space="preserve">lead to serious human and financial costs, all </w:t>
      </w:r>
      <w:r w:rsidR="00544717">
        <w:t xml:space="preserve">WHS </w:t>
      </w:r>
      <w:r w:rsidRPr="00390B30">
        <w:t xml:space="preserve">regulators routinely invest significant inspectorate resources </w:t>
      </w:r>
      <w:r w:rsidR="00C350FE">
        <w:t xml:space="preserve">in </w:t>
      </w:r>
      <w:r w:rsidRPr="00390B30">
        <w:t xml:space="preserve">undertaking related compliance support and enforcement activities. </w:t>
      </w:r>
    </w:p>
    <w:p w:rsidR="00390B30" w:rsidRPr="00390B30" w:rsidRDefault="00390B30" w:rsidP="00C350FE">
      <w:pPr>
        <w:tabs>
          <w:tab w:val="left" w:pos="966"/>
        </w:tabs>
        <w:rPr>
          <w:rFonts w:eastAsiaTheme="majorEastAsia"/>
        </w:rPr>
      </w:pPr>
      <w:r w:rsidRPr="00390B30">
        <w:t xml:space="preserve">A recent </w:t>
      </w:r>
      <w:r w:rsidR="00C350FE">
        <w:t>Queensland</w:t>
      </w:r>
      <w:r w:rsidR="00C350FE" w:rsidRPr="00390B30">
        <w:t xml:space="preserve"> </w:t>
      </w:r>
      <w:r w:rsidRPr="00390B30">
        <w:t xml:space="preserve">example is the </w:t>
      </w:r>
      <w:hyperlink r:id="rId116" w:history="1">
        <w:proofErr w:type="spellStart"/>
        <w:r w:rsidR="002777C8" w:rsidRPr="0039729A">
          <w:rPr>
            <w:rStyle w:val="Hyperlink"/>
            <w:i/>
          </w:rPr>
          <w:t>PErforMing</w:t>
        </w:r>
        <w:proofErr w:type="spellEnd"/>
      </w:hyperlink>
      <w:r w:rsidR="002777C8" w:rsidRPr="003567E0">
        <w:rPr>
          <w:color w:val="0000FF"/>
        </w:rPr>
        <w:t xml:space="preserve"> </w:t>
      </w:r>
      <w:r w:rsidRPr="00390B30">
        <w:rPr>
          <w:rFonts w:asciiTheme="majorHAnsi" w:eastAsiaTheme="majorEastAsia" w:hAnsiTheme="majorHAnsi" w:cstheme="majorBidi"/>
          <w:bCs/>
          <w:iCs/>
        </w:rPr>
        <w:t>and getting results project, a</w:t>
      </w:r>
      <w:r w:rsidRPr="00390B30">
        <w:rPr>
          <w:rFonts w:eastAsiaTheme="majorEastAsia"/>
          <w:b/>
        </w:rPr>
        <w:t xml:space="preserve"> </w:t>
      </w:r>
      <w:r w:rsidRPr="00390B30">
        <w:rPr>
          <w:rFonts w:eastAsiaTheme="majorEastAsia"/>
        </w:rPr>
        <w:t xml:space="preserve">simplified manual tasks risk </w:t>
      </w:r>
      <w:r w:rsidRPr="00390B30">
        <w:t>management</w:t>
      </w:r>
      <w:r w:rsidRPr="00390B30">
        <w:rPr>
          <w:rFonts w:eastAsiaTheme="majorEastAsia"/>
        </w:rPr>
        <w:t xml:space="preserve"> program which involves workplace-based teams devising manual tasks solutions for their high risk manual tasks. Over 2011–12, the participating company’s claims frequency and costs reduced, resulting in a subsequent 30 per</w:t>
      </w:r>
      <w:r w:rsidR="00C350FE">
        <w:rPr>
          <w:rFonts w:eastAsiaTheme="majorEastAsia"/>
        </w:rPr>
        <w:t xml:space="preserve"> </w:t>
      </w:r>
      <w:r w:rsidRPr="00390B30">
        <w:rPr>
          <w:rFonts w:eastAsiaTheme="majorEastAsia"/>
        </w:rPr>
        <w:t xml:space="preserve">cent decrease on their workers compensation insurance premium. </w:t>
      </w:r>
    </w:p>
    <w:p w:rsidR="00390B30" w:rsidRPr="00390B30" w:rsidRDefault="009A4C53" w:rsidP="00390B30">
      <w:pPr>
        <w:tabs>
          <w:tab w:val="left" w:pos="966"/>
        </w:tabs>
      </w:pPr>
      <w:r>
        <w:lastRenderedPageBreak/>
        <w:t>The Safe Work Australia</w:t>
      </w:r>
      <w:r w:rsidR="00390B30" w:rsidRPr="00390B30">
        <w:t xml:space="preserve"> and Curtin University project </w:t>
      </w:r>
      <w:r w:rsidR="00390B30" w:rsidRPr="00FC6028">
        <w:t xml:space="preserve">on </w:t>
      </w:r>
      <w:proofErr w:type="gramStart"/>
      <w:r w:rsidR="00390B30" w:rsidRPr="00FC6028">
        <w:rPr>
          <w:i/>
        </w:rPr>
        <w:t>Lost</w:t>
      </w:r>
      <w:proofErr w:type="gramEnd"/>
      <w:r w:rsidR="00390B30" w:rsidRPr="00FC6028">
        <w:rPr>
          <w:i/>
        </w:rPr>
        <w:t xml:space="preserve"> productivity due to musculoskeletal pain in young workers</w:t>
      </w:r>
      <w:r w:rsidR="00390B30" w:rsidRPr="00390B30">
        <w:t xml:space="preserve"> is helping to fill a current gap in understanding of </w:t>
      </w:r>
      <w:r w:rsidR="00390B30" w:rsidRPr="00390B30">
        <w:rPr>
          <w:szCs w:val="20"/>
        </w:rPr>
        <w:t>work productivity loss associated with musculoskeletal pain in young adults</w:t>
      </w:r>
      <w:r w:rsidR="00390B30" w:rsidRPr="00390B30">
        <w:t xml:space="preserve"> and so inform national and local initiatives.</w:t>
      </w:r>
      <w:r w:rsidR="00390B30" w:rsidRPr="00390B30">
        <w:rPr>
          <w:szCs w:val="20"/>
        </w:rPr>
        <w:t xml:space="preserve"> </w:t>
      </w:r>
    </w:p>
    <w:p w:rsidR="00390B30" w:rsidRPr="0096720E" w:rsidRDefault="00390B30" w:rsidP="0096720E">
      <w:pPr>
        <w:pStyle w:val="Heading3"/>
      </w:pPr>
      <w:r w:rsidRPr="0096720E">
        <w:t xml:space="preserve">Why are mental disorders a priority? </w:t>
      </w:r>
    </w:p>
    <w:p w:rsidR="00390B30" w:rsidRPr="00390B30" w:rsidRDefault="00390B30" w:rsidP="00390B30">
      <w:pPr>
        <w:tabs>
          <w:tab w:val="left" w:pos="966"/>
        </w:tabs>
      </w:pPr>
      <w:r w:rsidRPr="00390B30">
        <w:t>Mental stress is the leading cause of work-related and compensable mental disorders</w:t>
      </w:r>
      <w:r w:rsidR="00C350FE">
        <w:t>,</w:t>
      </w:r>
      <w:r w:rsidRPr="00390B30">
        <w:t xml:space="preserve"> causing significant personal distress to affected individuals and lost productivity for the businesses concerned. </w:t>
      </w:r>
    </w:p>
    <w:p w:rsidR="00390B30" w:rsidRPr="00390B30" w:rsidRDefault="00390B30" w:rsidP="00390B30">
      <w:pPr>
        <w:tabs>
          <w:tab w:val="left" w:pos="966"/>
        </w:tabs>
      </w:pPr>
      <w:r w:rsidRPr="00390B30">
        <w:t>Mental stress claims are also the most expensive form of workers’ compensation claims because of the often lengthy absences from work.</w:t>
      </w:r>
    </w:p>
    <w:p w:rsidR="00390B30" w:rsidRPr="00390B30" w:rsidRDefault="00390B30" w:rsidP="00C350FE">
      <w:pPr>
        <w:tabs>
          <w:tab w:val="left" w:pos="966"/>
        </w:tabs>
      </w:pPr>
      <w:r w:rsidRPr="00390B30">
        <w:t>The rate of workers’ compensation claims for mental disorders caused by mental stress increased between 2000–01 and 2003–04 and then decreased. However, the rate increased again in both 2009</w:t>
      </w:r>
      <w:r w:rsidR="00C350FE">
        <w:t>–</w:t>
      </w:r>
      <w:r w:rsidRPr="00390B30">
        <w:t>10 and 2010</w:t>
      </w:r>
      <w:r w:rsidR="00C350FE">
        <w:t>–</w:t>
      </w:r>
      <w:r w:rsidRPr="00390B30">
        <w:t xml:space="preserve">11, though preliminary data for </w:t>
      </w:r>
      <w:r w:rsidR="00C350FE">
        <w:br/>
      </w:r>
      <w:r w:rsidRPr="00390B30">
        <w:t>2011</w:t>
      </w:r>
      <w:r w:rsidR="00C350FE">
        <w:t>–</w:t>
      </w:r>
      <w:r w:rsidRPr="00390B30">
        <w:t xml:space="preserve">12 suggests a decline in rates. </w:t>
      </w:r>
    </w:p>
    <w:p w:rsidR="00390B30" w:rsidRDefault="00390B30" w:rsidP="00C350FE">
      <w:pPr>
        <w:tabs>
          <w:tab w:val="left" w:pos="966"/>
        </w:tabs>
      </w:pPr>
      <w:r w:rsidRPr="00390B30">
        <w:t>In 2011</w:t>
      </w:r>
      <w:r w:rsidR="00C350FE">
        <w:t>–</w:t>
      </w:r>
      <w:r w:rsidRPr="00390B30">
        <w:t xml:space="preserve">12 there were more mental stress claims made for </w:t>
      </w:r>
      <w:r w:rsidRPr="00390B30">
        <w:rPr>
          <w:i/>
        </w:rPr>
        <w:t>Work pressure</w:t>
      </w:r>
      <w:r w:rsidRPr="00390B30">
        <w:t xml:space="preserve"> than any other sub-category. However the hazards that result in mental stress claims vary with the workers’ age and gender. </w:t>
      </w:r>
    </w:p>
    <w:p w:rsidR="00390B30" w:rsidRPr="00390B30" w:rsidRDefault="00390B30" w:rsidP="00390B30">
      <w:pPr>
        <w:tabs>
          <w:tab w:val="left" w:pos="966"/>
        </w:tabs>
      </w:pPr>
      <w:r w:rsidRPr="00390B30">
        <w:t xml:space="preserve">Younger workers are more likely to make claims as a result of </w:t>
      </w:r>
      <w:r w:rsidRPr="00390B30">
        <w:rPr>
          <w:i/>
        </w:rPr>
        <w:t>Exposure to workplace or occupational violence</w:t>
      </w:r>
      <w:r w:rsidRPr="00390B30">
        <w:t xml:space="preserve">, whereas </w:t>
      </w:r>
      <w:r w:rsidRPr="00390B30">
        <w:rPr>
          <w:i/>
        </w:rPr>
        <w:t>Work pressure</w:t>
      </w:r>
      <w:r w:rsidRPr="00390B30">
        <w:t xml:space="preserve"> is the main cause of mental stress claims for older workers, peaking for those aged 45–49 years. </w:t>
      </w:r>
    </w:p>
    <w:p w:rsidR="00160B35" w:rsidRPr="00160B35" w:rsidRDefault="00160B35" w:rsidP="00160B35">
      <w:pPr>
        <w:pStyle w:val="breakoutbox"/>
        <w:rPr>
          <w:b/>
        </w:rPr>
      </w:pPr>
      <w:r w:rsidRPr="00160B35">
        <w:rPr>
          <w:b/>
        </w:rPr>
        <w:t>Research</w:t>
      </w:r>
    </w:p>
    <w:p w:rsidR="008D6941" w:rsidRDefault="004B5D98" w:rsidP="00160B35">
      <w:pPr>
        <w:pStyle w:val="breakoutbox"/>
      </w:pPr>
      <w:hyperlink r:id="rId117" w:history="1">
        <w:r w:rsidR="00160B35" w:rsidRPr="00444EA2">
          <w:rPr>
            <w:rStyle w:val="Hyperlink"/>
            <w:i/>
          </w:rPr>
          <w:t xml:space="preserve">Younger workers at risk: Absenteeism and </w:t>
        </w:r>
        <w:proofErr w:type="spellStart"/>
        <w:r w:rsidR="00160B35" w:rsidRPr="00444EA2">
          <w:rPr>
            <w:rStyle w:val="Hyperlink"/>
            <w:i/>
          </w:rPr>
          <w:t>presenteeism</w:t>
        </w:r>
        <w:proofErr w:type="spellEnd"/>
        <w:r w:rsidR="00160B35" w:rsidRPr="00444EA2">
          <w:rPr>
            <w:rStyle w:val="Hyperlink"/>
            <w:i/>
          </w:rPr>
          <w:t xml:space="preserve"> in </w:t>
        </w:r>
        <w:proofErr w:type="spellStart"/>
        <w:r w:rsidR="00160B35" w:rsidRPr="00444EA2">
          <w:rPr>
            <w:rStyle w:val="Hyperlink"/>
            <w:i/>
          </w:rPr>
          <w:t>Raine</w:t>
        </w:r>
        <w:proofErr w:type="spellEnd"/>
        <w:r w:rsidR="00160B35" w:rsidRPr="00444EA2">
          <w:rPr>
            <w:rStyle w:val="Hyperlink"/>
            <w:i/>
          </w:rPr>
          <w:t xml:space="preserve"> Study 23 year olds</w:t>
        </w:r>
      </w:hyperlink>
    </w:p>
    <w:p w:rsidR="00390B30" w:rsidRPr="00390B30" w:rsidRDefault="00390B30" w:rsidP="00390B30">
      <w:pPr>
        <w:tabs>
          <w:tab w:val="left" w:pos="966"/>
        </w:tabs>
      </w:pPr>
      <w:r w:rsidRPr="00390B30">
        <w:t xml:space="preserve">Women are three times more likely than men to make a workers’ compensation claim due to </w:t>
      </w:r>
      <w:r w:rsidRPr="00390B30">
        <w:rPr>
          <w:i/>
        </w:rPr>
        <w:t>Work-related harassment and/or workplace bullying</w:t>
      </w:r>
      <w:r w:rsidRPr="00390B30">
        <w:t xml:space="preserve">. </w:t>
      </w:r>
    </w:p>
    <w:p w:rsidR="00390B30" w:rsidRPr="00390B30" w:rsidRDefault="00390B30" w:rsidP="00390B30">
      <w:pPr>
        <w:tabs>
          <w:tab w:val="left" w:pos="966"/>
        </w:tabs>
      </w:pPr>
      <w:r w:rsidRPr="00390B30">
        <w:t xml:space="preserve">For the industries with the highest number/rate of mental stress claims, the majority of claims were for </w:t>
      </w:r>
      <w:r w:rsidRPr="00390B30">
        <w:rPr>
          <w:i/>
        </w:rPr>
        <w:t>Work pressure</w:t>
      </w:r>
      <w:r w:rsidRPr="00390B30">
        <w:t xml:space="preserve">. This was particularly true in the Education sector. Claims for </w:t>
      </w:r>
      <w:r w:rsidRPr="002777C8">
        <w:rPr>
          <w:i/>
          <w:iCs/>
        </w:rPr>
        <w:t>Exposure to workplace or occupational violence</w:t>
      </w:r>
      <w:r w:rsidRPr="00390B30">
        <w:t xml:space="preserve"> were notable in the Retail trade industry, while the Transport and storage and Health and community </w:t>
      </w:r>
      <w:r w:rsidRPr="00390B30">
        <w:lastRenderedPageBreak/>
        <w:t xml:space="preserve">services industries dominated claims for </w:t>
      </w:r>
      <w:r w:rsidRPr="00BD6D88">
        <w:rPr>
          <w:i/>
          <w:iCs/>
        </w:rPr>
        <w:t>Exposure to a traumatic event</w:t>
      </w:r>
      <w:r w:rsidRPr="00390B30">
        <w:t>.</w:t>
      </w:r>
    </w:p>
    <w:p w:rsidR="00390B30" w:rsidRPr="00390B30" w:rsidRDefault="00390B30" w:rsidP="0096720E">
      <w:pPr>
        <w:pStyle w:val="Heading3"/>
      </w:pPr>
      <w:r w:rsidRPr="00390B30">
        <w:t xml:space="preserve">What is being done? </w:t>
      </w:r>
    </w:p>
    <w:p w:rsidR="00390B30" w:rsidRPr="00390B30" w:rsidRDefault="00390B30" w:rsidP="00390B30">
      <w:pPr>
        <w:tabs>
          <w:tab w:val="left" w:pos="966"/>
        </w:tabs>
      </w:pPr>
      <w:r w:rsidRPr="00390B30">
        <w:t>The WHS laws recognise the importance of preventing mental disorders with the expansion of the definition of harm to include psychological harm.</w:t>
      </w:r>
    </w:p>
    <w:p w:rsidR="00390B30" w:rsidRPr="00390B30" w:rsidRDefault="00390B30" w:rsidP="00390B30">
      <w:pPr>
        <w:tabs>
          <w:tab w:val="left" w:pos="966"/>
        </w:tabs>
      </w:pPr>
      <w:r w:rsidRPr="00390B30">
        <w:t xml:space="preserve">In this first year of the Australian Strategy to focus national attention and inform prevention activity on mental disorders SWA released </w:t>
      </w:r>
      <w:hyperlink r:id="rId118" w:history="1">
        <w:r w:rsidRPr="00390B30">
          <w:rPr>
            <w:i/>
            <w:color w:val="0000FF"/>
            <w:u w:val="single"/>
          </w:rPr>
          <w:t>The Incidence of Accepted Workers’ Compensation Claims for Mental Stress in Australia</w:t>
        </w:r>
      </w:hyperlink>
      <w:r w:rsidRPr="00390B30">
        <w:t xml:space="preserve">. </w:t>
      </w:r>
    </w:p>
    <w:p w:rsidR="00390B30" w:rsidRPr="00390B30" w:rsidRDefault="00390B30" w:rsidP="00714F0E">
      <w:pPr>
        <w:tabs>
          <w:tab w:val="left" w:pos="966"/>
        </w:tabs>
      </w:pPr>
      <w:r w:rsidRPr="00390B30">
        <w:t>To address community and public concerns about mental disorders caused by bullying the Commonwealth Government announced a Parliamentary Inquiry to which S</w:t>
      </w:r>
      <w:r w:rsidR="008D6941">
        <w:t xml:space="preserve">afe </w:t>
      </w:r>
      <w:r w:rsidRPr="00390B30">
        <w:t>W</w:t>
      </w:r>
      <w:r w:rsidR="008D6941">
        <w:t xml:space="preserve">ork Australia </w:t>
      </w:r>
      <w:r w:rsidRPr="00390B30">
        <w:t xml:space="preserve">made a submission. The Inquiry’s report </w:t>
      </w:r>
      <w:hyperlink r:id="rId119" w:history="1">
        <w:r w:rsidRPr="00390B30">
          <w:rPr>
            <w:color w:val="0000FF"/>
            <w:u w:val="single"/>
          </w:rPr>
          <w:t xml:space="preserve">Workplace Bullying </w:t>
        </w:r>
        <w:r w:rsidRPr="00390B30">
          <w:rPr>
            <w:i/>
            <w:iCs/>
            <w:color w:val="0000FF"/>
            <w:u w:val="single"/>
          </w:rPr>
          <w:t>We Just Want it to Stop</w:t>
        </w:r>
      </w:hyperlink>
      <w:r w:rsidRPr="00390B30">
        <w:t xml:space="preserve"> was tabled in Parliament on 26 November 2012. S</w:t>
      </w:r>
      <w:r w:rsidR="009A4C53">
        <w:t xml:space="preserve">afe </w:t>
      </w:r>
      <w:r w:rsidRPr="00390B30">
        <w:t>W</w:t>
      </w:r>
      <w:r w:rsidR="009A4C53">
        <w:t xml:space="preserve">ork </w:t>
      </w:r>
      <w:r w:rsidRPr="00390B30">
        <w:t>A</w:t>
      </w:r>
      <w:r w:rsidR="009A4C53">
        <w:t>ustralia</w:t>
      </w:r>
      <w:r w:rsidRPr="00390B30">
        <w:t xml:space="preserve"> was asked to action </w:t>
      </w:r>
      <w:r w:rsidR="00714F0E">
        <w:t>ten</w:t>
      </w:r>
      <w:r w:rsidR="00714F0E" w:rsidRPr="00390B30">
        <w:t xml:space="preserve"> </w:t>
      </w:r>
      <w:r w:rsidRPr="00390B30">
        <w:t xml:space="preserve">of the 23 recommendations made in the report. </w:t>
      </w:r>
    </w:p>
    <w:p w:rsidR="00390B30" w:rsidRPr="00390B30" w:rsidRDefault="00390B30" w:rsidP="00390B30">
      <w:pPr>
        <w:tabs>
          <w:tab w:val="left" w:pos="966"/>
        </w:tabs>
        <w:rPr>
          <w:rFonts w:eastAsiaTheme="minorHAnsi" w:cs="Arial"/>
          <w:lang w:eastAsia="en-US"/>
        </w:rPr>
      </w:pPr>
      <w:r w:rsidRPr="00390B30">
        <w:t>As a result of this report, S</w:t>
      </w:r>
      <w:r w:rsidR="009A4C53">
        <w:t xml:space="preserve">afe </w:t>
      </w:r>
      <w:r w:rsidRPr="00390B30">
        <w:t>W</w:t>
      </w:r>
      <w:r w:rsidR="009A4C53">
        <w:t xml:space="preserve">ork </w:t>
      </w:r>
      <w:r w:rsidRPr="00390B30">
        <w:t>A</w:t>
      </w:r>
      <w:r w:rsidR="009A4C53">
        <w:t>ustralia</w:t>
      </w:r>
      <w:r w:rsidRPr="00390B30">
        <w:t xml:space="preserve"> urgently finalised the draft model </w:t>
      </w:r>
      <w:r w:rsidRPr="00390B30">
        <w:rPr>
          <w:i/>
        </w:rPr>
        <w:t>Code of Practice: Preventing and Responding to Workplace Bullying.</w:t>
      </w:r>
      <w:r w:rsidRPr="00390B30">
        <w:t xml:space="preserve"> The revision took into account public comment and the recommendations of the Parliamentary Inquiry and has now been </w:t>
      </w:r>
      <w:hyperlink r:id="rId120" w:history="1">
        <w:r w:rsidRPr="00390B30">
          <w:rPr>
            <w:color w:val="0000FF"/>
            <w:u w:val="single"/>
          </w:rPr>
          <w:t>issued as guidance</w:t>
        </w:r>
      </w:hyperlink>
      <w:r w:rsidRPr="00390B30">
        <w:t xml:space="preserve">.  </w:t>
      </w:r>
    </w:p>
    <w:p w:rsidR="00390B30" w:rsidRPr="00390B30" w:rsidRDefault="00390B30" w:rsidP="00390B30">
      <w:pPr>
        <w:tabs>
          <w:tab w:val="left" w:pos="966"/>
        </w:tabs>
        <w:rPr>
          <w:rFonts w:eastAsiaTheme="minorHAnsi" w:cs="Arial"/>
          <w:lang w:eastAsia="en-US"/>
        </w:rPr>
      </w:pPr>
      <w:r w:rsidRPr="002777C8">
        <w:rPr>
          <w:rFonts w:eastAsiaTheme="minorHAnsi" w:cs="Arial"/>
          <w:lang w:eastAsia="en-US"/>
        </w:rPr>
        <w:t>S</w:t>
      </w:r>
      <w:r w:rsidR="009A4C53">
        <w:rPr>
          <w:rFonts w:eastAsiaTheme="minorHAnsi" w:cs="Arial"/>
          <w:lang w:eastAsia="en-US"/>
        </w:rPr>
        <w:t xml:space="preserve">afe </w:t>
      </w:r>
      <w:r w:rsidRPr="002777C8">
        <w:rPr>
          <w:rFonts w:eastAsiaTheme="minorHAnsi" w:cs="Arial"/>
          <w:lang w:eastAsia="en-US"/>
        </w:rPr>
        <w:t>W</w:t>
      </w:r>
      <w:r w:rsidR="009A4C53">
        <w:rPr>
          <w:rFonts w:eastAsiaTheme="minorHAnsi" w:cs="Arial"/>
          <w:lang w:eastAsia="en-US"/>
        </w:rPr>
        <w:t xml:space="preserve">ork </w:t>
      </w:r>
      <w:r w:rsidRPr="002777C8">
        <w:rPr>
          <w:rFonts w:eastAsiaTheme="minorHAnsi" w:cs="Arial"/>
          <w:lang w:eastAsia="en-US"/>
        </w:rPr>
        <w:t>A</w:t>
      </w:r>
      <w:r w:rsidR="009A4C53">
        <w:rPr>
          <w:rFonts w:eastAsiaTheme="minorHAnsi" w:cs="Arial"/>
          <w:lang w:eastAsia="en-US"/>
        </w:rPr>
        <w:t>ustralia</w:t>
      </w:r>
      <w:r w:rsidRPr="002777C8">
        <w:rPr>
          <w:rFonts w:eastAsiaTheme="minorHAnsi" w:cs="Arial"/>
          <w:lang w:eastAsia="en-US"/>
        </w:rPr>
        <w:t xml:space="preserve"> is a member of the </w:t>
      </w:r>
      <w:hyperlink r:id="rId121" w:history="1">
        <w:r w:rsidRPr="003567E0">
          <w:rPr>
            <w:rFonts w:eastAsiaTheme="minorHAnsi" w:cs="Arial"/>
            <w:i/>
            <w:color w:val="0000FF"/>
            <w:u w:val="single"/>
            <w:lang w:eastAsia="en-US"/>
          </w:rPr>
          <w:t>Mentally Healthy Workplace Alliance</w:t>
        </w:r>
      </w:hyperlink>
      <w:r w:rsidRPr="003567E0">
        <w:rPr>
          <w:rFonts w:eastAsiaTheme="minorHAnsi" w:cs="Arial"/>
          <w:color w:val="0000FF"/>
          <w:lang w:eastAsia="en-US"/>
        </w:rPr>
        <w:t xml:space="preserve"> </w:t>
      </w:r>
      <w:r w:rsidRPr="002777C8">
        <w:rPr>
          <w:rFonts w:eastAsiaTheme="minorHAnsi" w:cs="Arial"/>
          <w:lang w:eastAsia="en-US"/>
        </w:rPr>
        <w:t xml:space="preserve">which brings together key </w:t>
      </w:r>
      <w:r w:rsidRPr="002777C8">
        <w:t>stakeholders</w:t>
      </w:r>
      <w:r w:rsidRPr="002777C8">
        <w:rPr>
          <w:rFonts w:eastAsiaTheme="minorHAnsi" w:cs="Arial"/>
          <w:lang w:eastAsia="en-US"/>
        </w:rPr>
        <w:t xml:space="preserve"> committed to work collaboratively to promote workplace mental health.</w:t>
      </w:r>
    </w:p>
    <w:p w:rsidR="00390B30" w:rsidRPr="00390B30" w:rsidRDefault="00390B30" w:rsidP="00390B30">
      <w:pPr>
        <w:tabs>
          <w:tab w:val="left" w:pos="966"/>
        </w:tabs>
        <w:rPr>
          <w:rFonts w:asciiTheme="majorHAnsi" w:eastAsiaTheme="majorEastAsia" w:hAnsiTheme="majorHAnsi" w:cstheme="majorBidi"/>
          <w:bCs/>
          <w:iCs/>
        </w:rPr>
      </w:pPr>
      <w:r w:rsidRPr="00390B30">
        <w:rPr>
          <w:rFonts w:asciiTheme="majorHAnsi" w:eastAsiaTheme="majorEastAsia" w:hAnsiTheme="majorHAnsi" w:cstheme="majorBidi"/>
          <w:bCs/>
          <w:iCs/>
        </w:rPr>
        <w:t xml:space="preserve">The WHS regulators have identified the need for better tools to measure workplace mental health risks and the effectiveness of controls. </w:t>
      </w:r>
    </w:p>
    <w:p w:rsidR="00390B30" w:rsidRPr="00390B30" w:rsidRDefault="00714F0E" w:rsidP="00390B30">
      <w:pPr>
        <w:tabs>
          <w:tab w:val="left" w:pos="966"/>
        </w:tabs>
        <w:rPr>
          <w:rFonts w:eastAsia="Batang"/>
          <w:i/>
        </w:rPr>
      </w:pPr>
      <w:r>
        <w:rPr>
          <w:rFonts w:asciiTheme="majorHAnsi" w:eastAsiaTheme="majorEastAsia" w:hAnsiTheme="majorHAnsi" w:cstheme="majorBidi"/>
          <w:bCs/>
          <w:iCs/>
        </w:rPr>
        <w:t>Workplace Health and Safety Queensland</w:t>
      </w:r>
      <w:r w:rsidRPr="00390B30">
        <w:rPr>
          <w:rFonts w:asciiTheme="majorHAnsi" w:eastAsiaTheme="majorEastAsia" w:hAnsiTheme="majorHAnsi" w:cstheme="majorBidi"/>
          <w:bCs/>
          <w:iCs/>
        </w:rPr>
        <w:t xml:space="preserve"> </w:t>
      </w:r>
      <w:r w:rsidR="00390B30" w:rsidRPr="00390B30">
        <w:rPr>
          <w:rFonts w:asciiTheme="majorHAnsi" w:eastAsiaTheme="majorEastAsia" w:hAnsiTheme="majorHAnsi" w:cstheme="majorBidi"/>
          <w:bCs/>
          <w:iCs/>
        </w:rPr>
        <w:t xml:space="preserve">via the </w:t>
      </w:r>
      <w:hyperlink r:id="rId122" w:history="1">
        <w:proofErr w:type="spellStart"/>
        <w:r w:rsidR="00642E0A">
          <w:rPr>
            <w:rFonts w:eastAsiaTheme="majorEastAsia"/>
            <w:i/>
            <w:color w:val="0000FF"/>
            <w:u w:val="single"/>
          </w:rPr>
          <w:t>People@Work</w:t>
        </w:r>
        <w:proofErr w:type="spellEnd"/>
      </w:hyperlink>
      <w:r w:rsidR="00390B30" w:rsidRPr="00390B30">
        <w:rPr>
          <w:rFonts w:eastAsiaTheme="majorEastAsia"/>
        </w:rPr>
        <w:t xml:space="preserve"> project</w:t>
      </w:r>
      <w:r w:rsidR="00390B30" w:rsidRPr="00390B30">
        <w:rPr>
          <w:rFonts w:asciiTheme="majorHAnsi" w:eastAsiaTheme="majorEastAsia" w:hAnsiTheme="majorHAnsi" w:cstheme="majorBidi"/>
          <w:bCs/>
          <w:iCs/>
        </w:rPr>
        <w:t xml:space="preserve"> is working collaboratively with a range of partners to develop a tool for business and inspectors.</w:t>
      </w:r>
      <w:r w:rsidR="00B055E7">
        <w:rPr>
          <w:rFonts w:eastAsiaTheme="minorHAnsi" w:cs="Arial"/>
          <w:lang w:eastAsia="en-US"/>
        </w:rPr>
        <w:t xml:space="preserve"> This project </w:t>
      </w:r>
      <w:r w:rsidR="00390B30" w:rsidRPr="00390B30">
        <w:rPr>
          <w:rFonts w:eastAsiaTheme="minorHAnsi" w:cs="Arial"/>
          <w:lang w:eastAsia="en-US"/>
        </w:rPr>
        <w:t xml:space="preserve">assists businesses and organisations to conduct a </w:t>
      </w:r>
      <w:r w:rsidR="00390B30" w:rsidRPr="00390B30">
        <w:rPr>
          <w:rFonts w:eastAsia="Batang"/>
          <w:lang w:eastAsia="en-US"/>
        </w:rPr>
        <w:t xml:space="preserve">psychosocial risk assessment measuring how different workplace characteristics influence worker health and wellbeing. It </w:t>
      </w:r>
      <w:r w:rsidR="00390B30" w:rsidRPr="00390B30">
        <w:rPr>
          <w:rFonts w:cs="Arial"/>
          <w:color w:val="000000"/>
        </w:rPr>
        <w:t>focuses particularly on risks to psychological health.</w:t>
      </w:r>
    </w:p>
    <w:p w:rsidR="00390B30" w:rsidRPr="00390B30" w:rsidRDefault="00390B30" w:rsidP="00390B30">
      <w:pPr>
        <w:tabs>
          <w:tab w:val="left" w:pos="966"/>
        </w:tabs>
        <w:spacing w:before="120"/>
        <w:rPr>
          <w:rFonts w:eastAsiaTheme="minorHAnsi" w:cs="Arial"/>
          <w:lang w:eastAsia="en-US"/>
        </w:rPr>
      </w:pPr>
      <w:proofErr w:type="spellStart"/>
      <w:r w:rsidRPr="002777C8">
        <w:rPr>
          <w:rFonts w:eastAsiaTheme="minorHAnsi" w:cs="Arial"/>
          <w:lang w:eastAsia="en-US"/>
        </w:rPr>
        <w:lastRenderedPageBreak/>
        <w:t>Comcare’s</w:t>
      </w:r>
      <w:proofErr w:type="spellEnd"/>
      <w:r w:rsidRPr="002777C8">
        <w:rPr>
          <w:rFonts w:eastAsiaTheme="minorHAnsi" w:cs="Arial"/>
          <w:lang w:eastAsia="en-US"/>
        </w:rPr>
        <w:t xml:space="preserve"> </w:t>
      </w:r>
      <w:hyperlink r:id="rId123" w:history="1">
        <w:proofErr w:type="gramStart"/>
        <w:r w:rsidR="008D6941" w:rsidRPr="009C6334">
          <w:rPr>
            <w:rStyle w:val="Hyperlink"/>
            <w:rFonts w:eastAsiaTheme="minorHAnsi" w:cs="Arial"/>
            <w:i/>
            <w:lang w:eastAsia="en-US"/>
          </w:rPr>
          <w:t>Preventing</w:t>
        </w:r>
        <w:proofErr w:type="gramEnd"/>
        <w:r w:rsidRPr="009C6334">
          <w:rPr>
            <w:rStyle w:val="Hyperlink"/>
            <w:rFonts w:eastAsiaTheme="minorHAnsi" w:cs="Arial"/>
            <w:i/>
            <w:iCs/>
            <w:lang w:eastAsia="en-US"/>
          </w:rPr>
          <w:t xml:space="preserve"> psychological injuries in the workplace</w:t>
        </w:r>
      </w:hyperlink>
      <w:r w:rsidRPr="003567E0" w:rsidDel="004B54DF">
        <w:rPr>
          <w:rFonts w:eastAsiaTheme="minorHAnsi" w:cs="Arial"/>
          <w:i/>
          <w:iCs/>
          <w:color w:val="0000FF"/>
          <w:lang w:eastAsia="en-US"/>
        </w:rPr>
        <w:t xml:space="preserve"> </w:t>
      </w:r>
      <w:r w:rsidRPr="002777C8">
        <w:rPr>
          <w:rFonts w:eastAsiaTheme="minorHAnsi" w:cs="Arial"/>
          <w:lang w:eastAsia="en-US"/>
        </w:rPr>
        <w:t>campaign continues to work to promote</w:t>
      </w:r>
      <w:r w:rsidRPr="002777C8">
        <w:t xml:space="preserve"> better risk management,</w:t>
      </w:r>
      <w:r w:rsidRPr="002777C8">
        <w:rPr>
          <w:rFonts w:eastAsiaTheme="minorHAnsi" w:cs="Arial"/>
          <w:lang w:eastAsia="en-US"/>
        </w:rPr>
        <w:t xml:space="preserve"> and provided targeted compliance support including inspections, audits and best practice forums.</w:t>
      </w:r>
    </w:p>
    <w:p w:rsidR="00390B30" w:rsidRPr="00390B30" w:rsidRDefault="00390B30" w:rsidP="0096720E">
      <w:pPr>
        <w:pStyle w:val="Heading3"/>
        <w:rPr>
          <w:sz w:val="24"/>
        </w:rPr>
      </w:pPr>
      <w:bookmarkStart w:id="8" w:name="_Toc384372888"/>
      <w:r w:rsidRPr="008D6941">
        <w:t>Why are cancers a priority</w:t>
      </w:r>
      <w:r w:rsidRPr="008D6941">
        <w:rPr>
          <w:sz w:val="24"/>
        </w:rPr>
        <w:t>?</w:t>
      </w:r>
      <w:bookmarkEnd w:id="8"/>
      <w:r w:rsidRPr="00390B30">
        <w:rPr>
          <w:sz w:val="24"/>
        </w:rPr>
        <w:t xml:space="preserve"> </w:t>
      </w:r>
    </w:p>
    <w:p w:rsidR="00390B30" w:rsidRPr="00390B30" w:rsidRDefault="00390B30" w:rsidP="00AE6657">
      <w:pPr>
        <w:tabs>
          <w:tab w:val="left" w:pos="966"/>
        </w:tabs>
      </w:pPr>
      <w:r w:rsidRPr="00390B30">
        <w:t xml:space="preserve">“Cancer” is a term for diseases in which abnormal cells multiply without control. The term is used to encompass a range of diseases </w:t>
      </w:r>
      <w:r w:rsidR="00AE6657" w:rsidRPr="002777C8">
        <w:t>such as mesothelioma, melanoma or lung cancer.</w:t>
      </w:r>
      <w:r w:rsidRPr="002777C8">
        <w:t xml:space="preserve"> </w:t>
      </w:r>
    </w:p>
    <w:p w:rsidR="00390B30" w:rsidRPr="00390B30" w:rsidRDefault="00390B30" w:rsidP="00390B30">
      <w:pPr>
        <w:tabs>
          <w:tab w:val="left" w:pos="966"/>
        </w:tabs>
      </w:pPr>
      <w:r w:rsidRPr="00390B30">
        <w:t>There is currently no available data on the real magnitude of occupational cancers in Australia. Because of difficulties in proving causation, and the long lag time between occupational exposures and disease diagnosis very few cancers are reported to compensation authorities. Therefore to estimate the rates of occupational cancer indirect methods which determine what proportion of known cancers might be due to occupational causes are used.</w:t>
      </w:r>
    </w:p>
    <w:p w:rsidR="00390B30" w:rsidRDefault="00DA29E7" w:rsidP="00DA29E7">
      <w:pPr>
        <w:tabs>
          <w:tab w:val="left" w:pos="966"/>
        </w:tabs>
      </w:pPr>
      <w:r>
        <w:t>T</w:t>
      </w:r>
      <w:r w:rsidR="00390B30" w:rsidRPr="00390B30">
        <w:t xml:space="preserve">he </w:t>
      </w:r>
      <w:hyperlink r:id="rId124" w:history="1">
        <w:r w:rsidR="00390B30" w:rsidRPr="00390B30">
          <w:rPr>
            <w:color w:val="0000FF"/>
            <w:u w:val="single"/>
          </w:rPr>
          <w:t>2006 report</w:t>
        </w:r>
      </w:hyperlink>
      <w:r w:rsidR="00390B30" w:rsidRPr="00390B30">
        <w:t xml:space="preserve"> </w:t>
      </w:r>
      <w:r w:rsidR="00AE6657">
        <w:t>on occupational cancer in Australia</w:t>
      </w:r>
      <w:r>
        <w:t xml:space="preserve"> estimated that occupation was responsible for</w:t>
      </w:r>
      <w:r w:rsidR="00390B30" w:rsidRPr="00390B30">
        <w:t xml:space="preserve"> about 11</w:t>
      </w:r>
      <w:r w:rsidR="001311F2">
        <w:t> per cent</w:t>
      </w:r>
      <w:r w:rsidR="00390B30" w:rsidRPr="00390B30">
        <w:t xml:space="preserve"> of </w:t>
      </w:r>
      <w:r w:rsidR="00390B30" w:rsidRPr="006B2E80">
        <w:t xml:space="preserve">incident cancers </w:t>
      </w:r>
      <w:r w:rsidR="00390B30" w:rsidRPr="00390B30">
        <w:t>in males and 2</w:t>
      </w:r>
      <w:r w:rsidR="001311F2">
        <w:t> per cent</w:t>
      </w:r>
      <w:r w:rsidR="00390B30" w:rsidRPr="00390B30">
        <w:t xml:space="preserve"> in females. This equates to about 5000 cancers a year. It was also estimated approximately 1.5 million workers in Australia were potentially exposed to carcinogens at work. </w:t>
      </w:r>
    </w:p>
    <w:p w:rsidR="00390B30" w:rsidRPr="00390B30" w:rsidRDefault="00390B30" w:rsidP="00390B30">
      <w:pPr>
        <w:tabs>
          <w:tab w:val="left" w:pos="966"/>
        </w:tabs>
      </w:pPr>
      <w:r w:rsidRPr="00390B30">
        <w:t xml:space="preserve">The incidence rate of workers’ compensation claims for occupational cancer peaked in 2003–04 at 66 claims per million employees and then declined to 49 claims per million employees in 2010–11. This reflected a similar pattern in the incidence rates for skin cancers which was the single largest cancer category for which claims are made. </w:t>
      </w:r>
    </w:p>
    <w:p w:rsidR="000C1127" w:rsidRDefault="00390B30" w:rsidP="00390B30">
      <w:pPr>
        <w:tabs>
          <w:tab w:val="left" w:pos="966"/>
        </w:tabs>
        <w:rPr>
          <w:noProof/>
        </w:rPr>
      </w:pPr>
      <w:r w:rsidRPr="00390B30">
        <w:t>The latest data from</w:t>
      </w:r>
      <w:r w:rsidR="00E75542">
        <w:t xml:space="preserve"> the</w:t>
      </w:r>
      <w:r w:rsidRPr="00390B30">
        <w:t xml:space="preserve"> </w:t>
      </w:r>
      <w:hyperlink r:id="rId125" w:history="1">
        <w:r w:rsidR="00E75542" w:rsidRPr="00E75542">
          <w:rPr>
            <w:rStyle w:val="Hyperlink"/>
          </w:rPr>
          <w:t>occupational indicators report</w:t>
        </w:r>
      </w:hyperlink>
      <w:r w:rsidR="006B2E80">
        <w:t xml:space="preserve"> </w:t>
      </w:r>
      <w:r w:rsidRPr="00390B30">
        <w:t>found occupations with the highest rates of workers’ compensation claims over the three-year period 2006–07 to 2008–09 for cancers include: Railway labourers; Electrical distribution tradespersons; Freight and furniture handlers (these included Stevedores); Sea transport professionals; Communications tradespersons;</w:t>
      </w:r>
      <w:r w:rsidR="006B2E80">
        <w:t xml:space="preserve"> </w:t>
      </w:r>
      <w:r w:rsidRPr="00390B30">
        <w:t>Gardeners; Carpentry and joinery tradespersons; Plumbers; Truck drivers and Electricians.</w:t>
      </w:r>
      <w:r w:rsidR="000C1127" w:rsidRPr="000C1127">
        <w:rPr>
          <w:noProof/>
        </w:rPr>
        <w:t xml:space="preserve"> </w:t>
      </w:r>
    </w:p>
    <w:p w:rsidR="00160B35" w:rsidRPr="00160B35" w:rsidRDefault="00160B35" w:rsidP="00160B35">
      <w:pPr>
        <w:pStyle w:val="breakoutbox"/>
        <w:rPr>
          <w:b/>
        </w:rPr>
      </w:pPr>
      <w:r w:rsidRPr="00160B35">
        <w:rPr>
          <w:b/>
        </w:rPr>
        <w:lastRenderedPageBreak/>
        <w:t>Report</w:t>
      </w:r>
    </w:p>
    <w:p w:rsidR="00390B30" w:rsidRPr="00160B35" w:rsidRDefault="00160B35" w:rsidP="00160B35">
      <w:pPr>
        <w:pStyle w:val="breakoutbox"/>
      </w:pPr>
      <w:r w:rsidRPr="003567E0">
        <w:t xml:space="preserve">Check out the full report on the Safe Work Australia website: </w:t>
      </w:r>
      <w:hyperlink r:id="rId126" w:history="1">
        <w:r w:rsidRPr="003567E0">
          <w:rPr>
            <w:rStyle w:val="Hyperlink"/>
            <w:i/>
            <w:szCs w:val="20"/>
          </w:rPr>
          <w:t>Occupational Disease Indicators 2012</w:t>
        </w:r>
      </w:hyperlink>
    </w:p>
    <w:p w:rsidR="00390B30" w:rsidRPr="00390B30" w:rsidRDefault="00390B30" w:rsidP="0096720E">
      <w:pPr>
        <w:pStyle w:val="Heading3"/>
      </w:pPr>
      <w:r w:rsidRPr="00390B30">
        <w:t xml:space="preserve">What is being done? </w:t>
      </w:r>
    </w:p>
    <w:p w:rsidR="00390B30" w:rsidRPr="00390B30" w:rsidRDefault="00390B30" w:rsidP="00390B30">
      <w:pPr>
        <w:tabs>
          <w:tab w:val="left" w:pos="966"/>
        </w:tabs>
      </w:pPr>
      <w:r w:rsidRPr="00390B30">
        <w:t>Over the last few decades the</w:t>
      </w:r>
      <w:r w:rsidR="009A4C53">
        <w:t xml:space="preserve"> </w:t>
      </w:r>
      <w:r w:rsidRPr="00390B30">
        <w:t xml:space="preserve">WHS regulators have invested considerable efforts to increase workplace and community awareness of the need to prevent exposure to workplace carcinogens.  </w:t>
      </w:r>
    </w:p>
    <w:p w:rsidR="00390B30" w:rsidRPr="00390B30" w:rsidRDefault="00390B30" w:rsidP="00DA29E7">
      <w:pPr>
        <w:tabs>
          <w:tab w:val="left" w:pos="966"/>
        </w:tabs>
        <w:rPr>
          <w:rFonts w:cs="Arial"/>
          <w:color w:val="464646"/>
          <w:sz w:val="19"/>
          <w:szCs w:val="19"/>
        </w:rPr>
      </w:pPr>
      <w:r w:rsidRPr="00390B30">
        <w:t xml:space="preserve">In 2012 the </w:t>
      </w:r>
      <w:hyperlink r:id="rId127" w:history="1">
        <w:r w:rsidR="009A4C53" w:rsidRPr="005E3C15">
          <w:rPr>
            <w:rStyle w:val="Hyperlink"/>
          </w:rPr>
          <w:t>m</w:t>
        </w:r>
        <w:r w:rsidRPr="005E3C15">
          <w:rPr>
            <w:rStyle w:val="Hyperlink"/>
          </w:rPr>
          <w:t xml:space="preserve">odel Code of Practice </w:t>
        </w:r>
        <w:r w:rsidRPr="005E3C15">
          <w:rPr>
            <w:rStyle w:val="Hyperlink"/>
            <w:i/>
          </w:rPr>
          <w:t>Managing Risks of Hazardous Chemicals in the Workplace</w:t>
        </w:r>
      </w:hyperlink>
      <w:r w:rsidRPr="00390B30">
        <w:t xml:space="preserve"> was released</w:t>
      </w:r>
      <w:r w:rsidR="00DA29E7">
        <w:t>.  It provides</w:t>
      </w:r>
      <w:r w:rsidRPr="00390B30">
        <w:t xml:space="preserve"> practical guidance and </w:t>
      </w:r>
      <w:r w:rsidR="00DA29E7">
        <w:t>supports</w:t>
      </w:r>
      <w:r w:rsidR="00DA29E7" w:rsidRPr="00390B30">
        <w:t xml:space="preserve"> </w:t>
      </w:r>
      <w:r w:rsidRPr="00390B30">
        <w:t xml:space="preserve">the </w:t>
      </w:r>
      <w:r w:rsidR="002D2B28">
        <w:t xml:space="preserve">WHS </w:t>
      </w:r>
      <w:r w:rsidRPr="00390B30">
        <w:t xml:space="preserve">regulations and guidance material on hazardous workplace chemicals produced by the </w:t>
      </w:r>
      <w:r w:rsidR="002D2B28">
        <w:t>WHS r</w:t>
      </w:r>
      <w:r w:rsidRPr="00390B30">
        <w:t>egulators.</w:t>
      </w:r>
    </w:p>
    <w:p w:rsidR="00390B30" w:rsidRPr="00390B30" w:rsidRDefault="00390B30" w:rsidP="00DA29E7">
      <w:pPr>
        <w:tabs>
          <w:tab w:val="left" w:pos="966"/>
        </w:tabs>
      </w:pPr>
      <w:r w:rsidRPr="00390B30">
        <w:t>The ongoing work of the regulators, S</w:t>
      </w:r>
      <w:r w:rsidR="009A4C53">
        <w:t xml:space="preserve">afe </w:t>
      </w:r>
      <w:r w:rsidRPr="00390B30">
        <w:t>W</w:t>
      </w:r>
      <w:r w:rsidR="009A4C53">
        <w:t xml:space="preserve">ork </w:t>
      </w:r>
      <w:r w:rsidRPr="00390B30">
        <w:t>A</w:t>
      </w:r>
      <w:r w:rsidR="009A4C53">
        <w:t>ustralia</w:t>
      </w:r>
      <w:r w:rsidRPr="00390B30">
        <w:t>, industry</w:t>
      </w:r>
      <w:r w:rsidR="00126205">
        <w:t xml:space="preserve"> WHS</w:t>
      </w:r>
      <w:r w:rsidRPr="00390B30">
        <w:t xml:space="preserve"> and union representatives and community advocacy groups </w:t>
      </w:r>
      <w:r w:rsidR="00DA29E7">
        <w:t>in</w:t>
      </w:r>
      <w:r w:rsidR="00DA29E7" w:rsidRPr="00390B30">
        <w:t xml:space="preserve"> </w:t>
      </w:r>
      <w:r w:rsidRPr="00390B30">
        <w:t>preventing exposure to hazardous chemicals is well illustrated</w:t>
      </w:r>
      <w:r w:rsidR="00126205">
        <w:t xml:space="preserve"> on their respective websites</w:t>
      </w:r>
      <w:r w:rsidR="002D2B28">
        <w:t>.</w:t>
      </w:r>
      <w:r w:rsidR="00DA29E7">
        <w:t xml:space="preserve"> </w:t>
      </w:r>
    </w:p>
    <w:p w:rsidR="00390B30" w:rsidRPr="003567E0" w:rsidRDefault="00390B30" w:rsidP="0096720E">
      <w:pPr>
        <w:pStyle w:val="Heading3"/>
      </w:pPr>
      <w:r w:rsidRPr="003567E0">
        <w:t>Focus on Mesothelioma</w:t>
      </w:r>
    </w:p>
    <w:p w:rsidR="00390B30" w:rsidRDefault="00390B30" w:rsidP="00DA29E7">
      <w:pPr>
        <w:tabs>
          <w:tab w:val="left" w:pos="966"/>
        </w:tabs>
      </w:pPr>
      <w:r w:rsidRPr="00FD062D">
        <w:t xml:space="preserve">Mesothelioma is a cancer caused by exposure to asbestos. Because Australia was previously </w:t>
      </w:r>
      <w:r w:rsidR="00DA29E7">
        <w:t>a major</w:t>
      </w:r>
      <w:r w:rsidRPr="00FD062D">
        <w:t xml:space="preserve"> producer and user of asbestos we have high rates of mesothelioma and asbestosis. </w:t>
      </w:r>
    </w:p>
    <w:p w:rsidR="00160B35" w:rsidRPr="00160B35" w:rsidRDefault="00160B35" w:rsidP="00160B35">
      <w:pPr>
        <w:pStyle w:val="breakoutbox"/>
        <w:rPr>
          <w:b/>
        </w:rPr>
      </w:pPr>
      <w:r w:rsidRPr="00160B35">
        <w:rPr>
          <w:b/>
        </w:rPr>
        <w:t>Fact</w:t>
      </w:r>
    </w:p>
    <w:p w:rsidR="009A4C53" w:rsidRPr="00FD062D" w:rsidRDefault="00160B35" w:rsidP="00160B35">
      <w:pPr>
        <w:pStyle w:val="breakoutbox"/>
      </w:pPr>
      <w:r w:rsidRPr="003567E0">
        <w:t>The manufacturing of asbestos was banned in 1983 in Australia. It was in use in Australia until the end of 2002.</w:t>
      </w:r>
    </w:p>
    <w:p w:rsidR="00390B30" w:rsidRPr="00FD062D" w:rsidRDefault="00390B30" w:rsidP="00390B30">
      <w:pPr>
        <w:tabs>
          <w:tab w:val="left" w:pos="966"/>
        </w:tabs>
      </w:pPr>
      <w:r w:rsidRPr="00FD062D">
        <w:t xml:space="preserve">The incidence rate of mesothelioma per million </w:t>
      </w:r>
      <w:proofErr w:type="gramStart"/>
      <w:r w:rsidRPr="00FD062D">
        <w:t>population</w:t>
      </w:r>
      <w:proofErr w:type="gramEnd"/>
      <w:r w:rsidRPr="00FD062D">
        <w:t xml:space="preserve"> has increased over time, from 12 in 1982 to a peak of 32 in 2003. In 2008, the rate of new cases of mesothelioma was 29 per million </w:t>
      </w:r>
      <w:proofErr w:type="gramStart"/>
      <w:r w:rsidR="002D2B28">
        <w:t>p</w:t>
      </w:r>
      <w:r w:rsidRPr="00FD062D">
        <w:t>opulation</w:t>
      </w:r>
      <w:proofErr w:type="gramEnd"/>
      <w:r w:rsidRPr="00FD062D">
        <w:t>. However, due to the long latency of this disease and the exposure periods to asbestos it has been estimated that this rate will continue to increase, reaching a peak in the next 10 to 15 years.</w:t>
      </w:r>
    </w:p>
    <w:p w:rsidR="00390B30" w:rsidRPr="00FD062D" w:rsidRDefault="00390B30" w:rsidP="00390B30">
      <w:pPr>
        <w:tabs>
          <w:tab w:val="left" w:pos="966"/>
        </w:tabs>
      </w:pPr>
      <w:r w:rsidRPr="00FD062D">
        <w:t>S</w:t>
      </w:r>
      <w:r w:rsidR="009A4C53">
        <w:t xml:space="preserve">afe </w:t>
      </w:r>
      <w:r w:rsidRPr="00FD062D">
        <w:t>W</w:t>
      </w:r>
      <w:r w:rsidR="009A4C53">
        <w:t xml:space="preserve">ork </w:t>
      </w:r>
      <w:r w:rsidRPr="00FD062D">
        <w:t>A</w:t>
      </w:r>
      <w:r w:rsidR="009A4C53">
        <w:t>ustralia</w:t>
      </w:r>
      <w:r w:rsidRPr="00FD062D">
        <w:t xml:space="preserve"> commenced funding the </w:t>
      </w:r>
      <w:hyperlink r:id="rId128" w:history="1">
        <w:r w:rsidRPr="00FD062D">
          <w:t>Australian Mesothelioma Registry</w:t>
        </w:r>
      </w:hyperlink>
      <w:r w:rsidRPr="00FD062D">
        <w:t xml:space="preserve"> (AMR) managed by NSW Cancer Institute to provide better data on the incidence of mesothelioma. This Registry replaces the previous Australian Mesothelioma Register </w:t>
      </w:r>
      <w:r w:rsidRPr="00FD062D">
        <w:lastRenderedPageBreak/>
        <w:t xml:space="preserve">managed by the </w:t>
      </w:r>
      <w:r w:rsidR="00DA29E7">
        <w:t xml:space="preserve">former </w:t>
      </w:r>
      <w:r w:rsidRPr="00FD062D">
        <w:t>National Occupational Health and Safety Commission (</w:t>
      </w:r>
      <w:proofErr w:type="spellStart"/>
      <w:r w:rsidRPr="00FD062D">
        <w:t>NOHSC</w:t>
      </w:r>
      <w:proofErr w:type="spellEnd"/>
      <w:r w:rsidRPr="00FD062D">
        <w:t>).</w:t>
      </w:r>
    </w:p>
    <w:p w:rsidR="00390B30" w:rsidRPr="00FD062D" w:rsidRDefault="00390B30" w:rsidP="00390B30">
      <w:pPr>
        <w:tabs>
          <w:tab w:val="left" w:pos="966"/>
        </w:tabs>
      </w:pPr>
      <w:r w:rsidRPr="00FD062D">
        <w:t xml:space="preserve">The AMR measures and monitors the incidence of mesothelioma in Australia and the mortality associated with mesothelioma. The AMR also documents the likely asbestos exposure experience of people diagnosed with mesothelioma. </w:t>
      </w:r>
    </w:p>
    <w:p w:rsidR="00F02F3D" w:rsidRDefault="00390B30" w:rsidP="00F02F3D">
      <w:pPr>
        <w:tabs>
          <w:tab w:val="left" w:pos="966"/>
        </w:tabs>
      </w:pPr>
      <w:r w:rsidRPr="00FD062D">
        <w:t xml:space="preserve">All Australian WHS regulators are providing compliance support to help prevent exposure to asbestos. </w:t>
      </w:r>
    </w:p>
    <w:p w:rsidR="00FD062D" w:rsidRDefault="00390B30" w:rsidP="00F02F3D">
      <w:pPr>
        <w:tabs>
          <w:tab w:val="left" w:pos="966"/>
        </w:tabs>
      </w:pPr>
      <w:r w:rsidRPr="00FD062D">
        <w:t xml:space="preserve">Activities in this area ranged from specific initiatives like the communication strategies on </w:t>
      </w:r>
      <w:r w:rsidR="00F5330A">
        <w:t xml:space="preserve">the </w:t>
      </w:r>
      <w:proofErr w:type="spellStart"/>
      <w:r w:rsidR="00F5330A">
        <w:t>ACT’s</w:t>
      </w:r>
      <w:proofErr w:type="spellEnd"/>
      <w:r w:rsidR="00F5330A" w:rsidRPr="00FD062D">
        <w:t xml:space="preserve"> </w:t>
      </w:r>
      <w:r w:rsidRPr="00FD062D">
        <w:t xml:space="preserve">website about safe asbestos removal for home renovators and tradesmen, to broadly focussed activities like South Australia’s </w:t>
      </w:r>
      <w:hyperlink r:id="rId129" w:history="1">
        <w:r w:rsidRPr="00FD062D">
          <w:t xml:space="preserve">Open House </w:t>
        </w:r>
      </w:hyperlink>
      <w:r w:rsidRPr="00FD062D">
        <w:t>target of 1000 workplace visits as part of its transitional educational program about the implementation of harmonised WHS legislation.</w:t>
      </w:r>
    </w:p>
    <w:p w:rsidR="00177804" w:rsidRPr="00177804" w:rsidRDefault="00177804" w:rsidP="00F02F3D">
      <w:pPr>
        <w:tabs>
          <w:tab w:val="left" w:pos="966"/>
        </w:tabs>
        <w:rPr>
          <w:i/>
          <w:sz w:val="18"/>
          <w:szCs w:val="18"/>
        </w:rPr>
      </w:pPr>
      <w:r w:rsidRPr="00177804">
        <w:rPr>
          <w:i/>
          <w:sz w:val="18"/>
          <w:szCs w:val="18"/>
        </w:rPr>
        <w:t>Note</w:t>
      </w:r>
      <w:r>
        <w:rPr>
          <w:i/>
          <w:sz w:val="18"/>
          <w:szCs w:val="18"/>
        </w:rPr>
        <w:t>:</w:t>
      </w:r>
      <w:r w:rsidRPr="00177804">
        <w:rPr>
          <w:i/>
          <w:sz w:val="18"/>
          <w:szCs w:val="18"/>
        </w:rPr>
        <w:t xml:space="preserve"> ACT </w:t>
      </w:r>
      <w:r>
        <w:rPr>
          <w:i/>
          <w:sz w:val="18"/>
          <w:szCs w:val="18"/>
        </w:rPr>
        <w:t>‘</w:t>
      </w:r>
      <w:r w:rsidRPr="00177804">
        <w:rPr>
          <w:i/>
          <w:sz w:val="18"/>
          <w:szCs w:val="18"/>
        </w:rPr>
        <w:t>Mr Fluffy</w:t>
      </w:r>
      <w:r>
        <w:rPr>
          <w:i/>
          <w:sz w:val="18"/>
          <w:szCs w:val="18"/>
        </w:rPr>
        <w:t>’</w:t>
      </w:r>
      <w:r w:rsidRPr="00177804">
        <w:rPr>
          <w:i/>
          <w:sz w:val="18"/>
          <w:szCs w:val="18"/>
        </w:rPr>
        <w:t xml:space="preserve"> activity is outside this reporting period</w:t>
      </w:r>
      <w:r>
        <w:rPr>
          <w:i/>
          <w:sz w:val="18"/>
          <w:szCs w:val="18"/>
        </w:rPr>
        <w:t>.</w:t>
      </w:r>
    </w:p>
    <w:p w:rsidR="00390B30" w:rsidRPr="00390B30" w:rsidRDefault="00390B30" w:rsidP="0096720E">
      <w:pPr>
        <w:pStyle w:val="Heading1"/>
      </w:pPr>
      <w:r w:rsidRPr="00390B30">
        <w:t>measuring progress AGainST THE TARGETS</w:t>
      </w:r>
    </w:p>
    <w:p w:rsidR="00390B30" w:rsidRPr="00390B30" w:rsidRDefault="00390B30" w:rsidP="00390B30">
      <w:pPr>
        <w:tabs>
          <w:tab w:val="left" w:pos="966"/>
        </w:tabs>
      </w:pPr>
      <w:r w:rsidRPr="00390B30">
        <w:t>The Australian Strategy sets three targets to measure the progress towards achieving the vision:</w:t>
      </w:r>
    </w:p>
    <w:p w:rsidR="00390B30" w:rsidRPr="00390B30" w:rsidRDefault="00390B30" w:rsidP="00390B30">
      <w:pPr>
        <w:numPr>
          <w:ilvl w:val="0"/>
          <w:numId w:val="42"/>
        </w:numPr>
        <w:tabs>
          <w:tab w:val="left" w:pos="966"/>
        </w:tabs>
        <w:ind w:left="480"/>
        <w:rPr>
          <w:rFonts w:eastAsia="Batang"/>
        </w:rPr>
      </w:pPr>
      <w:r w:rsidRPr="00390B30">
        <w:rPr>
          <w:rFonts w:eastAsia="Batang"/>
        </w:rPr>
        <w:t xml:space="preserve">a reduction of at least 20 per cent in the number of worker fatalities due to injury </w:t>
      </w:r>
    </w:p>
    <w:p w:rsidR="00390B30" w:rsidRPr="00390B30" w:rsidRDefault="00390B30" w:rsidP="00390B30">
      <w:pPr>
        <w:numPr>
          <w:ilvl w:val="0"/>
          <w:numId w:val="42"/>
        </w:numPr>
        <w:tabs>
          <w:tab w:val="left" w:pos="966"/>
        </w:tabs>
        <w:spacing w:before="100" w:beforeAutospacing="1"/>
        <w:ind w:left="480"/>
        <w:rPr>
          <w:rFonts w:eastAsia="Batang"/>
        </w:rPr>
      </w:pPr>
      <w:r w:rsidRPr="00390B30">
        <w:rPr>
          <w:rFonts w:eastAsia="Batang"/>
        </w:rPr>
        <w:t xml:space="preserve">a reduction of at least 30 per cent in the incidence rate of claims resulting in one or more weeks off work, and </w:t>
      </w:r>
    </w:p>
    <w:p w:rsidR="00390B30" w:rsidRPr="00390B30" w:rsidRDefault="00390B30" w:rsidP="00390B30">
      <w:pPr>
        <w:numPr>
          <w:ilvl w:val="0"/>
          <w:numId w:val="42"/>
        </w:numPr>
        <w:tabs>
          <w:tab w:val="left" w:pos="966"/>
        </w:tabs>
        <w:spacing w:before="100" w:beforeAutospacing="1"/>
        <w:ind w:left="480"/>
        <w:rPr>
          <w:rFonts w:eastAsia="Batang"/>
        </w:rPr>
      </w:pPr>
      <w:proofErr w:type="gramStart"/>
      <w:r w:rsidRPr="00390B30">
        <w:rPr>
          <w:rFonts w:eastAsia="Batang"/>
        </w:rPr>
        <w:t>a</w:t>
      </w:r>
      <w:proofErr w:type="gramEnd"/>
      <w:r w:rsidRPr="00390B30">
        <w:rPr>
          <w:rFonts w:eastAsia="Batang"/>
        </w:rPr>
        <w:t xml:space="preserve"> reduction of at least 30 per cent in the incidence rate of claims for musculoskeletal disorders resulting in one or more weeks off work.</w:t>
      </w:r>
    </w:p>
    <w:p w:rsidR="00390B30" w:rsidRPr="00390B30" w:rsidRDefault="00390B30" w:rsidP="00390B30">
      <w:pPr>
        <w:tabs>
          <w:tab w:val="left" w:pos="966"/>
        </w:tabs>
      </w:pPr>
      <w:r w:rsidRPr="00390B30">
        <w:t>A range of performance indicators will also be developed to monitor progress to</w:t>
      </w:r>
      <w:r w:rsidR="00F5330A">
        <w:t>wards</w:t>
      </w:r>
      <w:r w:rsidRPr="00390B30">
        <w:t xml:space="preserve"> Australian Strategy strategic outcomes.</w:t>
      </w:r>
    </w:p>
    <w:p w:rsidR="00390B30" w:rsidRDefault="00390B30" w:rsidP="00390B30">
      <w:pPr>
        <w:tabs>
          <w:tab w:val="left" w:pos="966"/>
        </w:tabs>
      </w:pPr>
      <w:r w:rsidRPr="00390B30">
        <w:t xml:space="preserve">In 2013 Safe Work Australia published the guide </w:t>
      </w:r>
      <w:hyperlink r:id="rId130" w:history="1">
        <w:proofErr w:type="gramStart"/>
        <w:r w:rsidRPr="00390B30">
          <w:rPr>
            <w:i/>
            <w:color w:val="1212F2"/>
            <w:u w:val="single"/>
          </w:rPr>
          <w:t>Measuring</w:t>
        </w:r>
        <w:proofErr w:type="gramEnd"/>
        <w:r w:rsidRPr="00390B30">
          <w:rPr>
            <w:i/>
            <w:color w:val="1212F2"/>
            <w:u w:val="single"/>
          </w:rPr>
          <w:t xml:space="preserve"> progress towards targets</w:t>
        </w:r>
        <w:r w:rsidRPr="00390B30">
          <w:rPr>
            <w:color w:val="1212F2"/>
            <w:u w:val="single"/>
          </w:rPr>
          <w:t xml:space="preserve"> - </w:t>
        </w:r>
        <w:r w:rsidRPr="00390B30">
          <w:rPr>
            <w:i/>
            <w:color w:val="1212F2"/>
            <w:u w:val="single"/>
          </w:rPr>
          <w:t>Reducing the incidence of work-related death, injury and illness</w:t>
        </w:r>
      </w:hyperlink>
      <w:r w:rsidRPr="00390B30">
        <w:rPr>
          <w:color w:val="002060"/>
          <w:u w:val="single"/>
        </w:rPr>
        <w:t>.</w:t>
      </w:r>
      <w:r w:rsidRPr="00390B30">
        <w:rPr>
          <w:u w:val="single"/>
        </w:rPr>
        <w:t xml:space="preserve"> </w:t>
      </w:r>
      <w:r w:rsidRPr="00390B30">
        <w:t xml:space="preserve">This explains how progress on the outcome to </w:t>
      </w:r>
      <w:r w:rsidRPr="00390B30">
        <w:rPr>
          <w:i/>
        </w:rPr>
        <w:t xml:space="preserve">reduce the incidence of work-related death, injury and </w:t>
      </w:r>
      <w:r w:rsidRPr="00390B30">
        <w:rPr>
          <w:i/>
        </w:rPr>
        <w:lastRenderedPageBreak/>
        <w:t>illness</w:t>
      </w:r>
      <w:r w:rsidRPr="00390B30">
        <w:t xml:space="preserve"> will be measured for the Australian Strategy from 2012–2022.</w:t>
      </w:r>
    </w:p>
    <w:p w:rsidR="00160B35" w:rsidRPr="00160B35" w:rsidRDefault="00160B35" w:rsidP="00160B35">
      <w:pPr>
        <w:pStyle w:val="breakoutbox"/>
        <w:rPr>
          <w:b/>
        </w:rPr>
      </w:pPr>
      <w:r w:rsidRPr="00160B35">
        <w:rPr>
          <w:b/>
        </w:rPr>
        <w:t>For information</w:t>
      </w:r>
    </w:p>
    <w:p w:rsidR="00160B35" w:rsidRPr="00177804" w:rsidRDefault="00160B35" w:rsidP="00160B35">
      <w:pPr>
        <w:pStyle w:val="breakoutbox"/>
      </w:pPr>
      <w:r w:rsidRPr="00177804">
        <w:t>Data to measure the progress for the new Australian Strategy won’t be available until mid-2014. Until then the metrics developed for the National OHS Strategy 2002–2012 will continue to be used.</w:t>
      </w:r>
    </w:p>
    <w:p w:rsidR="002D2948" w:rsidRPr="00390B30" w:rsidRDefault="002D2948" w:rsidP="00390B30">
      <w:pPr>
        <w:tabs>
          <w:tab w:val="left" w:pos="966"/>
        </w:tabs>
      </w:pPr>
    </w:p>
    <w:p w:rsidR="00F5330A" w:rsidRPr="00F02F3D" w:rsidRDefault="00390B30" w:rsidP="0096720E">
      <w:pPr>
        <w:pStyle w:val="Heading3"/>
      </w:pPr>
      <w:r w:rsidRPr="00F02F3D">
        <w:t>Fatality target</w:t>
      </w:r>
    </w:p>
    <w:p w:rsidR="00390B30" w:rsidRPr="00390B30" w:rsidRDefault="00390B30" w:rsidP="00390B30">
      <w:pPr>
        <w:tabs>
          <w:tab w:val="left" w:pos="966"/>
        </w:tabs>
      </w:pPr>
      <w:r w:rsidRPr="00390B30">
        <w:t>Reduce the number of worker fatalities by at least 20</w:t>
      </w:r>
      <w:r w:rsidR="001311F2">
        <w:t> per cent</w:t>
      </w:r>
      <w:r w:rsidRPr="00390B30">
        <w:t>.</w:t>
      </w:r>
    </w:p>
    <w:p w:rsidR="00390B30" w:rsidRPr="00390B30" w:rsidRDefault="00390B30" w:rsidP="00390B30">
      <w:pPr>
        <w:tabs>
          <w:tab w:val="left" w:pos="966"/>
        </w:tabs>
      </w:pPr>
      <w:r w:rsidRPr="00390B30">
        <w:t>The starting point for the fatality target is the average number of fatalities over the four year period 2007-2010, which equates to 268 fatalities. A 20</w:t>
      </w:r>
      <w:r w:rsidR="001311F2">
        <w:t> per cent</w:t>
      </w:r>
      <w:r w:rsidRPr="00390B30">
        <w:t xml:space="preserve"> reduction requires there to be no more than 214 fatalities in 2022. </w:t>
      </w:r>
    </w:p>
    <w:p w:rsidR="00390B30" w:rsidRPr="00390B30" w:rsidRDefault="00390B30" w:rsidP="00390B30">
      <w:pPr>
        <w:tabs>
          <w:tab w:val="left" w:pos="966"/>
        </w:tabs>
      </w:pPr>
      <w:r w:rsidRPr="00390B30">
        <w:t xml:space="preserve">A three year rolling average will be used to measure progress towards this target. This will restrict the impact of year to year volatility in fatality numbers on the outcome of this target. Measurement will be completed in 2023 when the 2022 data is finalised. </w:t>
      </w:r>
    </w:p>
    <w:p w:rsidR="00390B30" w:rsidRPr="00390B30" w:rsidRDefault="00390B30" w:rsidP="00390B30">
      <w:pPr>
        <w:tabs>
          <w:tab w:val="left" w:pos="966"/>
        </w:tabs>
      </w:pPr>
      <w:r w:rsidRPr="00390B30">
        <w:t>The Australian Strategy fatality target will be measured using the Traumatic Injury Fatality (</w:t>
      </w:r>
      <w:proofErr w:type="spellStart"/>
      <w:r w:rsidRPr="00390B30">
        <w:t>TIF</w:t>
      </w:r>
      <w:proofErr w:type="spellEnd"/>
      <w:r w:rsidRPr="00390B30">
        <w:t xml:space="preserve">) data collection. This is different to the previous National OHS Strategy where the fatality target was restricted to compensated injury-fatalities. </w:t>
      </w:r>
    </w:p>
    <w:p w:rsidR="00390B30" w:rsidRPr="00390B30" w:rsidRDefault="00390B30" w:rsidP="00F5330A">
      <w:pPr>
        <w:tabs>
          <w:tab w:val="left" w:pos="966"/>
        </w:tabs>
      </w:pPr>
      <w:r w:rsidRPr="00390B30">
        <w:t xml:space="preserve">The </w:t>
      </w:r>
      <w:proofErr w:type="spellStart"/>
      <w:r w:rsidRPr="00390B30">
        <w:t>TIF</w:t>
      </w:r>
      <w:proofErr w:type="spellEnd"/>
      <w:r w:rsidRPr="00390B30">
        <w:t xml:space="preserve"> collection provides a more complete and accurate catalogue of work-related injury-fatalities as it includes </w:t>
      </w:r>
      <w:r w:rsidR="00F5330A">
        <w:t>the deaths</w:t>
      </w:r>
      <w:r w:rsidR="00F5330A" w:rsidRPr="00390B30">
        <w:t xml:space="preserve"> </w:t>
      </w:r>
      <w:r w:rsidRPr="00390B30">
        <w:t xml:space="preserve">of workers who were not covered by workers’ compensation schemes (the self-employed) and those not eligible for compensation because they </w:t>
      </w:r>
      <w:r w:rsidR="00F5330A">
        <w:t>had no surviving</w:t>
      </w:r>
      <w:r w:rsidRPr="00390B30">
        <w:t xml:space="preserve"> dependents to make a claim.</w:t>
      </w:r>
    </w:p>
    <w:p w:rsidR="00390B30" w:rsidRPr="00177804" w:rsidRDefault="00390B30" w:rsidP="00390B30">
      <w:pPr>
        <w:tabs>
          <w:tab w:val="left" w:pos="966"/>
        </w:tabs>
        <w:rPr>
          <w:color w:val="FF0000"/>
          <w:sz w:val="20"/>
          <w:szCs w:val="20"/>
        </w:rPr>
      </w:pPr>
      <w:r w:rsidRPr="00177804">
        <w:rPr>
          <w:b/>
        </w:rPr>
        <w:t>Figure 2</w:t>
      </w:r>
      <w:r w:rsidRPr="00390B30">
        <w:t xml:space="preserve">: </w:t>
      </w:r>
      <w:r w:rsidRPr="00177804">
        <w:rPr>
          <w:sz w:val="20"/>
          <w:szCs w:val="20"/>
        </w:rPr>
        <w:t>Shows the three year rolling average number of fatalities 2003-05 to 2010-12 and reduction required to meet fatality target.</w:t>
      </w:r>
    </w:p>
    <w:p w:rsidR="00390B30" w:rsidRPr="00390B30" w:rsidRDefault="00390B30" w:rsidP="00390B30">
      <w:pPr>
        <w:tabs>
          <w:tab w:val="left" w:pos="966"/>
        </w:tabs>
      </w:pPr>
      <w:r w:rsidRPr="00390B30">
        <w:rPr>
          <w:noProof/>
        </w:rPr>
        <w:lastRenderedPageBreak/>
        <w:drawing>
          <wp:inline distT="0" distB="0" distL="0" distR="0" wp14:anchorId="600F4ECE" wp14:editId="464F2C46">
            <wp:extent cx="3095625" cy="1781175"/>
            <wp:effectExtent l="19050" t="19050" r="28575" b="28575"/>
            <wp:docPr id="9" name="Picture 9" title="Figure 2: Shows the three year rolling average number of fatalities 2003-05 to 2010-12 and reduction required to meet fatality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097775" cy="1782412"/>
                    </a:xfrm>
                    <a:prstGeom prst="rect">
                      <a:avLst/>
                    </a:prstGeom>
                    <a:noFill/>
                    <a:ln>
                      <a:solidFill>
                        <a:schemeClr val="tx1"/>
                      </a:solidFill>
                    </a:ln>
                  </pic:spPr>
                </pic:pic>
              </a:graphicData>
            </a:graphic>
          </wp:inline>
        </w:drawing>
      </w:r>
    </w:p>
    <w:p w:rsidR="00390B30" w:rsidRPr="00F02F3D" w:rsidRDefault="00390B30" w:rsidP="0096720E">
      <w:pPr>
        <w:pStyle w:val="Heading3"/>
      </w:pPr>
      <w:r w:rsidRPr="00F02F3D">
        <w:t xml:space="preserve">Serious workers’ compensation claims targets </w:t>
      </w:r>
    </w:p>
    <w:p w:rsidR="00390B30" w:rsidRPr="00390B30" w:rsidRDefault="00390B30" w:rsidP="00390B30">
      <w:pPr>
        <w:numPr>
          <w:ilvl w:val="0"/>
          <w:numId w:val="14"/>
        </w:numPr>
        <w:tabs>
          <w:tab w:val="left" w:pos="966"/>
        </w:tabs>
        <w:contextualSpacing/>
      </w:pPr>
      <w:r w:rsidRPr="00390B30">
        <w:t>Reduce the incidence rate of claims involving one or more weeks off work by at least 30 percent.</w:t>
      </w:r>
    </w:p>
    <w:p w:rsidR="00390B30" w:rsidRPr="00390B30" w:rsidRDefault="00390B30" w:rsidP="00F02F3D">
      <w:pPr>
        <w:numPr>
          <w:ilvl w:val="0"/>
          <w:numId w:val="14"/>
        </w:numPr>
        <w:tabs>
          <w:tab w:val="left" w:pos="966"/>
        </w:tabs>
        <w:spacing w:before="240"/>
        <w:contextualSpacing/>
      </w:pPr>
      <w:r w:rsidRPr="00390B30">
        <w:t>Reduce the incidence rate of claims for musculoskeletal disorders resulting in one or more weeks off work by at least 30 percent.</w:t>
      </w:r>
    </w:p>
    <w:p w:rsidR="00390B30" w:rsidRPr="00390B30" w:rsidRDefault="00390B30" w:rsidP="00F02F3D">
      <w:pPr>
        <w:tabs>
          <w:tab w:val="left" w:pos="966"/>
        </w:tabs>
        <w:spacing w:before="240"/>
      </w:pPr>
      <w:r w:rsidRPr="00390B30">
        <w:t xml:space="preserve">It is still too early to determine the starting (base period) incidence rates and therefore the end point incidence rates for these targets as the 2011-12 </w:t>
      </w:r>
      <w:r w:rsidR="00F5330A">
        <w:t>W</w:t>
      </w:r>
      <w:r w:rsidRPr="00390B30">
        <w:t xml:space="preserve">orkers’ </w:t>
      </w:r>
      <w:r w:rsidR="00F5330A">
        <w:t>C</w:t>
      </w:r>
      <w:r w:rsidRPr="00390B30">
        <w:t>ompensation National Data Set (</w:t>
      </w:r>
      <w:proofErr w:type="spellStart"/>
      <w:r w:rsidRPr="00390B30">
        <w:t>NDS</w:t>
      </w:r>
      <w:proofErr w:type="spellEnd"/>
      <w:r w:rsidRPr="00390B30">
        <w:t xml:space="preserve">) data will not be finalised until mid to late 2014. So progress against these targets will be measured by comparing progressive annual incidence rates to the base period rate. </w:t>
      </w:r>
    </w:p>
    <w:p w:rsidR="00160B35" w:rsidRPr="00160B35" w:rsidRDefault="00160B35" w:rsidP="00160B35">
      <w:pPr>
        <w:pStyle w:val="breakoutbox"/>
        <w:rPr>
          <w:b/>
        </w:rPr>
      </w:pPr>
      <w:r w:rsidRPr="00160B35">
        <w:rPr>
          <w:b/>
        </w:rPr>
        <w:t>For information</w:t>
      </w:r>
    </w:p>
    <w:p w:rsidR="002D2948" w:rsidRDefault="00160B35" w:rsidP="00160B35">
      <w:pPr>
        <w:pStyle w:val="breakoutbox"/>
      </w:pPr>
      <w:r w:rsidRPr="00177804">
        <w:t>As comparisons should be made using final rather than preliminary data, the first comparison data point for the year 2012-13 will not be available until mid to late 2015.</w:t>
      </w:r>
    </w:p>
    <w:p w:rsidR="00390B30" w:rsidRPr="00390B30" w:rsidRDefault="00390B30" w:rsidP="00390B30">
      <w:pPr>
        <w:tabs>
          <w:tab w:val="left" w:pos="966"/>
        </w:tabs>
      </w:pPr>
      <w:r w:rsidRPr="00390B30">
        <w:t>However, the preliminary data for 2011-12 indicate employees in Australia made:</w:t>
      </w:r>
    </w:p>
    <w:p w:rsidR="00390B30" w:rsidRPr="00390B30" w:rsidRDefault="00390B30" w:rsidP="00390B30">
      <w:pPr>
        <w:numPr>
          <w:ilvl w:val="0"/>
          <w:numId w:val="16"/>
        </w:numPr>
        <w:tabs>
          <w:tab w:val="left" w:pos="966"/>
        </w:tabs>
        <w:contextualSpacing/>
      </w:pPr>
      <w:r w:rsidRPr="00390B30">
        <w:t>128 050 serious workers’ compensation claims, which is equivalent to 12.2 serious claims per 1000 employees.</w:t>
      </w:r>
    </w:p>
    <w:p w:rsidR="00390B30" w:rsidRPr="00390B30" w:rsidRDefault="00390B30" w:rsidP="00390B30">
      <w:pPr>
        <w:numPr>
          <w:ilvl w:val="0"/>
          <w:numId w:val="16"/>
        </w:numPr>
        <w:tabs>
          <w:tab w:val="left" w:pos="966"/>
        </w:tabs>
        <w:contextualSpacing/>
      </w:pPr>
      <w:r w:rsidRPr="00390B30">
        <w:t>17 595 serious workers’ compensation claims for musculoskeletal disorders, which is equivalent to 1.7 serious musculoskeletal disorder claims per 1000 employees.</w:t>
      </w:r>
    </w:p>
    <w:p w:rsidR="00390B30" w:rsidRPr="00390B30" w:rsidRDefault="00390B30" w:rsidP="00390B30">
      <w:pPr>
        <w:tabs>
          <w:tab w:val="left" w:pos="966"/>
        </w:tabs>
        <w:rPr>
          <w:i/>
          <w:sz w:val="18"/>
        </w:rPr>
      </w:pPr>
      <w:r w:rsidRPr="00390B30">
        <w:rPr>
          <w:i/>
          <w:sz w:val="18"/>
        </w:rPr>
        <w:t>Note: These figures are preliminary and expected to rise by about 3</w:t>
      </w:r>
      <w:r w:rsidR="001311F2">
        <w:rPr>
          <w:i/>
          <w:sz w:val="18"/>
        </w:rPr>
        <w:t> per cent</w:t>
      </w:r>
      <w:r w:rsidRPr="00390B30">
        <w:rPr>
          <w:i/>
          <w:sz w:val="18"/>
        </w:rPr>
        <w:t xml:space="preserve"> as claims are finalised.</w:t>
      </w:r>
    </w:p>
    <w:p w:rsidR="00390B30" w:rsidRPr="00390B30" w:rsidRDefault="00F5330A" w:rsidP="00F5330A">
      <w:pPr>
        <w:tabs>
          <w:tab w:val="left" w:pos="966"/>
        </w:tabs>
      </w:pPr>
      <w:r>
        <w:t>T</w:t>
      </w:r>
      <w:r w:rsidR="00390B30" w:rsidRPr="00390B30">
        <w:t>he Australian Strategy</w:t>
      </w:r>
      <w:r>
        <w:t xml:space="preserve"> defines</w:t>
      </w:r>
      <w:r w:rsidR="00390B30" w:rsidRPr="00390B30">
        <w:t xml:space="preserve"> serious claims </w:t>
      </w:r>
      <w:r>
        <w:t>as</w:t>
      </w:r>
      <w:r w:rsidRPr="00390B30">
        <w:t xml:space="preserve"> </w:t>
      </w:r>
      <w:r w:rsidR="00390B30" w:rsidRPr="00390B30">
        <w:t xml:space="preserve">those non-fatal work-related injuries or illnesses that involve an employee requiring at least a week off work. </w:t>
      </w:r>
      <w:r w:rsidR="00390B30" w:rsidRPr="00390B30">
        <w:lastRenderedPageBreak/>
        <w:t xml:space="preserve">The time off work does not need to be continuous. This is different to the definition of serious claims as applied under the previous </w:t>
      </w:r>
      <w:r w:rsidR="00390B30" w:rsidRPr="00390B30">
        <w:rPr>
          <w:i/>
        </w:rPr>
        <w:t>National OHS Strategy</w:t>
      </w:r>
      <w:r w:rsidR="00390B30" w:rsidRPr="00390B30">
        <w:t xml:space="preserve"> and Comparative Performance Monitoring (</w:t>
      </w:r>
      <w:proofErr w:type="spellStart"/>
      <w:r w:rsidR="00390B30" w:rsidRPr="00390B30">
        <w:t>CPM</w:t>
      </w:r>
      <w:proofErr w:type="spellEnd"/>
      <w:r w:rsidR="00390B30" w:rsidRPr="00390B30">
        <w:t xml:space="preserve">) reporting. Serious claims under the National OHS Strategy and </w:t>
      </w:r>
      <w:proofErr w:type="spellStart"/>
      <w:r w:rsidR="00390B30" w:rsidRPr="00390B30">
        <w:t>CPM</w:t>
      </w:r>
      <w:proofErr w:type="spellEnd"/>
      <w:r w:rsidR="00390B30" w:rsidRPr="00390B30">
        <w:t xml:space="preserve"> included fatalities, permanent incapacities and temporary incapacities that involved at least one week time lost from work.</w:t>
      </w:r>
    </w:p>
    <w:p w:rsidR="00390B30" w:rsidRPr="00390B30" w:rsidRDefault="00390B30" w:rsidP="00F5330A">
      <w:pPr>
        <w:tabs>
          <w:tab w:val="left" w:pos="966"/>
        </w:tabs>
      </w:pPr>
      <w:r w:rsidRPr="00390B30">
        <w:t>The National OHS Strategy</w:t>
      </w:r>
      <w:r w:rsidR="00F5330A">
        <w:t>’s</w:t>
      </w:r>
      <w:r w:rsidRPr="00390B30">
        <w:t xml:space="preserve"> targets</w:t>
      </w:r>
      <w:r w:rsidR="00F5330A">
        <w:t xml:space="preserve"> were</w:t>
      </w:r>
      <w:r w:rsidRPr="00390B30">
        <w:t xml:space="preserve"> to reduce the incidence of compensated work-related injury fatalities by at least </w:t>
      </w:r>
      <w:r w:rsidR="0007165B">
        <w:br/>
      </w:r>
      <w:r w:rsidRPr="00390B30">
        <w:t>20</w:t>
      </w:r>
      <w:r w:rsidR="0007165B">
        <w:t xml:space="preserve"> </w:t>
      </w:r>
      <w:r w:rsidR="001311F2">
        <w:t>per</w:t>
      </w:r>
      <w:r w:rsidR="0007165B">
        <w:t xml:space="preserve"> </w:t>
      </w:r>
      <w:r w:rsidR="001311F2">
        <w:t>cent</w:t>
      </w:r>
      <w:r w:rsidRPr="00390B30">
        <w:t xml:space="preserve"> and to reduce the incidence of serious compensated workplace injury (including musculoskeletal disorders) by at least 40</w:t>
      </w:r>
      <w:r w:rsidR="0007165B">
        <w:t xml:space="preserve"> </w:t>
      </w:r>
      <w:r w:rsidR="001311F2">
        <w:t>per</w:t>
      </w:r>
      <w:r w:rsidR="0007165B">
        <w:t xml:space="preserve"> </w:t>
      </w:r>
      <w:r w:rsidR="001311F2">
        <w:t>cent</w:t>
      </w:r>
      <w:r w:rsidR="00F5330A">
        <w:t>,</w:t>
      </w:r>
      <w:r w:rsidRPr="00390B30">
        <w:t xml:space="preserve"> by 30</w:t>
      </w:r>
      <w:r w:rsidR="0007165B">
        <w:t xml:space="preserve"> </w:t>
      </w:r>
      <w:r w:rsidRPr="00390B30">
        <w:t>June</w:t>
      </w:r>
      <w:r w:rsidR="0007165B">
        <w:t xml:space="preserve"> </w:t>
      </w:r>
      <w:r w:rsidRPr="00390B30">
        <w:t xml:space="preserve">2012. Achievements against the national targets for injuries and fatalities are measured using the </w:t>
      </w:r>
      <w:proofErr w:type="spellStart"/>
      <w:r w:rsidRPr="00390B30">
        <w:t>NDS</w:t>
      </w:r>
      <w:proofErr w:type="spellEnd"/>
      <w:r w:rsidRPr="00390B30">
        <w:t xml:space="preserve"> and are reported on annually in the </w:t>
      </w:r>
      <w:proofErr w:type="spellStart"/>
      <w:r w:rsidRPr="00390B30">
        <w:t>CPM</w:t>
      </w:r>
      <w:proofErr w:type="spellEnd"/>
      <w:r w:rsidRPr="00390B30">
        <w:t xml:space="preserve"> reports.</w:t>
      </w:r>
    </w:p>
    <w:p w:rsidR="00390B30" w:rsidRPr="00390B30" w:rsidRDefault="00390B30" w:rsidP="00F5330A">
      <w:pPr>
        <w:tabs>
          <w:tab w:val="left" w:pos="966"/>
        </w:tabs>
      </w:pPr>
      <w:r w:rsidRPr="00390B30">
        <w:t>The baseline for the national targets was calculated as the average incidence rate for the three-year period 2000–01 to 2002–03. Between the base period and 2011</w:t>
      </w:r>
      <w:r w:rsidR="00F5330A">
        <w:t>–</w:t>
      </w:r>
      <w:r w:rsidRPr="00390B30">
        <w:t>12 there has been a 28</w:t>
      </w:r>
      <w:r w:rsidR="001311F2">
        <w:t> per cent</w:t>
      </w:r>
      <w:r w:rsidRPr="00390B30">
        <w:t xml:space="preserve"> reduction in the incidence rate of serious injury and musculoskeletal claims. Although the 2011</w:t>
      </w:r>
      <w:r w:rsidR="00F5330A">
        <w:t>–</w:t>
      </w:r>
      <w:r w:rsidRPr="00390B30">
        <w:t>12 data will not be finalised until mid to late 2014, projections show that the target of a 40</w:t>
      </w:r>
      <w:r w:rsidR="001311F2">
        <w:t> per cent</w:t>
      </w:r>
      <w:r w:rsidRPr="00390B30">
        <w:t xml:space="preserve"> reduction in serious compensated injury claims will not be achieved. </w:t>
      </w:r>
    </w:p>
    <w:p w:rsidR="008C0C45" w:rsidRPr="005872EF" w:rsidRDefault="00390B30" w:rsidP="005872EF">
      <w:pPr>
        <w:tabs>
          <w:tab w:val="left" w:pos="966"/>
        </w:tabs>
      </w:pPr>
      <w:r w:rsidRPr="00390B30">
        <w:t>In contrast, the incidence rate of compensated injury fatalities has fallen steadily over the past five years against a backdrop of rising employment. Since the base period there has been a 42</w:t>
      </w:r>
      <w:r w:rsidR="001311F2">
        <w:t> per cent</w:t>
      </w:r>
      <w:r w:rsidRPr="00390B30">
        <w:t xml:space="preserve"> decrease in the incidence rate of compensated injury fatalities. This is more than twice the decrease required to meet the target of a 20</w:t>
      </w:r>
      <w:r w:rsidR="001311F2">
        <w:t> per cent</w:t>
      </w:r>
      <w:r w:rsidRPr="00390B30">
        <w:t xml:space="preserve"> reduction by 30 June 2012. </w:t>
      </w:r>
    </w:p>
    <w:p w:rsidR="00390B30" w:rsidRPr="00390B30" w:rsidRDefault="0096720E" w:rsidP="0096720E">
      <w:pPr>
        <w:pStyle w:val="Heading1"/>
      </w:pPr>
      <w:r>
        <w:br w:type="column"/>
      </w:r>
      <w:r w:rsidR="00390B30" w:rsidRPr="00390B30">
        <w:lastRenderedPageBreak/>
        <w:t>Conclusions</w:t>
      </w:r>
    </w:p>
    <w:p w:rsidR="00390B30" w:rsidRPr="00390B30" w:rsidRDefault="00390B30" w:rsidP="00390B30">
      <w:pPr>
        <w:tabs>
          <w:tab w:val="left" w:pos="440"/>
          <w:tab w:val="right" w:leader="dot" w:pos="9062"/>
        </w:tabs>
        <w:spacing w:before="120"/>
        <w:rPr>
          <w:rFonts w:eastAsia="Batang"/>
        </w:rPr>
      </w:pPr>
      <w:r w:rsidRPr="00390B30">
        <w:rPr>
          <w:rFonts w:eastAsia="Batang"/>
        </w:rPr>
        <w:t xml:space="preserve">This first year of the new Australian Strategy </w:t>
      </w:r>
      <w:r w:rsidR="002D2948">
        <w:rPr>
          <w:rFonts w:eastAsia="Batang"/>
        </w:rPr>
        <w:t>Safe Work Australia</w:t>
      </w:r>
      <w:r w:rsidR="002D2948" w:rsidRPr="00390B30">
        <w:rPr>
          <w:rFonts w:eastAsia="Batang"/>
        </w:rPr>
        <w:t xml:space="preserve"> </w:t>
      </w:r>
      <w:r w:rsidRPr="00390B30">
        <w:rPr>
          <w:rFonts w:eastAsia="Batang"/>
        </w:rPr>
        <w:t>has continued building modern regulatory frameworks, national data and research programs and providing codes and guidance for the most serious hazards and risks.</w:t>
      </w:r>
    </w:p>
    <w:p w:rsidR="00177804" w:rsidRDefault="00177804" w:rsidP="00F5330A">
      <w:pPr>
        <w:tabs>
          <w:tab w:val="left" w:pos="440"/>
          <w:tab w:val="right" w:leader="dot" w:pos="9062"/>
        </w:tabs>
        <w:spacing w:before="120"/>
        <w:rPr>
          <w:rFonts w:eastAsia="Batang"/>
        </w:rPr>
      </w:pPr>
      <w:r>
        <w:rPr>
          <w:rFonts w:eastAsia="Batang"/>
        </w:rPr>
        <w:t xml:space="preserve">A robust data and research program has provided evidence to inform national health and safety policies and programmes. </w:t>
      </w:r>
    </w:p>
    <w:p w:rsidR="00390B30" w:rsidRPr="00390B30" w:rsidRDefault="00390B30" w:rsidP="00F5330A">
      <w:pPr>
        <w:tabs>
          <w:tab w:val="left" w:pos="440"/>
          <w:tab w:val="right" w:leader="dot" w:pos="9062"/>
        </w:tabs>
        <w:spacing w:before="120"/>
        <w:rPr>
          <w:rFonts w:eastAsia="Batang"/>
        </w:rPr>
      </w:pPr>
      <w:r w:rsidRPr="00390B30">
        <w:rPr>
          <w:rFonts w:eastAsia="Batang"/>
        </w:rPr>
        <w:t>The WHS regulators have implement</w:t>
      </w:r>
      <w:r w:rsidR="00F5330A">
        <w:rPr>
          <w:rFonts w:eastAsia="Batang"/>
        </w:rPr>
        <w:t>ed</w:t>
      </w:r>
      <w:r w:rsidRPr="00390B30">
        <w:rPr>
          <w:rFonts w:eastAsia="Batang"/>
        </w:rPr>
        <w:t xml:space="preserve"> a wide range of programs to support compliance and where required untaken enforcement activity. The industry bodies and unions have continued to build the work health and safety skills of their members. </w:t>
      </w:r>
    </w:p>
    <w:p w:rsidR="00177804" w:rsidRDefault="00390B30" w:rsidP="00740094">
      <w:pPr>
        <w:pStyle w:val="dotpoints"/>
        <w:numPr>
          <w:ilvl w:val="0"/>
          <w:numId w:val="0"/>
        </w:numPr>
        <w:spacing w:before="120" w:after="120"/>
        <w:rPr>
          <w:rFonts w:eastAsia="Times New Roman"/>
        </w:rPr>
      </w:pPr>
      <w:r w:rsidRPr="00390B30">
        <w:rPr>
          <w:rFonts w:eastAsia="Times New Roman"/>
        </w:rPr>
        <w:t>The action areas have stimulated new conversations with a broader range of stakeholders on the importance of work design</w:t>
      </w:r>
      <w:r w:rsidR="00F5330A">
        <w:rPr>
          <w:rFonts w:eastAsia="Times New Roman"/>
        </w:rPr>
        <w:t xml:space="preserve"> and</w:t>
      </w:r>
      <w:r w:rsidRPr="00390B30">
        <w:rPr>
          <w:rFonts w:eastAsia="Times New Roman"/>
        </w:rPr>
        <w:t xml:space="preserve"> the powerful role of leaders particularly within supply chains.  </w:t>
      </w:r>
    </w:p>
    <w:p w:rsidR="00390B30" w:rsidRDefault="00390B30" w:rsidP="00740094">
      <w:pPr>
        <w:pStyle w:val="dotpoints"/>
        <w:numPr>
          <w:ilvl w:val="0"/>
          <w:numId w:val="0"/>
        </w:numPr>
        <w:spacing w:before="120" w:after="120"/>
        <w:rPr>
          <w:rFonts w:eastAsia="Times New Roman"/>
        </w:rPr>
      </w:pPr>
      <w:r w:rsidRPr="00390B30">
        <w:rPr>
          <w:rFonts w:eastAsia="Times New Roman"/>
        </w:rPr>
        <w:t xml:space="preserve">In October 2014 the </w:t>
      </w:r>
      <w:r w:rsidRPr="005E3C15">
        <w:rPr>
          <w:rFonts w:eastAsia="Times New Roman"/>
        </w:rPr>
        <w:t xml:space="preserve">first </w:t>
      </w:r>
      <w:hyperlink r:id="rId132" w:history="1">
        <w:r w:rsidR="00177804" w:rsidRPr="005E3C15">
          <w:rPr>
            <w:rStyle w:val="Hyperlink"/>
            <w:rFonts w:eastAsia="Times New Roman"/>
          </w:rPr>
          <w:t>Virtual Seminar Series</w:t>
        </w:r>
      </w:hyperlink>
      <w:r w:rsidR="00177804" w:rsidRPr="005E3C15">
        <w:rPr>
          <w:rFonts w:eastAsia="Times New Roman"/>
        </w:rPr>
        <w:t xml:space="preserve"> </w:t>
      </w:r>
      <w:r w:rsidRPr="00390B30">
        <w:rPr>
          <w:rFonts w:eastAsia="Times New Roman"/>
        </w:rPr>
        <w:t>on the Australian Strategy will provide opportunities to hear about more exciting projects to create healthier, safer and productive working lives.</w:t>
      </w:r>
    </w:p>
    <w:p w:rsidR="00160B35" w:rsidRPr="00160B35" w:rsidRDefault="00160B35" w:rsidP="00160B35">
      <w:pPr>
        <w:pStyle w:val="breakoutbox"/>
        <w:rPr>
          <w:b/>
        </w:rPr>
      </w:pPr>
      <w:r w:rsidRPr="00160B35">
        <w:rPr>
          <w:b/>
        </w:rPr>
        <w:t>Coming Up</w:t>
      </w:r>
    </w:p>
    <w:p w:rsidR="00160B35" w:rsidRPr="00177804" w:rsidRDefault="00160B35" w:rsidP="00160B35">
      <w:pPr>
        <w:pStyle w:val="breakoutbox"/>
      </w:pPr>
      <w:r w:rsidRPr="00177804">
        <w:t>The Australian Strategy Virtual Seminar Series will be held throughout October 2014.</w:t>
      </w:r>
    </w:p>
    <w:p w:rsidR="00160B35" w:rsidRPr="00177804" w:rsidRDefault="00160B35" w:rsidP="00160B35">
      <w:pPr>
        <w:pStyle w:val="breakoutbox"/>
      </w:pPr>
      <w:r w:rsidRPr="00177804">
        <w:t>This next progress from October 2013 to 30 September 2014 is now due to commence development. This progress report will continue the strong focus on agriculture and road transport activities and include more case studies and examples which will be showcased on the Australian Strategy webpage.</w:t>
      </w:r>
    </w:p>
    <w:p w:rsidR="00A04AE1" w:rsidRDefault="00A04AE1" w:rsidP="00740094">
      <w:pPr>
        <w:pStyle w:val="dotpoints"/>
        <w:numPr>
          <w:ilvl w:val="0"/>
          <w:numId w:val="0"/>
        </w:numPr>
        <w:spacing w:before="120" w:after="120"/>
        <w:rPr>
          <w:rFonts w:eastAsia="Times New Roman"/>
        </w:rPr>
      </w:pPr>
    </w:p>
    <w:p w:rsidR="008C0C45" w:rsidRDefault="008C0C45" w:rsidP="00740094">
      <w:pPr>
        <w:pStyle w:val="dotpoints"/>
        <w:numPr>
          <w:ilvl w:val="0"/>
          <w:numId w:val="0"/>
        </w:numPr>
        <w:spacing w:before="120" w:after="120"/>
      </w:pPr>
    </w:p>
    <w:sectPr w:rsidR="008C0C45" w:rsidSect="00145652">
      <w:footerReference w:type="default" r:id="rId133"/>
      <w:type w:val="continuous"/>
      <w:pgSz w:w="11906" w:h="16838" w:code="9"/>
      <w:pgMar w:top="1418" w:right="1134" w:bottom="1418" w:left="1418" w:header="567" w:footer="452"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11" w:rsidRDefault="00D01011" w:rsidP="001B505D">
      <w:pPr>
        <w:spacing w:after="0"/>
      </w:pPr>
      <w:r>
        <w:separator/>
      </w:r>
    </w:p>
  </w:endnote>
  <w:endnote w:type="continuationSeparator" w:id="0">
    <w:p w:rsidR="00D01011" w:rsidRDefault="00D01011" w:rsidP="001B5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Gotham Bold">
    <w:altName w:val="Times New Roman"/>
    <w:panose1 w:val="00000000000000000000"/>
    <w:charset w:val="00"/>
    <w:family w:val="modern"/>
    <w:notTrueType/>
    <w:pitch w:val="variable"/>
    <w:sig w:usb0="A10000FF" w:usb1="4000005B" w:usb2="00000000" w:usb3="00000000" w:csb0="0000009B" w:csb1="00000000"/>
  </w:font>
  <w:font w:name="Gotham Light">
    <w:altName w:val="Times New Roman"/>
    <w:panose1 w:val="00000000000000000000"/>
    <w:charset w:val="00"/>
    <w:family w:val="modern"/>
    <w:notTrueType/>
    <w:pitch w:val="variable"/>
    <w:sig w:usb0="A10000FF" w:usb1="4000005B" w:usb2="00000000" w:usb3="00000000" w:csb0="0000009B" w:csb1="00000000"/>
  </w:font>
  <w:font w:name="Gotham">
    <w:altName w:val="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207322"/>
      <w:docPartObj>
        <w:docPartGallery w:val="Page Numbers (Bottom of Page)"/>
        <w:docPartUnique/>
      </w:docPartObj>
    </w:sdtPr>
    <w:sdtEndPr>
      <w:rPr>
        <w:noProof/>
      </w:rPr>
    </w:sdtEndPr>
    <w:sdtContent>
      <w:p w:rsidR="00D01011" w:rsidRDefault="00D01011">
        <w:pPr>
          <w:pStyle w:val="Footer"/>
          <w:jc w:val="right"/>
        </w:pPr>
        <w:r>
          <w:fldChar w:fldCharType="begin"/>
        </w:r>
        <w:r>
          <w:instrText xml:space="preserve"> PAGE   \* MERGEFORMAT </w:instrText>
        </w:r>
        <w:r>
          <w:fldChar w:fldCharType="separate"/>
        </w:r>
        <w:r w:rsidR="004B5D98">
          <w:rPr>
            <w:noProof/>
          </w:rPr>
          <w:t>1</w:t>
        </w:r>
        <w:r>
          <w:rPr>
            <w:noProof/>
          </w:rPr>
          <w:fldChar w:fldCharType="end"/>
        </w:r>
      </w:p>
    </w:sdtContent>
  </w:sdt>
  <w:p w:rsidR="00D01011" w:rsidRDefault="00D010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527467"/>
      <w:docPartObj>
        <w:docPartGallery w:val="Page Numbers (Bottom of Page)"/>
        <w:docPartUnique/>
      </w:docPartObj>
    </w:sdtPr>
    <w:sdtEndPr>
      <w:rPr>
        <w:noProof/>
      </w:rPr>
    </w:sdtEndPr>
    <w:sdtContent>
      <w:p w:rsidR="00D01011" w:rsidRDefault="00D01011">
        <w:pPr>
          <w:pStyle w:val="Footer"/>
          <w:jc w:val="right"/>
        </w:pPr>
        <w:r>
          <w:fldChar w:fldCharType="begin"/>
        </w:r>
        <w:r>
          <w:instrText xml:space="preserve"> PAGE   \* MERGEFORMAT </w:instrText>
        </w:r>
        <w:r>
          <w:fldChar w:fldCharType="separate"/>
        </w:r>
        <w:r w:rsidR="004B5D98">
          <w:rPr>
            <w:noProof/>
          </w:rPr>
          <w:t>3</w:t>
        </w:r>
        <w:r>
          <w:rPr>
            <w:noProof/>
          </w:rPr>
          <w:fldChar w:fldCharType="end"/>
        </w:r>
      </w:p>
    </w:sdtContent>
  </w:sdt>
  <w:p w:rsidR="00D01011" w:rsidRDefault="00D01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11" w:rsidRDefault="00D01011" w:rsidP="001B505D">
      <w:pPr>
        <w:spacing w:after="0"/>
      </w:pPr>
      <w:r>
        <w:separator/>
      </w:r>
    </w:p>
  </w:footnote>
  <w:footnote w:type="continuationSeparator" w:id="0">
    <w:p w:rsidR="00D01011" w:rsidRDefault="00D01011" w:rsidP="001B50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6007742"/>
    <w:lvl w:ilvl="0">
      <w:start w:val="1"/>
      <w:numFmt w:val="decimal"/>
      <w:pStyle w:val="ListNumber"/>
      <w:lvlText w:val="%1."/>
      <w:lvlJc w:val="left"/>
      <w:pPr>
        <w:ind w:left="360" w:hanging="360"/>
      </w:pPr>
    </w:lvl>
  </w:abstractNum>
  <w:abstractNum w:abstractNumId="1">
    <w:nsid w:val="03AA3FC9"/>
    <w:multiLevelType w:val="hybridMultilevel"/>
    <w:tmpl w:val="7FE6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797ACF"/>
    <w:multiLevelType w:val="multilevel"/>
    <w:tmpl w:val="6C3A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443CE"/>
    <w:multiLevelType w:val="hybridMultilevel"/>
    <w:tmpl w:val="FDDEB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09E27D7"/>
    <w:multiLevelType w:val="hybridMultilevel"/>
    <w:tmpl w:val="190AE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A6F42A2"/>
    <w:multiLevelType w:val="hybridMultilevel"/>
    <w:tmpl w:val="C2F4BE68"/>
    <w:lvl w:ilvl="0" w:tplc="7F4AE006">
      <w:start w:val="1"/>
      <w:numFmt w:val="bullet"/>
      <w:pStyle w:val="do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CA478EA"/>
    <w:multiLevelType w:val="multilevel"/>
    <w:tmpl w:val="0686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F340C0"/>
    <w:multiLevelType w:val="hybridMultilevel"/>
    <w:tmpl w:val="E21CD876"/>
    <w:lvl w:ilvl="0" w:tplc="0296A14A">
      <w:start w:val="1"/>
      <w:numFmt w:val="bullet"/>
      <w:pStyle w:val="ListParagraph"/>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FF9577D"/>
    <w:multiLevelType w:val="hybridMultilevel"/>
    <w:tmpl w:val="90D4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383F09"/>
    <w:multiLevelType w:val="hybridMultilevel"/>
    <w:tmpl w:val="139469F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nsid w:val="210913E4"/>
    <w:multiLevelType w:val="hybridMultilevel"/>
    <w:tmpl w:val="85324E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B1190F"/>
    <w:multiLevelType w:val="hybridMultilevel"/>
    <w:tmpl w:val="600E58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D774E2"/>
    <w:multiLevelType w:val="multilevel"/>
    <w:tmpl w:val="B32E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520B86"/>
    <w:multiLevelType w:val="hybridMultilevel"/>
    <w:tmpl w:val="9E1C2442"/>
    <w:lvl w:ilvl="0" w:tplc="0C090001">
      <w:start w:val="1"/>
      <w:numFmt w:val="bullet"/>
      <w:lvlText w:val=""/>
      <w:lvlJc w:val="left"/>
      <w:pPr>
        <w:ind w:left="372" w:hanging="360"/>
      </w:pPr>
      <w:rPr>
        <w:rFonts w:ascii="Symbol" w:hAnsi="Symbol" w:hint="default"/>
      </w:rPr>
    </w:lvl>
    <w:lvl w:ilvl="1" w:tplc="0C090003">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14">
    <w:nsid w:val="2B080F7E"/>
    <w:multiLevelType w:val="hybridMultilevel"/>
    <w:tmpl w:val="035AE9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D060C91"/>
    <w:multiLevelType w:val="hybridMultilevel"/>
    <w:tmpl w:val="9AF8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231070"/>
    <w:multiLevelType w:val="multilevel"/>
    <w:tmpl w:val="B938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0E3557"/>
    <w:multiLevelType w:val="multilevel"/>
    <w:tmpl w:val="0BD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3A3753"/>
    <w:multiLevelType w:val="multilevel"/>
    <w:tmpl w:val="5748E9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39716035"/>
    <w:multiLevelType w:val="hybridMultilevel"/>
    <w:tmpl w:val="259AF9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DA82939"/>
    <w:multiLevelType w:val="hybridMultilevel"/>
    <w:tmpl w:val="70F62746"/>
    <w:lvl w:ilvl="0" w:tplc="4CA26F2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28366C5"/>
    <w:multiLevelType w:val="hybridMultilevel"/>
    <w:tmpl w:val="E06AD2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60A246B"/>
    <w:multiLevelType w:val="hybridMultilevel"/>
    <w:tmpl w:val="8C90F5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B56E99"/>
    <w:multiLevelType w:val="hybridMultilevel"/>
    <w:tmpl w:val="8C32DBD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834D8C"/>
    <w:multiLevelType w:val="hybridMultilevel"/>
    <w:tmpl w:val="95F45B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F2763E"/>
    <w:multiLevelType w:val="hybridMultilevel"/>
    <w:tmpl w:val="DD940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4395613"/>
    <w:multiLevelType w:val="hybridMultilevel"/>
    <w:tmpl w:val="BEDEB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3A4C3C"/>
    <w:multiLevelType w:val="multilevel"/>
    <w:tmpl w:val="D292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0">
    <w:nsid w:val="61084353"/>
    <w:multiLevelType w:val="hybridMultilevel"/>
    <w:tmpl w:val="1EB2E3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222E3B"/>
    <w:multiLevelType w:val="multilevel"/>
    <w:tmpl w:val="978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3F4CE7"/>
    <w:multiLevelType w:val="hybridMultilevel"/>
    <w:tmpl w:val="EAB83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5525127"/>
    <w:multiLevelType w:val="hybridMultilevel"/>
    <w:tmpl w:val="2FCC08D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A946C26"/>
    <w:multiLevelType w:val="hybridMultilevel"/>
    <w:tmpl w:val="762C06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D6C11CD"/>
    <w:multiLevelType w:val="multilevel"/>
    <w:tmpl w:val="3EB4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112717"/>
    <w:multiLevelType w:val="hybridMultilevel"/>
    <w:tmpl w:val="CF34A1F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29B6BA2"/>
    <w:multiLevelType w:val="multilevel"/>
    <w:tmpl w:val="DCBA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15675E"/>
    <w:multiLevelType w:val="hybridMultilevel"/>
    <w:tmpl w:val="1BC806AE"/>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9">
    <w:nsid w:val="7E892B43"/>
    <w:multiLevelType w:val="hybridMultilevel"/>
    <w:tmpl w:val="BA361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ECD56B4"/>
    <w:multiLevelType w:val="hybridMultilevel"/>
    <w:tmpl w:val="C528267E"/>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38"/>
  </w:num>
  <w:num w:numId="4">
    <w:abstractNumId w:val="29"/>
  </w:num>
  <w:num w:numId="5">
    <w:abstractNumId w:val="7"/>
  </w:num>
  <w:num w:numId="6">
    <w:abstractNumId w:val="5"/>
  </w:num>
  <w:num w:numId="7">
    <w:abstractNumId w:val="1"/>
  </w:num>
  <w:num w:numId="8">
    <w:abstractNumId w:val="21"/>
  </w:num>
  <w:num w:numId="9">
    <w:abstractNumId w:val="39"/>
  </w:num>
  <w:num w:numId="10">
    <w:abstractNumId w:val="22"/>
  </w:num>
  <w:num w:numId="11">
    <w:abstractNumId w:val="14"/>
  </w:num>
  <w:num w:numId="12">
    <w:abstractNumId w:val="32"/>
  </w:num>
  <w:num w:numId="13">
    <w:abstractNumId w:val="19"/>
  </w:num>
  <w:num w:numId="14">
    <w:abstractNumId w:val="33"/>
  </w:num>
  <w:num w:numId="15">
    <w:abstractNumId w:val="36"/>
  </w:num>
  <w:num w:numId="16">
    <w:abstractNumId w:val="34"/>
  </w:num>
  <w:num w:numId="17">
    <w:abstractNumId w:val="11"/>
  </w:num>
  <w:num w:numId="18">
    <w:abstractNumId w:val="24"/>
  </w:num>
  <w:num w:numId="19">
    <w:abstractNumId w:val="30"/>
  </w:num>
  <w:num w:numId="20">
    <w:abstractNumId w:val="23"/>
  </w:num>
  <w:num w:numId="21">
    <w:abstractNumId w:val="25"/>
  </w:num>
  <w:num w:numId="22">
    <w:abstractNumId w:val="10"/>
  </w:num>
  <w:num w:numId="23">
    <w:abstractNumId w:val="26"/>
  </w:num>
  <w:num w:numId="24">
    <w:abstractNumId w:val="27"/>
  </w:num>
  <w:num w:numId="25">
    <w:abstractNumId w:val="8"/>
  </w:num>
  <w:num w:numId="26">
    <w:abstractNumId w:val="16"/>
  </w:num>
  <w:num w:numId="27">
    <w:abstractNumId w:val="35"/>
  </w:num>
  <w:num w:numId="28">
    <w:abstractNumId w:val="2"/>
  </w:num>
  <w:num w:numId="29">
    <w:abstractNumId w:val="12"/>
  </w:num>
  <w:num w:numId="30">
    <w:abstractNumId w:val="28"/>
  </w:num>
  <w:num w:numId="31">
    <w:abstractNumId w:val="18"/>
  </w:num>
  <w:num w:numId="32">
    <w:abstractNumId w:val="17"/>
  </w:num>
  <w:num w:numId="33">
    <w:abstractNumId w:val="31"/>
  </w:num>
  <w:num w:numId="34">
    <w:abstractNumId w:val="4"/>
  </w:num>
  <w:num w:numId="35">
    <w:abstractNumId w:val="3"/>
  </w:num>
  <w:num w:numId="36">
    <w:abstractNumId w:val="15"/>
  </w:num>
  <w:num w:numId="37">
    <w:abstractNumId w:val="9"/>
  </w:num>
  <w:num w:numId="38">
    <w:abstractNumId w:val="20"/>
  </w:num>
  <w:num w:numId="39">
    <w:abstractNumId w:val="6"/>
  </w:num>
  <w:num w:numId="40">
    <w:abstractNumId w:val="13"/>
  </w:num>
  <w:num w:numId="41">
    <w:abstractNumId w:val="5"/>
  </w:num>
  <w:num w:numId="42">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26"/>
    <w:rsid w:val="000118C7"/>
    <w:rsid w:val="0001648C"/>
    <w:rsid w:val="00022F50"/>
    <w:rsid w:val="00024141"/>
    <w:rsid w:val="00033601"/>
    <w:rsid w:val="00043318"/>
    <w:rsid w:val="00050B6A"/>
    <w:rsid w:val="00062699"/>
    <w:rsid w:val="0006294F"/>
    <w:rsid w:val="00063AD4"/>
    <w:rsid w:val="0006628A"/>
    <w:rsid w:val="00067EAC"/>
    <w:rsid w:val="0007165B"/>
    <w:rsid w:val="00072626"/>
    <w:rsid w:val="00073E9A"/>
    <w:rsid w:val="0007520F"/>
    <w:rsid w:val="0008213B"/>
    <w:rsid w:val="00082DF4"/>
    <w:rsid w:val="00086647"/>
    <w:rsid w:val="000A1310"/>
    <w:rsid w:val="000A29FB"/>
    <w:rsid w:val="000A3454"/>
    <w:rsid w:val="000A546C"/>
    <w:rsid w:val="000B5B1E"/>
    <w:rsid w:val="000C0E59"/>
    <w:rsid w:val="000C1127"/>
    <w:rsid w:val="000C29D9"/>
    <w:rsid w:val="000C4A44"/>
    <w:rsid w:val="000C4D5E"/>
    <w:rsid w:val="000D14B9"/>
    <w:rsid w:val="000D2D4D"/>
    <w:rsid w:val="000D4F1D"/>
    <w:rsid w:val="000D6167"/>
    <w:rsid w:val="000E4DDB"/>
    <w:rsid w:val="000F5574"/>
    <w:rsid w:val="000F5791"/>
    <w:rsid w:val="001026B6"/>
    <w:rsid w:val="00106D5D"/>
    <w:rsid w:val="00113341"/>
    <w:rsid w:val="001209AA"/>
    <w:rsid w:val="00120A2F"/>
    <w:rsid w:val="00121740"/>
    <w:rsid w:val="0012302E"/>
    <w:rsid w:val="00126205"/>
    <w:rsid w:val="00126AFF"/>
    <w:rsid w:val="001311F2"/>
    <w:rsid w:val="00141BDE"/>
    <w:rsid w:val="00144A55"/>
    <w:rsid w:val="00145652"/>
    <w:rsid w:val="001517E3"/>
    <w:rsid w:val="00160B35"/>
    <w:rsid w:val="00162F52"/>
    <w:rsid w:val="00164B93"/>
    <w:rsid w:val="00174494"/>
    <w:rsid w:val="00177804"/>
    <w:rsid w:val="00181761"/>
    <w:rsid w:val="00196987"/>
    <w:rsid w:val="001A0477"/>
    <w:rsid w:val="001B505D"/>
    <w:rsid w:val="001C0AC4"/>
    <w:rsid w:val="001C40D6"/>
    <w:rsid w:val="001D1D51"/>
    <w:rsid w:val="001D310E"/>
    <w:rsid w:val="001D41AF"/>
    <w:rsid w:val="001E0053"/>
    <w:rsid w:val="001E292D"/>
    <w:rsid w:val="001E3345"/>
    <w:rsid w:val="001E3410"/>
    <w:rsid w:val="001E3B7C"/>
    <w:rsid w:val="001E4BFD"/>
    <w:rsid w:val="00214916"/>
    <w:rsid w:val="002269F3"/>
    <w:rsid w:val="00234438"/>
    <w:rsid w:val="00244A22"/>
    <w:rsid w:val="00245406"/>
    <w:rsid w:val="002506D6"/>
    <w:rsid w:val="00254DDA"/>
    <w:rsid w:val="00260129"/>
    <w:rsid w:val="002643CD"/>
    <w:rsid w:val="002704AD"/>
    <w:rsid w:val="00274A51"/>
    <w:rsid w:val="002777C8"/>
    <w:rsid w:val="002849F0"/>
    <w:rsid w:val="00287B06"/>
    <w:rsid w:val="00295D38"/>
    <w:rsid w:val="00297139"/>
    <w:rsid w:val="002A0FDE"/>
    <w:rsid w:val="002C1928"/>
    <w:rsid w:val="002C71E8"/>
    <w:rsid w:val="002D2948"/>
    <w:rsid w:val="002D2B28"/>
    <w:rsid w:val="002E512F"/>
    <w:rsid w:val="002F0849"/>
    <w:rsid w:val="002F5566"/>
    <w:rsid w:val="002F590B"/>
    <w:rsid w:val="00302527"/>
    <w:rsid w:val="00307437"/>
    <w:rsid w:val="00310AC8"/>
    <w:rsid w:val="00320773"/>
    <w:rsid w:val="0032513F"/>
    <w:rsid w:val="003261DA"/>
    <w:rsid w:val="0032708B"/>
    <w:rsid w:val="003308DE"/>
    <w:rsid w:val="0033178D"/>
    <w:rsid w:val="00332B40"/>
    <w:rsid w:val="00345539"/>
    <w:rsid w:val="0035061D"/>
    <w:rsid w:val="00354044"/>
    <w:rsid w:val="003567E0"/>
    <w:rsid w:val="00357CD9"/>
    <w:rsid w:val="003608CC"/>
    <w:rsid w:val="00371DC4"/>
    <w:rsid w:val="0038641C"/>
    <w:rsid w:val="00390B30"/>
    <w:rsid w:val="00390BF6"/>
    <w:rsid w:val="0039729A"/>
    <w:rsid w:val="003A1102"/>
    <w:rsid w:val="003A6FBE"/>
    <w:rsid w:val="003B4FF9"/>
    <w:rsid w:val="003C0C25"/>
    <w:rsid w:val="003C1C26"/>
    <w:rsid w:val="003C34DF"/>
    <w:rsid w:val="003C63B3"/>
    <w:rsid w:val="003F1976"/>
    <w:rsid w:val="003F37F2"/>
    <w:rsid w:val="003F6306"/>
    <w:rsid w:val="00403229"/>
    <w:rsid w:val="00405D30"/>
    <w:rsid w:val="00410A18"/>
    <w:rsid w:val="00414594"/>
    <w:rsid w:val="00415E58"/>
    <w:rsid w:val="004205D3"/>
    <w:rsid w:val="004262F3"/>
    <w:rsid w:val="004358B4"/>
    <w:rsid w:val="004376FB"/>
    <w:rsid w:val="00440942"/>
    <w:rsid w:val="0044203F"/>
    <w:rsid w:val="00444B13"/>
    <w:rsid w:val="00444EA2"/>
    <w:rsid w:val="00451743"/>
    <w:rsid w:val="00455D9E"/>
    <w:rsid w:val="00490291"/>
    <w:rsid w:val="004942C1"/>
    <w:rsid w:val="0049451E"/>
    <w:rsid w:val="00496920"/>
    <w:rsid w:val="004B22E8"/>
    <w:rsid w:val="004B54DF"/>
    <w:rsid w:val="004B5D98"/>
    <w:rsid w:val="004B5E49"/>
    <w:rsid w:val="004B6127"/>
    <w:rsid w:val="004B7CA9"/>
    <w:rsid w:val="004C09D3"/>
    <w:rsid w:val="004C2FC6"/>
    <w:rsid w:val="004C7534"/>
    <w:rsid w:val="004D1BBE"/>
    <w:rsid w:val="004D34EC"/>
    <w:rsid w:val="004F0A72"/>
    <w:rsid w:val="00501C8A"/>
    <w:rsid w:val="00502719"/>
    <w:rsid w:val="00503D52"/>
    <w:rsid w:val="00503F69"/>
    <w:rsid w:val="0050412B"/>
    <w:rsid w:val="00506292"/>
    <w:rsid w:val="0050647C"/>
    <w:rsid w:val="00516C7F"/>
    <w:rsid w:val="00520B24"/>
    <w:rsid w:val="00544717"/>
    <w:rsid w:val="005508EB"/>
    <w:rsid w:val="00551342"/>
    <w:rsid w:val="00552CF4"/>
    <w:rsid w:val="005575C1"/>
    <w:rsid w:val="00562310"/>
    <w:rsid w:val="00564B22"/>
    <w:rsid w:val="00573322"/>
    <w:rsid w:val="0057458A"/>
    <w:rsid w:val="005765A9"/>
    <w:rsid w:val="00576677"/>
    <w:rsid w:val="005872EF"/>
    <w:rsid w:val="00595581"/>
    <w:rsid w:val="00596F22"/>
    <w:rsid w:val="005A214C"/>
    <w:rsid w:val="005A215E"/>
    <w:rsid w:val="005A2E27"/>
    <w:rsid w:val="005C75E8"/>
    <w:rsid w:val="005D25B1"/>
    <w:rsid w:val="005D29CF"/>
    <w:rsid w:val="005D5B7E"/>
    <w:rsid w:val="005E0436"/>
    <w:rsid w:val="005E3C15"/>
    <w:rsid w:val="005F34A5"/>
    <w:rsid w:val="005F502D"/>
    <w:rsid w:val="005F5CB6"/>
    <w:rsid w:val="005F5EEF"/>
    <w:rsid w:val="005F7096"/>
    <w:rsid w:val="00602945"/>
    <w:rsid w:val="00606389"/>
    <w:rsid w:val="00614B4E"/>
    <w:rsid w:val="00615534"/>
    <w:rsid w:val="00625CA3"/>
    <w:rsid w:val="00631D5C"/>
    <w:rsid w:val="006371C3"/>
    <w:rsid w:val="00642E0A"/>
    <w:rsid w:val="0064349B"/>
    <w:rsid w:val="0064610C"/>
    <w:rsid w:val="006541F2"/>
    <w:rsid w:val="00657BF7"/>
    <w:rsid w:val="006629CE"/>
    <w:rsid w:val="0066505D"/>
    <w:rsid w:val="006650DC"/>
    <w:rsid w:val="00672A7C"/>
    <w:rsid w:val="0067509C"/>
    <w:rsid w:val="006827E8"/>
    <w:rsid w:val="00694260"/>
    <w:rsid w:val="0069544F"/>
    <w:rsid w:val="006B2E80"/>
    <w:rsid w:val="006B37EB"/>
    <w:rsid w:val="006D1AED"/>
    <w:rsid w:val="006D2772"/>
    <w:rsid w:val="006D3F81"/>
    <w:rsid w:val="006D64AA"/>
    <w:rsid w:val="006D6F94"/>
    <w:rsid w:val="006E54E2"/>
    <w:rsid w:val="006F3CA5"/>
    <w:rsid w:val="006F6420"/>
    <w:rsid w:val="00711D4D"/>
    <w:rsid w:val="00714F0E"/>
    <w:rsid w:val="00726CDF"/>
    <w:rsid w:val="00730FFC"/>
    <w:rsid w:val="0073538D"/>
    <w:rsid w:val="0073635C"/>
    <w:rsid w:val="00740094"/>
    <w:rsid w:val="007449C3"/>
    <w:rsid w:val="007461DB"/>
    <w:rsid w:val="0074620B"/>
    <w:rsid w:val="00765A3C"/>
    <w:rsid w:val="00783B2B"/>
    <w:rsid w:val="00787165"/>
    <w:rsid w:val="007933E0"/>
    <w:rsid w:val="007961B3"/>
    <w:rsid w:val="007B291B"/>
    <w:rsid w:val="007B3234"/>
    <w:rsid w:val="007B37A8"/>
    <w:rsid w:val="007B675A"/>
    <w:rsid w:val="007C2586"/>
    <w:rsid w:val="007C6034"/>
    <w:rsid w:val="007D36DD"/>
    <w:rsid w:val="007D38E7"/>
    <w:rsid w:val="007E0A62"/>
    <w:rsid w:val="007E4184"/>
    <w:rsid w:val="007F3783"/>
    <w:rsid w:val="00802C2E"/>
    <w:rsid w:val="00803304"/>
    <w:rsid w:val="00805A3B"/>
    <w:rsid w:val="00812BFA"/>
    <w:rsid w:val="008153EA"/>
    <w:rsid w:val="00827476"/>
    <w:rsid w:val="00832968"/>
    <w:rsid w:val="008435CE"/>
    <w:rsid w:val="00847C32"/>
    <w:rsid w:val="00854B8B"/>
    <w:rsid w:val="00860C2A"/>
    <w:rsid w:val="00871365"/>
    <w:rsid w:val="008731FC"/>
    <w:rsid w:val="00873F0C"/>
    <w:rsid w:val="008745D7"/>
    <w:rsid w:val="00877713"/>
    <w:rsid w:val="00880D24"/>
    <w:rsid w:val="00883AFA"/>
    <w:rsid w:val="008842C6"/>
    <w:rsid w:val="008848FD"/>
    <w:rsid w:val="00887161"/>
    <w:rsid w:val="00896BA5"/>
    <w:rsid w:val="008A14B6"/>
    <w:rsid w:val="008B3CFF"/>
    <w:rsid w:val="008B4C88"/>
    <w:rsid w:val="008B6A1F"/>
    <w:rsid w:val="008B70E0"/>
    <w:rsid w:val="008C0C45"/>
    <w:rsid w:val="008D6941"/>
    <w:rsid w:val="008E4BE8"/>
    <w:rsid w:val="008E5ECE"/>
    <w:rsid w:val="008E7F9B"/>
    <w:rsid w:val="008F0183"/>
    <w:rsid w:val="008F28E1"/>
    <w:rsid w:val="008F497E"/>
    <w:rsid w:val="00902F6E"/>
    <w:rsid w:val="00911AE2"/>
    <w:rsid w:val="0092122F"/>
    <w:rsid w:val="0092458C"/>
    <w:rsid w:val="0093279C"/>
    <w:rsid w:val="00932EDF"/>
    <w:rsid w:val="00937841"/>
    <w:rsid w:val="00942C4C"/>
    <w:rsid w:val="00942C91"/>
    <w:rsid w:val="00945F89"/>
    <w:rsid w:val="00952D83"/>
    <w:rsid w:val="009614E2"/>
    <w:rsid w:val="0096720E"/>
    <w:rsid w:val="00970344"/>
    <w:rsid w:val="00971AE8"/>
    <w:rsid w:val="00975A95"/>
    <w:rsid w:val="009A4C53"/>
    <w:rsid w:val="009B10D3"/>
    <w:rsid w:val="009B28CC"/>
    <w:rsid w:val="009C147D"/>
    <w:rsid w:val="009C34AE"/>
    <w:rsid w:val="009C6334"/>
    <w:rsid w:val="009C6D0F"/>
    <w:rsid w:val="00A0282D"/>
    <w:rsid w:val="00A04AE1"/>
    <w:rsid w:val="00A068EF"/>
    <w:rsid w:val="00A133F7"/>
    <w:rsid w:val="00A17319"/>
    <w:rsid w:val="00A22354"/>
    <w:rsid w:val="00A22C9C"/>
    <w:rsid w:val="00A34F12"/>
    <w:rsid w:val="00A37422"/>
    <w:rsid w:val="00A465D1"/>
    <w:rsid w:val="00A50849"/>
    <w:rsid w:val="00A540C4"/>
    <w:rsid w:val="00A642A5"/>
    <w:rsid w:val="00A64807"/>
    <w:rsid w:val="00A81749"/>
    <w:rsid w:val="00A81AB0"/>
    <w:rsid w:val="00A82A9A"/>
    <w:rsid w:val="00A82DE1"/>
    <w:rsid w:val="00A866CF"/>
    <w:rsid w:val="00A91133"/>
    <w:rsid w:val="00A91A93"/>
    <w:rsid w:val="00A9281A"/>
    <w:rsid w:val="00AA36AA"/>
    <w:rsid w:val="00AB111F"/>
    <w:rsid w:val="00AB2987"/>
    <w:rsid w:val="00AC6586"/>
    <w:rsid w:val="00AD4006"/>
    <w:rsid w:val="00AE244D"/>
    <w:rsid w:val="00AE349A"/>
    <w:rsid w:val="00AE4B50"/>
    <w:rsid w:val="00AE6657"/>
    <w:rsid w:val="00AF70AD"/>
    <w:rsid w:val="00B01F79"/>
    <w:rsid w:val="00B055E7"/>
    <w:rsid w:val="00B073E4"/>
    <w:rsid w:val="00B116E6"/>
    <w:rsid w:val="00B154A2"/>
    <w:rsid w:val="00B169A3"/>
    <w:rsid w:val="00B20306"/>
    <w:rsid w:val="00B32AF8"/>
    <w:rsid w:val="00B340D0"/>
    <w:rsid w:val="00B412A7"/>
    <w:rsid w:val="00B66F37"/>
    <w:rsid w:val="00B67899"/>
    <w:rsid w:val="00B81688"/>
    <w:rsid w:val="00B83C34"/>
    <w:rsid w:val="00B90ED7"/>
    <w:rsid w:val="00B9308A"/>
    <w:rsid w:val="00BA4764"/>
    <w:rsid w:val="00BA6257"/>
    <w:rsid w:val="00BB2CB9"/>
    <w:rsid w:val="00BC08C2"/>
    <w:rsid w:val="00BD0028"/>
    <w:rsid w:val="00BD0C71"/>
    <w:rsid w:val="00BD6547"/>
    <w:rsid w:val="00BD6D88"/>
    <w:rsid w:val="00BD748C"/>
    <w:rsid w:val="00BE0F61"/>
    <w:rsid w:val="00BE2C00"/>
    <w:rsid w:val="00BE4822"/>
    <w:rsid w:val="00BE5CA3"/>
    <w:rsid w:val="00BF2585"/>
    <w:rsid w:val="00BF290A"/>
    <w:rsid w:val="00BF6638"/>
    <w:rsid w:val="00BF75B0"/>
    <w:rsid w:val="00C03673"/>
    <w:rsid w:val="00C253FB"/>
    <w:rsid w:val="00C3470D"/>
    <w:rsid w:val="00C350FE"/>
    <w:rsid w:val="00C40B48"/>
    <w:rsid w:val="00C455B5"/>
    <w:rsid w:val="00C5679B"/>
    <w:rsid w:val="00C725F3"/>
    <w:rsid w:val="00C73E63"/>
    <w:rsid w:val="00C7534F"/>
    <w:rsid w:val="00C757B3"/>
    <w:rsid w:val="00C80170"/>
    <w:rsid w:val="00C8292B"/>
    <w:rsid w:val="00C8353C"/>
    <w:rsid w:val="00C8762A"/>
    <w:rsid w:val="00C90182"/>
    <w:rsid w:val="00C961E8"/>
    <w:rsid w:val="00CB1680"/>
    <w:rsid w:val="00CB3CEC"/>
    <w:rsid w:val="00CB76F0"/>
    <w:rsid w:val="00CC0A6B"/>
    <w:rsid w:val="00CC6819"/>
    <w:rsid w:val="00CC79EB"/>
    <w:rsid w:val="00CE1857"/>
    <w:rsid w:val="00CF2A84"/>
    <w:rsid w:val="00CF378C"/>
    <w:rsid w:val="00D008DE"/>
    <w:rsid w:val="00D01011"/>
    <w:rsid w:val="00D041F0"/>
    <w:rsid w:val="00D050FD"/>
    <w:rsid w:val="00D06D6B"/>
    <w:rsid w:val="00D12D4A"/>
    <w:rsid w:val="00D16FCF"/>
    <w:rsid w:val="00D2510D"/>
    <w:rsid w:val="00D312D3"/>
    <w:rsid w:val="00D36D42"/>
    <w:rsid w:val="00D37644"/>
    <w:rsid w:val="00D45172"/>
    <w:rsid w:val="00D4612F"/>
    <w:rsid w:val="00D46421"/>
    <w:rsid w:val="00D509D5"/>
    <w:rsid w:val="00D526AE"/>
    <w:rsid w:val="00D6490C"/>
    <w:rsid w:val="00D71459"/>
    <w:rsid w:val="00D72094"/>
    <w:rsid w:val="00D8278D"/>
    <w:rsid w:val="00D83F35"/>
    <w:rsid w:val="00D856C9"/>
    <w:rsid w:val="00D86F86"/>
    <w:rsid w:val="00DA29E7"/>
    <w:rsid w:val="00DB16B6"/>
    <w:rsid w:val="00DB6355"/>
    <w:rsid w:val="00DB67D1"/>
    <w:rsid w:val="00DB6D56"/>
    <w:rsid w:val="00DC65E3"/>
    <w:rsid w:val="00DD0E69"/>
    <w:rsid w:val="00DD116E"/>
    <w:rsid w:val="00DD3DD5"/>
    <w:rsid w:val="00DE3F54"/>
    <w:rsid w:val="00DF1D1C"/>
    <w:rsid w:val="00DF440C"/>
    <w:rsid w:val="00E015D3"/>
    <w:rsid w:val="00E045AB"/>
    <w:rsid w:val="00E0525C"/>
    <w:rsid w:val="00E069C0"/>
    <w:rsid w:val="00E16D91"/>
    <w:rsid w:val="00E17690"/>
    <w:rsid w:val="00E213C8"/>
    <w:rsid w:val="00E235CB"/>
    <w:rsid w:val="00E23BF4"/>
    <w:rsid w:val="00E266F4"/>
    <w:rsid w:val="00E26AC6"/>
    <w:rsid w:val="00E27CC7"/>
    <w:rsid w:val="00E31C73"/>
    <w:rsid w:val="00E40504"/>
    <w:rsid w:val="00E40AF3"/>
    <w:rsid w:val="00E42A3E"/>
    <w:rsid w:val="00E47544"/>
    <w:rsid w:val="00E5539D"/>
    <w:rsid w:val="00E57B00"/>
    <w:rsid w:val="00E62CC7"/>
    <w:rsid w:val="00E642A8"/>
    <w:rsid w:val="00E75542"/>
    <w:rsid w:val="00E755A9"/>
    <w:rsid w:val="00E81211"/>
    <w:rsid w:val="00E81ED3"/>
    <w:rsid w:val="00E82B37"/>
    <w:rsid w:val="00E91DC3"/>
    <w:rsid w:val="00E94491"/>
    <w:rsid w:val="00E96DF2"/>
    <w:rsid w:val="00EA3DC8"/>
    <w:rsid w:val="00EB1950"/>
    <w:rsid w:val="00EB52CC"/>
    <w:rsid w:val="00EB695C"/>
    <w:rsid w:val="00EB71DA"/>
    <w:rsid w:val="00EC15CA"/>
    <w:rsid w:val="00EC48DF"/>
    <w:rsid w:val="00EC6BF9"/>
    <w:rsid w:val="00EC79C7"/>
    <w:rsid w:val="00ED013D"/>
    <w:rsid w:val="00EE1D9B"/>
    <w:rsid w:val="00EF1F9D"/>
    <w:rsid w:val="00EF32FE"/>
    <w:rsid w:val="00EF63CB"/>
    <w:rsid w:val="00EF6998"/>
    <w:rsid w:val="00F02F3D"/>
    <w:rsid w:val="00F04672"/>
    <w:rsid w:val="00F077BF"/>
    <w:rsid w:val="00F07E2C"/>
    <w:rsid w:val="00F110B9"/>
    <w:rsid w:val="00F15C6F"/>
    <w:rsid w:val="00F17577"/>
    <w:rsid w:val="00F21F0C"/>
    <w:rsid w:val="00F4044E"/>
    <w:rsid w:val="00F41784"/>
    <w:rsid w:val="00F529AD"/>
    <w:rsid w:val="00F529BC"/>
    <w:rsid w:val="00F5330A"/>
    <w:rsid w:val="00F551C5"/>
    <w:rsid w:val="00F6129D"/>
    <w:rsid w:val="00F61E12"/>
    <w:rsid w:val="00F65F80"/>
    <w:rsid w:val="00F67480"/>
    <w:rsid w:val="00F70A38"/>
    <w:rsid w:val="00F74717"/>
    <w:rsid w:val="00F754E7"/>
    <w:rsid w:val="00F77C0B"/>
    <w:rsid w:val="00F90DBB"/>
    <w:rsid w:val="00F91DB8"/>
    <w:rsid w:val="00FA7339"/>
    <w:rsid w:val="00FC1BE2"/>
    <w:rsid w:val="00FC3F6C"/>
    <w:rsid w:val="00FC56F9"/>
    <w:rsid w:val="00FC6028"/>
    <w:rsid w:val="00FD062D"/>
    <w:rsid w:val="00FD3799"/>
    <w:rsid w:val="00FD62EF"/>
    <w:rsid w:val="00FD63B5"/>
    <w:rsid w:val="00FD6A33"/>
    <w:rsid w:val="00FD6E6A"/>
    <w:rsid w:val="00FE2B06"/>
    <w:rsid w:val="00FE568A"/>
    <w:rsid w:val="00FF3DD9"/>
    <w:rsid w:val="00FF536C"/>
    <w:rsid w:val="00FF704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2" w:uiPriority="39"/>
    <w:lsdException w:name="footer" w:uiPriority="99"/>
    <w:lsdException w:name="caption" w:semiHidden="1" w:unhideWhenUsed="1"/>
    <w:lsdException w:name="List Bullet" w:qFormat="1"/>
    <w:lsdException w:name="List Number" w:qFormat="1"/>
    <w:lsdException w:name="List Bullet 2" w:qFormat="1"/>
    <w:lsdException w:name="List Number 2" w:qFormat="1"/>
    <w:lsdException w:name="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E4BFD"/>
    <w:pPr>
      <w:spacing w:after="120" w:line="240" w:lineRule="auto"/>
    </w:pPr>
    <w:rPr>
      <w:rFonts w:ascii="Arial" w:eastAsia="Times New Roman" w:hAnsi="Arial" w:cs="Times New Roman"/>
    </w:rPr>
  </w:style>
  <w:style w:type="paragraph" w:styleId="Heading1">
    <w:name w:val="heading 1"/>
    <w:basedOn w:val="Normal"/>
    <w:next w:val="Normal"/>
    <w:link w:val="Heading1Char"/>
    <w:qFormat/>
    <w:rsid w:val="00145652"/>
    <w:pPr>
      <w:tabs>
        <w:tab w:val="left" w:pos="966"/>
      </w:tabs>
      <w:spacing w:after="200" w:line="276" w:lineRule="auto"/>
      <w:outlineLvl w:val="0"/>
    </w:pPr>
    <w:rPr>
      <w:rFonts w:eastAsiaTheme="majorEastAsia" w:cstheme="majorBidi"/>
      <w:b/>
      <w:bCs/>
      <w:caps/>
      <w:kern w:val="32"/>
      <w:sz w:val="28"/>
      <w:szCs w:val="40"/>
      <w:lang w:eastAsia="en-US"/>
    </w:rPr>
  </w:style>
  <w:style w:type="paragraph" w:styleId="Heading2">
    <w:name w:val="heading 2"/>
    <w:basedOn w:val="Normal"/>
    <w:next w:val="Normal"/>
    <w:link w:val="Heading2Char"/>
    <w:unhideWhenUsed/>
    <w:qFormat/>
    <w:rsid w:val="00145652"/>
    <w:pPr>
      <w:tabs>
        <w:tab w:val="left" w:pos="966"/>
      </w:tabs>
      <w:spacing w:after="200" w:line="276" w:lineRule="auto"/>
      <w:outlineLvl w:val="1"/>
    </w:pPr>
  </w:style>
  <w:style w:type="paragraph" w:styleId="Heading3">
    <w:name w:val="heading 3"/>
    <w:basedOn w:val="Normal"/>
    <w:next w:val="Normal"/>
    <w:link w:val="Heading3Char"/>
    <w:uiPriority w:val="9"/>
    <w:unhideWhenUsed/>
    <w:qFormat/>
    <w:rsid w:val="00145652"/>
    <w:pPr>
      <w:tabs>
        <w:tab w:val="left" w:pos="966"/>
      </w:tabs>
      <w:outlineLvl w:val="2"/>
    </w:pPr>
    <w:rPr>
      <w:b/>
      <w:i/>
    </w:rPr>
  </w:style>
  <w:style w:type="paragraph" w:styleId="Heading4">
    <w:name w:val="heading 4"/>
    <w:basedOn w:val="Normal"/>
    <w:next w:val="Normal"/>
    <w:link w:val="Heading4Char"/>
    <w:uiPriority w:val="9"/>
    <w:unhideWhenUsed/>
    <w:qFormat/>
    <w:rsid w:val="00E26AC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26AC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26AC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26AC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6AC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26AC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TOC1"/>
    <w:link w:val="TOCChar"/>
    <w:qFormat/>
    <w:rsid w:val="00E26AC6"/>
    <w:pPr>
      <w:tabs>
        <w:tab w:val="right" w:leader="dot" w:pos="9344"/>
      </w:tabs>
      <w:spacing w:before="360" w:after="360"/>
    </w:pPr>
    <w:rPr>
      <w:rFonts w:cs="Arial"/>
      <w:b/>
      <w:bCs/>
      <w:caps/>
      <w:sz w:val="32"/>
      <w:szCs w:val="32"/>
    </w:rPr>
  </w:style>
  <w:style w:type="character" w:customStyle="1" w:styleId="TOCChar">
    <w:name w:val="TOC Char"/>
    <w:basedOn w:val="DefaultParagraphFont"/>
    <w:link w:val="TOC"/>
    <w:rsid w:val="00E26AC6"/>
    <w:rPr>
      <w:rFonts w:ascii="Arial" w:eastAsia="Times New Roman" w:hAnsi="Arial" w:cs="Arial"/>
      <w:b/>
      <w:bCs/>
      <w:caps/>
      <w:sz w:val="32"/>
      <w:szCs w:val="32"/>
    </w:rPr>
  </w:style>
  <w:style w:type="paragraph" w:styleId="TOC1">
    <w:name w:val="toc 1"/>
    <w:basedOn w:val="Normal"/>
    <w:next w:val="Normal"/>
    <w:autoRedefine/>
    <w:rsid w:val="00E26AC6"/>
    <w:pPr>
      <w:spacing w:after="100"/>
    </w:pPr>
  </w:style>
  <w:style w:type="character" w:customStyle="1" w:styleId="Heading1Char">
    <w:name w:val="Heading 1 Char"/>
    <w:basedOn w:val="DefaultParagraphFont"/>
    <w:link w:val="Heading1"/>
    <w:rsid w:val="00145652"/>
    <w:rPr>
      <w:rFonts w:ascii="Arial" w:eastAsiaTheme="majorEastAsia" w:hAnsi="Arial" w:cstheme="majorBidi"/>
      <w:b/>
      <w:bCs/>
      <w:caps/>
      <w:kern w:val="32"/>
      <w:sz w:val="28"/>
      <w:szCs w:val="40"/>
      <w:lang w:eastAsia="en-US"/>
    </w:rPr>
  </w:style>
  <w:style w:type="character" w:customStyle="1" w:styleId="Heading2Char">
    <w:name w:val="Heading 2 Char"/>
    <w:basedOn w:val="DefaultParagraphFont"/>
    <w:link w:val="Heading2"/>
    <w:rsid w:val="00145652"/>
    <w:rPr>
      <w:rFonts w:ascii="Arial" w:eastAsia="Times New Roman" w:hAnsi="Arial" w:cs="Times New Roman"/>
    </w:rPr>
  </w:style>
  <w:style w:type="character" w:customStyle="1" w:styleId="Heading3Char">
    <w:name w:val="Heading 3 Char"/>
    <w:basedOn w:val="DefaultParagraphFont"/>
    <w:link w:val="Heading3"/>
    <w:uiPriority w:val="9"/>
    <w:rsid w:val="00145652"/>
    <w:rPr>
      <w:rFonts w:ascii="Arial" w:eastAsia="Times New Roman" w:hAnsi="Arial" w:cs="Times New Roman"/>
      <w:b/>
      <w:i/>
    </w:rPr>
  </w:style>
  <w:style w:type="character" w:customStyle="1" w:styleId="Heading4Char">
    <w:name w:val="Heading 4 Char"/>
    <w:basedOn w:val="DefaultParagraphFont"/>
    <w:link w:val="Heading4"/>
    <w:uiPriority w:val="9"/>
    <w:rsid w:val="00E26AC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26AC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26AC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26AC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26AC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26AC6"/>
    <w:rPr>
      <w:rFonts w:asciiTheme="majorHAnsi" w:eastAsiaTheme="majorEastAsia" w:hAnsiTheme="majorHAnsi" w:cstheme="majorBidi"/>
      <w:i/>
      <w:iCs/>
      <w:spacing w:val="5"/>
      <w:sz w:val="20"/>
      <w:szCs w:val="20"/>
    </w:rPr>
  </w:style>
  <w:style w:type="paragraph" w:styleId="ListBullet">
    <w:name w:val="List Bullet"/>
    <w:basedOn w:val="Normal"/>
    <w:qFormat/>
    <w:rsid w:val="00E26AC6"/>
    <w:pPr>
      <w:numPr>
        <w:numId w:val="1"/>
      </w:numPr>
    </w:pPr>
  </w:style>
  <w:style w:type="paragraph" w:styleId="ListNumber">
    <w:name w:val="List Number"/>
    <w:basedOn w:val="Normal"/>
    <w:qFormat/>
    <w:rsid w:val="00E26AC6"/>
    <w:pPr>
      <w:numPr>
        <w:numId w:val="2"/>
      </w:numPr>
    </w:pPr>
  </w:style>
  <w:style w:type="paragraph" w:styleId="ListBullet2">
    <w:name w:val="List Bullet 2"/>
    <w:basedOn w:val="Normal"/>
    <w:qFormat/>
    <w:rsid w:val="00E26AC6"/>
    <w:pPr>
      <w:numPr>
        <w:numId w:val="3"/>
      </w:numPr>
    </w:pPr>
  </w:style>
  <w:style w:type="paragraph" w:styleId="ListNumber2">
    <w:name w:val="List Number 2"/>
    <w:basedOn w:val="Normal"/>
    <w:qFormat/>
    <w:rsid w:val="00E26AC6"/>
    <w:pPr>
      <w:numPr>
        <w:numId w:val="4"/>
      </w:numPr>
    </w:pPr>
  </w:style>
  <w:style w:type="paragraph" w:styleId="Title">
    <w:name w:val="Title"/>
    <w:basedOn w:val="Normal"/>
    <w:next w:val="Heading1"/>
    <w:link w:val="TitleChar"/>
    <w:qFormat/>
    <w:rsid w:val="00E26AC6"/>
    <w:pPr>
      <w:spacing w:before="240" w:after="60"/>
      <w:jc w:val="center"/>
      <w:outlineLvl w:val="0"/>
    </w:pPr>
    <w:rPr>
      <w:rFonts w:eastAsiaTheme="majorEastAsia" w:cstheme="majorBidi"/>
      <w:b/>
      <w:bCs/>
      <w:kern w:val="28"/>
      <w:sz w:val="72"/>
      <w:szCs w:val="32"/>
    </w:rPr>
  </w:style>
  <w:style w:type="character" w:customStyle="1" w:styleId="TitleChar">
    <w:name w:val="Title Char"/>
    <w:basedOn w:val="DefaultParagraphFont"/>
    <w:link w:val="Title"/>
    <w:rsid w:val="00E26AC6"/>
    <w:rPr>
      <w:rFonts w:ascii="Arial" w:eastAsiaTheme="majorEastAsia" w:hAnsi="Arial" w:cstheme="majorBidi"/>
      <w:b/>
      <w:bCs/>
      <w:kern w:val="28"/>
      <w:sz w:val="72"/>
      <w:szCs w:val="32"/>
    </w:rPr>
  </w:style>
  <w:style w:type="character" w:styleId="Strong">
    <w:name w:val="Strong"/>
    <w:qFormat/>
    <w:rsid w:val="00E26AC6"/>
    <w:rPr>
      <w:b/>
      <w:bCs/>
    </w:rPr>
  </w:style>
  <w:style w:type="character" w:styleId="Emphasis">
    <w:name w:val="Emphasis"/>
    <w:qFormat/>
    <w:rsid w:val="00E26AC6"/>
    <w:rPr>
      <w:bCs/>
      <w:i/>
    </w:rPr>
  </w:style>
  <w:style w:type="paragraph" w:styleId="Quote">
    <w:name w:val="Quote"/>
    <w:basedOn w:val="Normal"/>
    <w:next w:val="Normal"/>
    <w:link w:val="QuoteChar"/>
    <w:uiPriority w:val="29"/>
    <w:qFormat/>
    <w:rsid w:val="00E26AC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26AC6"/>
    <w:rPr>
      <w:i/>
      <w:iCs/>
    </w:rPr>
  </w:style>
  <w:style w:type="paragraph" w:styleId="TOCHeading">
    <w:name w:val="TOC Heading"/>
    <w:basedOn w:val="Heading1"/>
    <w:next w:val="Normal"/>
    <w:uiPriority w:val="39"/>
    <w:unhideWhenUsed/>
    <w:qFormat/>
    <w:rsid w:val="00E26AC6"/>
    <w:pPr>
      <w:outlineLvl w:val="9"/>
    </w:pPr>
    <w:rPr>
      <w:lang w:bidi="en-US"/>
    </w:rPr>
  </w:style>
  <w:style w:type="paragraph" w:styleId="ListParagraph">
    <w:name w:val="List Paragraph"/>
    <w:basedOn w:val="Normal"/>
    <w:link w:val="ListParagraphChar"/>
    <w:uiPriority w:val="34"/>
    <w:qFormat/>
    <w:rsid w:val="003C1C26"/>
    <w:pPr>
      <w:numPr>
        <w:numId w:val="5"/>
      </w:numPr>
      <w:contextualSpacing/>
    </w:pPr>
  </w:style>
  <w:style w:type="character" w:customStyle="1" w:styleId="ListParagraphChar">
    <w:name w:val="List Paragraph Char"/>
    <w:basedOn w:val="DefaultParagraphFont"/>
    <w:link w:val="ListParagraph"/>
    <w:uiPriority w:val="34"/>
    <w:rsid w:val="003C1C26"/>
    <w:rPr>
      <w:rFonts w:ascii="Arial" w:eastAsia="Times New Roman" w:hAnsi="Arial" w:cs="Times New Roman"/>
    </w:rPr>
  </w:style>
  <w:style w:type="paragraph" w:customStyle="1" w:styleId="dotpoints">
    <w:name w:val="dot points"/>
    <w:basedOn w:val="TOC1"/>
    <w:link w:val="dotpointsChar"/>
    <w:qFormat/>
    <w:rsid w:val="003C1C26"/>
    <w:pPr>
      <w:numPr>
        <w:numId w:val="6"/>
      </w:numPr>
      <w:tabs>
        <w:tab w:val="left" w:pos="440"/>
        <w:tab w:val="right" w:leader="dot" w:pos="9062"/>
      </w:tabs>
      <w:spacing w:after="60"/>
    </w:pPr>
    <w:rPr>
      <w:rFonts w:eastAsia="Batang"/>
    </w:rPr>
  </w:style>
  <w:style w:type="character" w:customStyle="1" w:styleId="dotpointsChar">
    <w:name w:val="dot points Char"/>
    <w:basedOn w:val="DefaultParagraphFont"/>
    <w:link w:val="dotpoints"/>
    <w:rsid w:val="003C1C26"/>
    <w:rPr>
      <w:rFonts w:ascii="Arial" w:eastAsia="Batang" w:hAnsi="Arial" w:cs="Times New Roman"/>
    </w:rPr>
  </w:style>
  <w:style w:type="character" w:styleId="CommentReference">
    <w:name w:val="annotation reference"/>
    <w:basedOn w:val="DefaultParagraphFont"/>
    <w:rsid w:val="00E0525C"/>
    <w:rPr>
      <w:sz w:val="16"/>
      <w:szCs w:val="16"/>
    </w:rPr>
  </w:style>
  <w:style w:type="paragraph" w:styleId="CommentText">
    <w:name w:val="annotation text"/>
    <w:basedOn w:val="Normal"/>
    <w:link w:val="CommentTextChar"/>
    <w:rsid w:val="00E0525C"/>
    <w:rPr>
      <w:rFonts w:eastAsiaTheme="minorHAnsi" w:cstheme="minorBidi"/>
      <w:sz w:val="20"/>
      <w:szCs w:val="20"/>
    </w:rPr>
  </w:style>
  <w:style w:type="character" w:customStyle="1" w:styleId="CommentTextChar">
    <w:name w:val="Comment Text Char"/>
    <w:basedOn w:val="DefaultParagraphFont"/>
    <w:link w:val="CommentText"/>
    <w:rsid w:val="00E0525C"/>
    <w:rPr>
      <w:rFonts w:ascii="Arial" w:hAnsi="Arial"/>
      <w:sz w:val="20"/>
      <w:szCs w:val="20"/>
    </w:rPr>
  </w:style>
  <w:style w:type="paragraph" w:styleId="BalloonText">
    <w:name w:val="Balloon Text"/>
    <w:basedOn w:val="Normal"/>
    <w:link w:val="BalloonTextChar"/>
    <w:rsid w:val="00E0525C"/>
    <w:pPr>
      <w:spacing w:after="0"/>
    </w:pPr>
    <w:rPr>
      <w:rFonts w:ascii="Tahoma" w:hAnsi="Tahoma" w:cs="Tahoma"/>
      <w:sz w:val="16"/>
      <w:szCs w:val="16"/>
    </w:rPr>
  </w:style>
  <w:style w:type="character" w:customStyle="1" w:styleId="BalloonTextChar">
    <w:name w:val="Balloon Text Char"/>
    <w:basedOn w:val="DefaultParagraphFont"/>
    <w:link w:val="BalloonText"/>
    <w:rsid w:val="00E0525C"/>
    <w:rPr>
      <w:rFonts w:ascii="Tahoma" w:eastAsia="Times New Roman" w:hAnsi="Tahoma" w:cs="Tahoma"/>
      <w:sz w:val="16"/>
      <w:szCs w:val="16"/>
    </w:rPr>
  </w:style>
  <w:style w:type="paragraph" w:customStyle="1" w:styleId="Default">
    <w:name w:val="Default"/>
    <w:rsid w:val="00AB298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17690"/>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17690"/>
    <w:rPr>
      <w:color w:val="0000FF"/>
      <w:u w:val="single"/>
    </w:rPr>
  </w:style>
  <w:style w:type="paragraph" w:styleId="CommentSubject">
    <w:name w:val="annotation subject"/>
    <w:basedOn w:val="CommentText"/>
    <w:next w:val="CommentText"/>
    <w:link w:val="CommentSubjectChar"/>
    <w:rsid w:val="0092458C"/>
    <w:rPr>
      <w:rFonts w:eastAsia="Times New Roman" w:cs="Times New Roman"/>
      <w:b/>
      <w:bCs/>
    </w:rPr>
  </w:style>
  <w:style w:type="character" w:customStyle="1" w:styleId="CommentSubjectChar">
    <w:name w:val="Comment Subject Char"/>
    <w:basedOn w:val="CommentTextChar"/>
    <w:link w:val="CommentSubject"/>
    <w:rsid w:val="0092458C"/>
    <w:rPr>
      <w:rFonts w:ascii="Arial" w:eastAsia="Times New Roman" w:hAnsi="Arial" w:cs="Times New Roman"/>
      <w:b/>
      <w:bCs/>
      <w:sz w:val="20"/>
      <w:szCs w:val="20"/>
    </w:rPr>
  </w:style>
  <w:style w:type="paragraph" w:styleId="Revision">
    <w:name w:val="Revision"/>
    <w:hidden/>
    <w:uiPriority w:val="99"/>
    <w:semiHidden/>
    <w:rsid w:val="0092458C"/>
    <w:pPr>
      <w:spacing w:after="0" w:line="240" w:lineRule="auto"/>
    </w:pPr>
    <w:rPr>
      <w:rFonts w:ascii="Arial" w:eastAsia="Times New Roman" w:hAnsi="Arial" w:cs="Times New Roman"/>
    </w:rPr>
  </w:style>
  <w:style w:type="character" w:styleId="EndnoteReference">
    <w:name w:val="endnote reference"/>
    <w:basedOn w:val="DefaultParagraphFont"/>
    <w:rsid w:val="001B505D"/>
    <w:rPr>
      <w:vertAlign w:val="superscript"/>
    </w:rPr>
  </w:style>
  <w:style w:type="paragraph" w:styleId="EndnoteText">
    <w:name w:val="endnote text"/>
    <w:basedOn w:val="Normal"/>
    <w:link w:val="EndnoteTextChar"/>
    <w:rsid w:val="001B505D"/>
    <w:pPr>
      <w:spacing w:after="0"/>
    </w:pPr>
    <w:rPr>
      <w:sz w:val="20"/>
      <w:szCs w:val="20"/>
    </w:rPr>
  </w:style>
  <w:style w:type="character" w:customStyle="1" w:styleId="EndnoteTextChar">
    <w:name w:val="Endnote Text Char"/>
    <w:basedOn w:val="DefaultParagraphFont"/>
    <w:link w:val="EndnoteText"/>
    <w:rsid w:val="001B505D"/>
    <w:rPr>
      <w:rFonts w:ascii="Arial" w:eastAsia="Times New Roman" w:hAnsi="Arial" w:cs="Times New Roman"/>
      <w:sz w:val="20"/>
      <w:szCs w:val="20"/>
    </w:rPr>
  </w:style>
  <w:style w:type="paragraph" w:styleId="Header">
    <w:name w:val="header"/>
    <w:basedOn w:val="Normal"/>
    <w:link w:val="HeaderChar"/>
    <w:rsid w:val="000B5B1E"/>
    <w:pPr>
      <w:tabs>
        <w:tab w:val="center" w:pos="4513"/>
        <w:tab w:val="right" w:pos="9026"/>
      </w:tabs>
      <w:spacing w:after="0"/>
    </w:pPr>
  </w:style>
  <w:style w:type="character" w:customStyle="1" w:styleId="HeaderChar">
    <w:name w:val="Header Char"/>
    <w:basedOn w:val="DefaultParagraphFont"/>
    <w:link w:val="Header"/>
    <w:rsid w:val="000B5B1E"/>
    <w:rPr>
      <w:rFonts w:ascii="Arial" w:eastAsia="Times New Roman" w:hAnsi="Arial" w:cs="Times New Roman"/>
    </w:rPr>
  </w:style>
  <w:style w:type="paragraph" w:styleId="Footer">
    <w:name w:val="footer"/>
    <w:basedOn w:val="Normal"/>
    <w:link w:val="FooterChar"/>
    <w:uiPriority w:val="99"/>
    <w:rsid w:val="000B5B1E"/>
    <w:pPr>
      <w:tabs>
        <w:tab w:val="center" w:pos="4513"/>
        <w:tab w:val="right" w:pos="9026"/>
      </w:tabs>
      <w:spacing w:after="0"/>
    </w:pPr>
  </w:style>
  <w:style w:type="character" w:customStyle="1" w:styleId="FooterChar">
    <w:name w:val="Footer Char"/>
    <w:basedOn w:val="DefaultParagraphFont"/>
    <w:link w:val="Footer"/>
    <w:uiPriority w:val="99"/>
    <w:rsid w:val="000B5B1E"/>
    <w:rPr>
      <w:rFonts w:ascii="Arial" w:eastAsia="Times New Roman" w:hAnsi="Arial" w:cs="Times New Roman"/>
    </w:rPr>
  </w:style>
  <w:style w:type="paragraph" w:customStyle="1" w:styleId="Paragraph">
    <w:name w:val="Paragraph"/>
    <w:basedOn w:val="Normal"/>
    <w:uiPriority w:val="99"/>
    <w:rsid w:val="00455D9E"/>
    <w:pPr>
      <w:numPr>
        <w:numId w:val="8"/>
      </w:numPr>
      <w:tabs>
        <w:tab w:val="left" w:pos="425"/>
      </w:tabs>
      <w:spacing w:after="240"/>
    </w:pPr>
    <w:rPr>
      <w:rFonts w:cs="Arial"/>
    </w:rPr>
  </w:style>
  <w:style w:type="numbering" w:customStyle="1" w:styleId="StyleOutlinenumberedVerdana">
    <w:name w:val="Style Outline numbered Verdana"/>
    <w:basedOn w:val="NoList"/>
    <w:rsid w:val="00455D9E"/>
    <w:pPr>
      <w:numPr>
        <w:numId w:val="8"/>
      </w:numPr>
    </w:pPr>
  </w:style>
  <w:style w:type="paragraph" w:styleId="FootnoteText">
    <w:name w:val="footnote text"/>
    <w:basedOn w:val="Normal"/>
    <w:link w:val="FootnoteTextChar"/>
    <w:rsid w:val="004942C1"/>
    <w:pPr>
      <w:spacing w:after="0"/>
    </w:pPr>
    <w:rPr>
      <w:sz w:val="20"/>
      <w:szCs w:val="20"/>
    </w:rPr>
  </w:style>
  <w:style w:type="character" w:customStyle="1" w:styleId="FootnoteTextChar">
    <w:name w:val="Footnote Text Char"/>
    <w:basedOn w:val="DefaultParagraphFont"/>
    <w:link w:val="FootnoteText"/>
    <w:rsid w:val="004942C1"/>
    <w:rPr>
      <w:rFonts w:ascii="Arial" w:eastAsia="Times New Roman" w:hAnsi="Arial" w:cs="Times New Roman"/>
      <w:sz w:val="20"/>
      <w:szCs w:val="20"/>
    </w:rPr>
  </w:style>
  <w:style w:type="character" w:styleId="FootnoteReference">
    <w:name w:val="footnote reference"/>
    <w:basedOn w:val="DefaultParagraphFont"/>
    <w:rsid w:val="004942C1"/>
    <w:rPr>
      <w:vertAlign w:val="superscript"/>
    </w:rPr>
  </w:style>
  <w:style w:type="character" w:styleId="FollowedHyperlink">
    <w:name w:val="FollowedHyperlink"/>
    <w:basedOn w:val="DefaultParagraphFont"/>
    <w:rsid w:val="005C75E8"/>
    <w:rPr>
      <w:color w:val="919191" w:themeColor="followedHyperlink"/>
      <w:u w:val="single"/>
    </w:rPr>
  </w:style>
  <w:style w:type="table" w:styleId="TableList3">
    <w:name w:val="Table List 3"/>
    <w:basedOn w:val="TableNormal"/>
    <w:rsid w:val="00141BDE"/>
    <w:pPr>
      <w:spacing w:after="12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a2">
    <w:name w:val="Pa2"/>
    <w:basedOn w:val="Default"/>
    <w:next w:val="Default"/>
    <w:uiPriority w:val="99"/>
    <w:rsid w:val="00DE3F54"/>
    <w:pPr>
      <w:spacing w:line="181" w:lineRule="atLeast"/>
    </w:pPr>
    <w:rPr>
      <w:rFonts w:ascii="Myriad Pro" w:hAnsi="Myriad Pro" w:cstheme="minorBidi"/>
      <w:color w:val="auto"/>
    </w:rPr>
  </w:style>
  <w:style w:type="character" w:customStyle="1" w:styleId="A2">
    <w:name w:val="A2"/>
    <w:uiPriority w:val="99"/>
    <w:rsid w:val="00DE3F54"/>
    <w:rPr>
      <w:rFonts w:cs="Myriad Pro"/>
      <w:b/>
      <w:bCs/>
      <w:color w:val="000000"/>
      <w:sz w:val="16"/>
      <w:szCs w:val="16"/>
    </w:rPr>
  </w:style>
  <w:style w:type="paragraph" w:styleId="Caption">
    <w:name w:val="caption"/>
    <w:basedOn w:val="Normal"/>
    <w:next w:val="Normal"/>
    <w:unhideWhenUsed/>
    <w:rsid w:val="00827476"/>
    <w:pPr>
      <w:spacing w:after="200"/>
    </w:pPr>
    <w:rPr>
      <w:rFonts w:eastAsiaTheme="minorHAnsi" w:cstheme="minorBidi"/>
      <w:b/>
      <w:bCs/>
      <w:color w:val="DDDDDD" w:themeColor="accent1"/>
      <w:sz w:val="18"/>
      <w:szCs w:val="18"/>
    </w:rPr>
  </w:style>
  <w:style w:type="paragraph" w:customStyle="1" w:styleId="Figuretitlefullcolumnwidth">
    <w:name w:val="Figure title full column width"/>
    <w:basedOn w:val="Normal"/>
    <w:uiPriority w:val="99"/>
    <w:rsid w:val="004376FB"/>
    <w:pPr>
      <w:suppressAutoHyphens/>
      <w:autoSpaceDE w:val="0"/>
      <w:autoSpaceDN w:val="0"/>
      <w:adjustRightInd w:val="0"/>
      <w:spacing w:before="170" w:after="113" w:line="240" w:lineRule="atLeast"/>
      <w:jc w:val="center"/>
      <w:textAlignment w:val="center"/>
    </w:pPr>
    <w:rPr>
      <w:rFonts w:cs="Arial"/>
      <w:b/>
      <w:bCs/>
      <w:color w:val="55164F"/>
      <w:sz w:val="24"/>
      <w:szCs w:val="24"/>
      <w:lang w:val="en-GB"/>
    </w:rPr>
  </w:style>
  <w:style w:type="table" w:styleId="TableGrid">
    <w:name w:val="Table Grid"/>
    <w:basedOn w:val="TableNormal"/>
    <w:rsid w:val="004376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ootnote-fullwidthTableformating">
    <w:name w:val="Table footnote - full width (Table formating)"/>
    <w:basedOn w:val="Normal"/>
    <w:uiPriority w:val="99"/>
    <w:rsid w:val="004376FB"/>
    <w:pPr>
      <w:suppressAutoHyphens/>
      <w:autoSpaceDE w:val="0"/>
      <w:autoSpaceDN w:val="0"/>
      <w:adjustRightInd w:val="0"/>
      <w:spacing w:after="170" w:line="288" w:lineRule="auto"/>
      <w:ind w:left="283"/>
      <w:textAlignment w:val="center"/>
    </w:pPr>
    <w:rPr>
      <w:rFonts w:cs="Arial"/>
      <w:i/>
      <w:iCs/>
      <w:color w:val="000000"/>
      <w:sz w:val="14"/>
      <w:szCs w:val="14"/>
      <w:lang w:val="en-US"/>
    </w:rPr>
  </w:style>
  <w:style w:type="paragraph" w:customStyle="1" w:styleId="StyleAS">
    <w:name w:val="Style AS"/>
    <w:basedOn w:val="Normal"/>
    <w:link w:val="StyleASChar"/>
    <w:qFormat/>
    <w:rsid w:val="003261DA"/>
    <w:pPr>
      <w:autoSpaceDE w:val="0"/>
      <w:autoSpaceDN w:val="0"/>
      <w:adjustRightInd w:val="0"/>
      <w:spacing w:after="220" w:line="201" w:lineRule="atLeast"/>
    </w:pPr>
    <w:rPr>
      <w:rFonts w:ascii="Gotham Book" w:eastAsiaTheme="minorHAnsi" w:hAnsi="Gotham Book" w:cs="Gotham Book"/>
      <w:color w:val="000000"/>
      <w:sz w:val="18"/>
      <w:szCs w:val="24"/>
    </w:rPr>
  </w:style>
  <w:style w:type="character" w:customStyle="1" w:styleId="StyleASChar">
    <w:name w:val="Style AS Char"/>
    <w:basedOn w:val="DefaultParagraphFont"/>
    <w:link w:val="StyleAS"/>
    <w:rsid w:val="003261DA"/>
    <w:rPr>
      <w:rFonts w:ascii="Gotham Book" w:hAnsi="Gotham Book" w:cs="Gotham Book"/>
      <w:color w:val="000000"/>
      <w:sz w:val="18"/>
      <w:szCs w:val="24"/>
    </w:rPr>
  </w:style>
  <w:style w:type="paragraph" w:customStyle="1" w:styleId="Title1">
    <w:name w:val="Title1"/>
    <w:basedOn w:val="Normal"/>
    <w:link w:val="TITLEChar0"/>
    <w:qFormat/>
    <w:rsid w:val="008B4C88"/>
    <w:pPr>
      <w:spacing w:before="120" w:after="60"/>
      <w:jc w:val="center"/>
    </w:pPr>
    <w:rPr>
      <w:b/>
      <w:sz w:val="72"/>
      <w:szCs w:val="72"/>
    </w:rPr>
  </w:style>
  <w:style w:type="character" w:customStyle="1" w:styleId="TITLEChar0">
    <w:name w:val="TITLE Char"/>
    <w:basedOn w:val="DefaultParagraphFont"/>
    <w:link w:val="Title1"/>
    <w:rsid w:val="008B4C88"/>
    <w:rPr>
      <w:rFonts w:ascii="Arial" w:eastAsia="Times New Roman" w:hAnsi="Arial" w:cs="Times New Roman"/>
      <w:b/>
      <w:sz w:val="72"/>
      <w:szCs w:val="72"/>
    </w:rPr>
  </w:style>
  <w:style w:type="paragraph" w:customStyle="1" w:styleId="Graphcommentary">
    <w:name w:val="Graph commentary"/>
    <w:basedOn w:val="Normal"/>
    <w:uiPriority w:val="99"/>
    <w:rsid w:val="0035061D"/>
    <w:pPr>
      <w:suppressAutoHyphens/>
      <w:autoSpaceDE w:val="0"/>
      <w:autoSpaceDN w:val="0"/>
      <w:adjustRightInd w:val="0"/>
      <w:spacing w:after="113" w:line="288" w:lineRule="auto"/>
      <w:textAlignment w:val="center"/>
    </w:pPr>
    <w:rPr>
      <w:rFonts w:cs="Arial"/>
      <w:color w:val="00456B"/>
      <w:lang w:val="en-US"/>
    </w:rPr>
  </w:style>
  <w:style w:type="numbering" w:customStyle="1" w:styleId="NoList1">
    <w:name w:val="No List1"/>
    <w:next w:val="NoList"/>
    <w:uiPriority w:val="99"/>
    <w:semiHidden/>
    <w:unhideWhenUsed/>
    <w:rsid w:val="00A22C9C"/>
  </w:style>
  <w:style w:type="numbering" w:customStyle="1" w:styleId="NoList11">
    <w:name w:val="No List11"/>
    <w:next w:val="NoList"/>
    <w:uiPriority w:val="99"/>
    <w:semiHidden/>
    <w:unhideWhenUsed/>
    <w:rsid w:val="00A22C9C"/>
  </w:style>
  <w:style w:type="numbering" w:customStyle="1" w:styleId="StyleOutlinenumberedVerdana1">
    <w:name w:val="Style Outline numbered Verdana1"/>
    <w:basedOn w:val="NoList"/>
    <w:rsid w:val="00A22C9C"/>
  </w:style>
  <w:style w:type="paragraph" w:styleId="TOC2">
    <w:name w:val="toc 2"/>
    <w:basedOn w:val="Normal"/>
    <w:next w:val="Normal"/>
    <w:autoRedefine/>
    <w:uiPriority w:val="39"/>
    <w:rsid w:val="00A22C9C"/>
    <w:pPr>
      <w:spacing w:after="100"/>
      <w:ind w:left="220"/>
    </w:pPr>
  </w:style>
  <w:style w:type="numbering" w:customStyle="1" w:styleId="NoList2">
    <w:name w:val="No List2"/>
    <w:next w:val="NoList"/>
    <w:uiPriority w:val="99"/>
    <w:semiHidden/>
    <w:unhideWhenUsed/>
    <w:rsid w:val="00390B30"/>
  </w:style>
  <w:style w:type="table" w:customStyle="1" w:styleId="TableList31">
    <w:name w:val="Table List 31"/>
    <w:basedOn w:val="TableNormal"/>
    <w:next w:val="TableList3"/>
    <w:rsid w:val="00390B30"/>
    <w:pPr>
      <w:spacing w:after="12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rsid w:val="00390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90B30"/>
  </w:style>
  <w:style w:type="numbering" w:customStyle="1" w:styleId="NoList111">
    <w:name w:val="No List111"/>
    <w:next w:val="NoList"/>
    <w:uiPriority w:val="99"/>
    <w:semiHidden/>
    <w:unhideWhenUsed/>
    <w:rsid w:val="00390B30"/>
  </w:style>
  <w:style w:type="numbering" w:customStyle="1" w:styleId="StyleOutlinenumberedVerdana11">
    <w:name w:val="Style Outline numbered Verdana11"/>
    <w:basedOn w:val="NoList"/>
    <w:rsid w:val="00390B30"/>
  </w:style>
  <w:style w:type="paragraph" w:customStyle="1" w:styleId="Pa3">
    <w:name w:val="Pa3"/>
    <w:basedOn w:val="Default"/>
    <w:next w:val="Default"/>
    <w:uiPriority w:val="99"/>
    <w:rsid w:val="00FF536C"/>
    <w:pPr>
      <w:spacing w:line="201" w:lineRule="atLeast"/>
    </w:pPr>
    <w:rPr>
      <w:rFonts w:ascii="Gotham Bold" w:hAnsi="Gotham Bold" w:cstheme="minorBidi"/>
      <w:color w:val="auto"/>
    </w:rPr>
  </w:style>
  <w:style w:type="character" w:customStyle="1" w:styleId="A3">
    <w:name w:val="A3"/>
    <w:uiPriority w:val="99"/>
    <w:rsid w:val="00FF536C"/>
    <w:rPr>
      <w:rFonts w:cs="Gotham Bold"/>
      <w:color w:val="211D1E"/>
      <w:sz w:val="18"/>
      <w:szCs w:val="18"/>
    </w:rPr>
  </w:style>
  <w:style w:type="paragraph" w:customStyle="1" w:styleId="Pa0">
    <w:name w:val="Pa0"/>
    <w:basedOn w:val="Default"/>
    <w:next w:val="Default"/>
    <w:uiPriority w:val="99"/>
    <w:rsid w:val="00FF536C"/>
    <w:pPr>
      <w:spacing w:line="201" w:lineRule="atLeast"/>
    </w:pPr>
    <w:rPr>
      <w:rFonts w:ascii="Gotham Bold" w:hAnsi="Gotham Bold" w:cstheme="minorBidi"/>
      <w:color w:val="auto"/>
    </w:rPr>
  </w:style>
  <w:style w:type="character" w:customStyle="1" w:styleId="A4">
    <w:name w:val="A4"/>
    <w:uiPriority w:val="99"/>
    <w:rsid w:val="00FF536C"/>
    <w:rPr>
      <w:rFonts w:ascii="Gotham Light" w:hAnsi="Gotham Light" w:cs="Gotham Light"/>
      <w:i/>
      <w:iCs/>
      <w:color w:val="211D1E"/>
      <w:sz w:val="18"/>
      <w:szCs w:val="18"/>
      <w:u w:val="single"/>
    </w:rPr>
  </w:style>
  <w:style w:type="paragraph" w:customStyle="1" w:styleId="breakoutbox">
    <w:name w:val="break out box"/>
    <w:basedOn w:val="dotpoints"/>
    <w:qFormat/>
    <w:rsid w:val="00160B35"/>
    <w:pPr>
      <w:numPr>
        <w:numId w:val="0"/>
      </w:numPr>
      <w:pBdr>
        <w:top w:val="single" w:sz="12" w:space="3" w:color="7F7F7F" w:themeColor="text1" w:themeTint="80"/>
        <w:left w:val="single" w:sz="12" w:space="4" w:color="7F7F7F" w:themeColor="text1" w:themeTint="80"/>
        <w:bottom w:val="single" w:sz="12" w:space="3" w:color="7F7F7F" w:themeColor="text1" w:themeTint="80"/>
        <w:right w:val="single" w:sz="12" w:space="4" w:color="7F7F7F" w:themeColor="text1" w:themeTint="80"/>
      </w:pBdr>
      <w:shd w:val="clear" w:color="auto" w:fill="F2F2F2" w:themeFill="background1" w:themeFillShade="F2"/>
      <w:spacing w:before="120" w:after="120"/>
      <w:jc w:val="center"/>
    </w:pPr>
    <w:rPr>
      <w:sz w:val="20"/>
    </w:rPr>
  </w:style>
  <w:style w:type="paragraph" w:customStyle="1" w:styleId="leadershipandculture">
    <w:name w:val="leadership and culture"/>
    <w:basedOn w:val="supplychains"/>
    <w:qFormat/>
    <w:rsid w:val="00E045AB"/>
    <w:pPr>
      <w:pBdr>
        <w:top w:val="single" w:sz="12" w:space="3" w:color="92D050"/>
        <w:left w:val="single" w:sz="12" w:space="4" w:color="92D050"/>
        <w:bottom w:val="single" w:sz="12" w:space="3" w:color="92D050"/>
        <w:right w:val="single" w:sz="12" w:space="4" w:color="92D050"/>
      </w:pBdr>
      <w:shd w:val="clear" w:color="auto" w:fill="D3FFBD"/>
    </w:pPr>
  </w:style>
  <w:style w:type="paragraph" w:customStyle="1" w:styleId="supplychains">
    <w:name w:val="supply chains"/>
    <w:basedOn w:val="breakoutbox"/>
    <w:qFormat/>
    <w:rsid w:val="0092122F"/>
    <w:pPr>
      <w:pBdr>
        <w:top w:val="single" w:sz="12" w:space="3" w:color="0070C0"/>
        <w:left w:val="single" w:sz="12" w:space="4" w:color="0070C0"/>
        <w:bottom w:val="single" w:sz="12" w:space="3" w:color="0070C0"/>
        <w:right w:val="single" w:sz="12" w:space="4" w:color="0070C0"/>
      </w:pBdr>
      <w:shd w:val="clear" w:color="auto" w:fill="D6DBFE"/>
    </w:pPr>
  </w:style>
  <w:style w:type="paragraph" w:customStyle="1" w:styleId="research">
    <w:name w:val="research"/>
    <w:basedOn w:val="leadershipandculture"/>
    <w:qFormat/>
    <w:rsid w:val="00E045AB"/>
    <w:pPr>
      <w:pBdr>
        <w:top w:val="single" w:sz="12" w:space="3" w:color="00B050"/>
        <w:left w:val="single" w:sz="12" w:space="4" w:color="00B050"/>
        <w:bottom w:val="single" w:sz="12" w:space="3" w:color="00B050"/>
        <w:right w:val="single" w:sz="12" w:space="4" w:color="00B050"/>
      </w:pBdr>
      <w:shd w:val="clear" w:color="auto" w:fill="A9E5C0"/>
    </w:pPr>
  </w:style>
  <w:style w:type="paragraph" w:customStyle="1" w:styleId="responsiveregulation">
    <w:name w:val="responsive regulation"/>
    <w:basedOn w:val="research"/>
    <w:qFormat/>
    <w:rsid w:val="005F502D"/>
    <w:pPr>
      <w:pBdr>
        <w:top w:val="single" w:sz="12" w:space="3" w:color="06C6D0"/>
        <w:left w:val="single" w:sz="12" w:space="4" w:color="06C6D0"/>
        <w:bottom w:val="single" w:sz="12" w:space="3" w:color="06C6D0"/>
        <w:right w:val="single" w:sz="12" w:space="4" w:color="06C6D0"/>
      </w:pBdr>
      <w:shd w:val="clear" w:color="auto" w:fill="C1FBF0"/>
      <w:tabs>
        <w:tab w:val="left" w:pos="96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2" w:uiPriority="39"/>
    <w:lsdException w:name="footer" w:uiPriority="99"/>
    <w:lsdException w:name="caption" w:semiHidden="1" w:unhideWhenUsed="1"/>
    <w:lsdException w:name="List Bullet" w:qFormat="1"/>
    <w:lsdException w:name="List Number" w:qFormat="1"/>
    <w:lsdException w:name="List Bullet 2" w:qFormat="1"/>
    <w:lsdException w:name="List Number 2" w:qFormat="1"/>
    <w:lsdException w:name="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E4BFD"/>
    <w:pPr>
      <w:spacing w:after="120" w:line="240" w:lineRule="auto"/>
    </w:pPr>
    <w:rPr>
      <w:rFonts w:ascii="Arial" w:eastAsia="Times New Roman" w:hAnsi="Arial" w:cs="Times New Roman"/>
    </w:rPr>
  </w:style>
  <w:style w:type="paragraph" w:styleId="Heading1">
    <w:name w:val="heading 1"/>
    <w:basedOn w:val="Normal"/>
    <w:next w:val="Normal"/>
    <w:link w:val="Heading1Char"/>
    <w:qFormat/>
    <w:rsid w:val="00145652"/>
    <w:pPr>
      <w:tabs>
        <w:tab w:val="left" w:pos="966"/>
      </w:tabs>
      <w:spacing w:after="200" w:line="276" w:lineRule="auto"/>
      <w:outlineLvl w:val="0"/>
    </w:pPr>
    <w:rPr>
      <w:rFonts w:eastAsiaTheme="majorEastAsia" w:cstheme="majorBidi"/>
      <w:b/>
      <w:bCs/>
      <w:caps/>
      <w:kern w:val="32"/>
      <w:sz w:val="28"/>
      <w:szCs w:val="40"/>
      <w:lang w:eastAsia="en-US"/>
    </w:rPr>
  </w:style>
  <w:style w:type="paragraph" w:styleId="Heading2">
    <w:name w:val="heading 2"/>
    <w:basedOn w:val="Normal"/>
    <w:next w:val="Normal"/>
    <w:link w:val="Heading2Char"/>
    <w:unhideWhenUsed/>
    <w:qFormat/>
    <w:rsid w:val="00145652"/>
    <w:pPr>
      <w:tabs>
        <w:tab w:val="left" w:pos="966"/>
      </w:tabs>
      <w:spacing w:after="200" w:line="276" w:lineRule="auto"/>
      <w:outlineLvl w:val="1"/>
    </w:pPr>
  </w:style>
  <w:style w:type="paragraph" w:styleId="Heading3">
    <w:name w:val="heading 3"/>
    <w:basedOn w:val="Normal"/>
    <w:next w:val="Normal"/>
    <w:link w:val="Heading3Char"/>
    <w:uiPriority w:val="9"/>
    <w:unhideWhenUsed/>
    <w:qFormat/>
    <w:rsid w:val="00145652"/>
    <w:pPr>
      <w:tabs>
        <w:tab w:val="left" w:pos="966"/>
      </w:tabs>
      <w:outlineLvl w:val="2"/>
    </w:pPr>
    <w:rPr>
      <w:b/>
      <w:i/>
    </w:rPr>
  </w:style>
  <w:style w:type="paragraph" w:styleId="Heading4">
    <w:name w:val="heading 4"/>
    <w:basedOn w:val="Normal"/>
    <w:next w:val="Normal"/>
    <w:link w:val="Heading4Char"/>
    <w:uiPriority w:val="9"/>
    <w:unhideWhenUsed/>
    <w:qFormat/>
    <w:rsid w:val="00E26AC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26AC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26AC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26AC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6AC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26AC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TOC1"/>
    <w:link w:val="TOCChar"/>
    <w:qFormat/>
    <w:rsid w:val="00E26AC6"/>
    <w:pPr>
      <w:tabs>
        <w:tab w:val="right" w:leader="dot" w:pos="9344"/>
      </w:tabs>
      <w:spacing w:before="360" w:after="360"/>
    </w:pPr>
    <w:rPr>
      <w:rFonts w:cs="Arial"/>
      <w:b/>
      <w:bCs/>
      <w:caps/>
      <w:sz w:val="32"/>
      <w:szCs w:val="32"/>
    </w:rPr>
  </w:style>
  <w:style w:type="character" w:customStyle="1" w:styleId="TOCChar">
    <w:name w:val="TOC Char"/>
    <w:basedOn w:val="DefaultParagraphFont"/>
    <w:link w:val="TOC"/>
    <w:rsid w:val="00E26AC6"/>
    <w:rPr>
      <w:rFonts w:ascii="Arial" w:eastAsia="Times New Roman" w:hAnsi="Arial" w:cs="Arial"/>
      <w:b/>
      <w:bCs/>
      <w:caps/>
      <w:sz w:val="32"/>
      <w:szCs w:val="32"/>
    </w:rPr>
  </w:style>
  <w:style w:type="paragraph" w:styleId="TOC1">
    <w:name w:val="toc 1"/>
    <w:basedOn w:val="Normal"/>
    <w:next w:val="Normal"/>
    <w:autoRedefine/>
    <w:rsid w:val="00E26AC6"/>
    <w:pPr>
      <w:spacing w:after="100"/>
    </w:pPr>
  </w:style>
  <w:style w:type="character" w:customStyle="1" w:styleId="Heading1Char">
    <w:name w:val="Heading 1 Char"/>
    <w:basedOn w:val="DefaultParagraphFont"/>
    <w:link w:val="Heading1"/>
    <w:rsid w:val="00145652"/>
    <w:rPr>
      <w:rFonts w:ascii="Arial" w:eastAsiaTheme="majorEastAsia" w:hAnsi="Arial" w:cstheme="majorBidi"/>
      <w:b/>
      <w:bCs/>
      <w:caps/>
      <w:kern w:val="32"/>
      <w:sz w:val="28"/>
      <w:szCs w:val="40"/>
      <w:lang w:eastAsia="en-US"/>
    </w:rPr>
  </w:style>
  <w:style w:type="character" w:customStyle="1" w:styleId="Heading2Char">
    <w:name w:val="Heading 2 Char"/>
    <w:basedOn w:val="DefaultParagraphFont"/>
    <w:link w:val="Heading2"/>
    <w:rsid w:val="00145652"/>
    <w:rPr>
      <w:rFonts w:ascii="Arial" w:eastAsia="Times New Roman" w:hAnsi="Arial" w:cs="Times New Roman"/>
    </w:rPr>
  </w:style>
  <w:style w:type="character" w:customStyle="1" w:styleId="Heading3Char">
    <w:name w:val="Heading 3 Char"/>
    <w:basedOn w:val="DefaultParagraphFont"/>
    <w:link w:val="Heading3"/>
    <w:uiPriority w:val="9"/>
    <w:rsid w:val="00145652"/>
    <w:rPr>
      <w:rFonts w:ascii="Arial" w:eastAsia="Times New Roman" w:hAnsi="Arial" w:cs="Times New Roman"/>
      <w:b/>
      <w:i/>
    </w:rPr>
  </w:style>
  <w:style w:type="character" w:customStyle="1" w:styleId="Heading4Char">
    <w:name w:val="Heading 4 Char"/>
    <w:basedOn w:val="DefaultParagraphFont"/>
    <w:link w:val="Heading4"/>
    <w:uiPriority w:val="9"/>
    <w:rsid w:val="00E26AC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26AC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26AC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26AC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26AC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26AC6"/>
    <w:rPr>
      <w:rFonts w:asciiTheme="majorHAnsi" w:eastAsiaTheme="majorEastAsia" w:hAnsiTheme="majorHAnsi" w:cstheme="majorBidi"/>
      <w:i/>
      <w:iCs/>
      <w:spacing w:val="5"/>
      <w:sz w:val="20"/>
      <w:szCs w:val="20"/>
    </w:rPr>
  </w:style>
  <w:style w:type="paragraph" w:styleId="ListBullet">
    <w:name w:val="List Bullet"/>
    <w:basedOn w:val="Normal"/>
    <w:qFormat/>
    <w:rsid w:val="00E26AC6"/>
    <w:pPr>
      <w:numPr>
        <w:numId w:val="1"/>
      </w:numPr>
    </w:pPr>
  </w:style>
  <w:style w:type="paragraph" w:styleId="ListNumber">
    <w:name w:val="List Number"/>
    <w:basedOn w:val="Normal"/>
    <w:qFormat/>
    <w:rsid w:val="00E26AC6"/>
    <w:pPr>
      <w:numPr>
        <w:numId w:val="2"/>
      </w:numPr>
    </w:pPr>
  </w:style>
  <w:style w:type="paragraph" w:styleId="ListBullet2">
    <w:name w:val="List Bullet 2"/>
    <w:basedOn w:val="Normal"/>
    <w:qFormat/>
    <w:rsid w:val="00E26AC6"/>
    <w:pPr>
      <w:numPr>
        <w:numId w:val="3"/>
      </w:numPr>
    </w:pPr>
  </w:style>
  <w:style w:type="paragraph" w:styleId="ListNumber2">
    <w:name w:val="List Number 2"/>
    <w:basedOn w:val="Normal"/>
    <w:qFormat/>
    <w:rsid w:val="00E26AC6"/>
    <w:pPr>
      <w:numPr>
        <w:numId w:val="4"/>
      </w:numPr>
    </w:pPr>
  </w:style>
  <w:style w:type="paragraph" w:styleId="Title">
    <w:name w:val="Title"/>
    <w:basedOn w:val="Normal"/>
    <w:next w:val="Heading1"/>
    <w:link w:val="TitleChar"/>
    <w:qFormat/>
    <w:rsid w:val="00E26AC6"/>
    <w:pPr>
      <w:spacing w:before="240" w:after="60"/>
      <w:jc w:val="center"/>
      <w:outlineLvl w:val="0"/>
    </w:pPr>
    <w:rPr>
      <w:rFonts w:eastAsiaTheme="majorEastAsia" w:cstheme="majorBidi"/>
      <w:b/>
      <w:bCs/>
      <w:kern w:val="28"/>
      <w:sz w:val="72"/>
      <w:szCs w:val="32"/>
    </w:rPr>
  </w:style>
  <w:style w:type="character" w:customStyle="1" w:styleId="TitleChar">
    <w:name w:val="Title Char"/>
    <w:basedOn w:val="DefaultParagraphFont"/>
    <w:link w:val="Title"/>
    <w:rsid w:val="00E26AC6"/>
    <w:rPr>
      <w:rFonts w:ascii="Arial" w:eastAsiaTheme="majorEastAsia" w:hAnsi="Arial" w:cstheme="majorBidi"/>
      <w:b/>
      <w:bCs/>
      <w:kern w:val="28"/>
      <w:sz w:val="72"/>
      <w:szCs w:val="32"/>
    </w:rPr>
  </w:style>
  <w:style w:type="character" w:styleId="Strong">
    <w:name w:val="Strong"/>
    <w:qFormat/>
    <w:rsid w:val="00E26AC6"/>
    <w:rPr>
      <w:b/>
      <w:bCs/>
    </w:rPr>
  </w:style>
  <w:style w:type="character" w:styleId="Emphasis">
    <w:name w:val="Emphasis"/>
    <w:qFormat/>
    <w:rsid w:val="00E26AC6"/>
    <w:rPr>
      <w:bCs/>
      <w:i/>
    </w:rPr>
  </w:style>
  <w:style w:type="paragraph" w:styleId="Quote">
    <w:name w:val="Quote"/>
    <w:basedOn w:val="Normal"/>
    <w:next w:val="Normal"/>
    <w:link w:val="QuoteChar"/>
    <w:uiPriority w:val="29"/>
    <w:qFormat/>
    <w:rsid w:val="00E26AC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26AC6"/>
    <w:rPr>
      <w:i/>
      <w:iCs/>
    </w:rPr>
  </w:style>
  <w:style w:type="paragraph" w:styleId="TOCHeading">
    <w:name w:val="TOC Heading"/>
    <w:basedOn w:val="Heading1"/>
    <w:next w:val="Normal"/>
    <w:uiPriority w:val="39"/>
    <w:unhideWhenUsed/>
    <w:qFormat/>
    <w:rsid w:val="00E26AC6"/>
    <w:pPr>
      <w:outlineLvl w:val="9"/>
    </w:pPr>
    <w:rPr>
      <w:lang w:bidi="en-US"/>
    </w:rPr>
  </w:style>
  <w:style w:type="paragraph" w:styleId="ListParagraph">
    <w:name w:val="List Paragraph"/>
    <w:basedOn w:val="Normal"/>
    <w:link w:val="ListParagraphChar"/>
    <w:uiPriority w:val="34"/>
    <w:qFormat/>
    <w:rsid w:val="003C1C26"/>
    <w:pPr>
      <w:numPr>
        <w:numId w:val="5"/>
      </w:numPr>
      <w:contextualSpacing/>
    </w:pPr>
  </w:style>
  <w:style w:type="character" w:customStyle="1" w:styleId="ListParagraphChar">
    <w:name w:val="List Paragraph Char"/>
    <w:basedOn w:val="DefaultParagraphFont"/>
    <w:link w:val="ListParagraph"/>
    <w:uiPriority w:val="34"/>
    <w:rsid w:val="003C1C26"/>
    <w:rPr>
      <w:rFonts w:ascii="Arial" w:eastAsia="Times New Roman" w:hAnsi="Arial" w:cs="Times New Roman"/>
    </w:rPr>
  </w:style>
  <w:style w:type="paragraph" w:customStyle="1" w:styleId="dotpoints">
    <w:name w:val="dot points"/>
    <w:basedOn w:val="TOC1"/>
    <w:link w:val="dotpointsChar"/>
    <w:qFormat/>
    <w:rsid w:val="003C1C26"/>
    <w:pPr>
      <w:numPr>
        <w:numId w:val="6"/>
      </w:numPr>
      <w:tabs>
        <w:tab w:val="left" w:pos="440"/>
        <w:tab w:val="right" w:leader="dot" w:pos="9062"/>
      </w:tabs>
      <w:spacing w:after="60"/>
    </w:pPr>
    <w:rPr>
      <w:rFonts w:eastAsia="Batang"/>
    </w:rPr>
  </w:style>
  <w:style w:type="character" w:customStyle="1" w:styleId="dotpointsChar">
    <w:name w:val="dot points Char"/>
    <w:basedOn w:val="DefaultParagraphFont"/>
    <w:link w:val="dotpoints"/>
    <w:rsid w:val="003C1C26"/>
    <w:rPr>
      <w:rFonts w:ascii="Arial" w:eastAsia="Batang" w:hAnsi="Arial" w:cs="Times New Roman"/>
    </w:rPr>
  </w:style>
  <w:style w:type="character" w:styleId="CommentReference">
    <w:name w:val="annotation reference"/>
    <w:basedOn w:val="DefaultParagraphFont"/>
    <w:rsid w:val="00E0525C"/>
    <w:rPr>
      <w:sz w:val="16"/>
      <w:szCs w:val="16"/>
    </w:rPr>
  </w:style>
  <w:style w:type="paragraph" w:styleId="CommentText">
    <w:name w:val="annotation text"/>
    <w:basedOn w:val="Normal"/>
    <w:link w:val="CommentTextChar"/>
    <w:rsid w:val="00E0525C"/>
    <w:rPr>
      <w:rFonts w:eastAsiaTheme="minorHAnsi" w:cstheme="minorBidi"/>
      <w:sz w:val="20"/>
      <w:szCs w:val="20"/>
    </w:rPr>
  </w:style>
  <w:style w:type="character" w:customStyle="1" w:styleId="CommentTextChar">
    <w:name w:val="Comment Text Char"/>
    <w:basedOn w:val="DefaultParagraphFont"/>
    <w:link w:val="CommentText"/>
    <w:rsid w:val="00E0525C"/>
    <w:rPr>
      <w:rFonts w:ascii="Arial" w:hAnsi="Arial"/>
      <w:sz w:val="20"/>
      <w:szCs w:val="20"/>
    </w:rPr>
  </w:style>
  <w:style w:type="paragraph" w:styleId="BalloonText">
    <w:name w:val="Balloon Text"/>
    <w:basedOn w:val="Normal"/>
    <w:link w:val="BalloonTextChar"/>
    <w:rsid w:val="00E0525C"/>
    <w:pPr>
      <w:spacing w:after="0"/>
    </w:pPr>
    <w:rPr>
      <w:rFonts w:ascii="Tahoma" w:hAnsi="Tahoma" w:cs="Tahoma"/>
      <w:sz w:val="16"/>
      <w:szCs w:val="16"/>
    </w:rPr>
  </w:style>
  <w:style w:type="character" w:customStyle="1" w:styleId="BalloonTextChar">
    <w:name w:val="Balloon Text Char"/>
    <w:basedOn w:val="DefaultParagraphFont"/>
    <w:link w:val="BalloonText"/>
    <w:rsid w:val="00E0525C"/>
    <w:rPr>
      <w:rFonts w:ascii="Tahoma" w:eastAsia="Times New Roman" w:hAnsi="Tahoma" w:cs="Tahoma"/>
      <w:sz w:val="16"/>
      <w:szCs w:val="16"/>
    </w:rPr>
  </w:style>
  <w:style w:type="paragraph" w:customStyle="1" w:styleId="Default">
    <w:name w:val="Default"/>
    <w:rsid w:val="00AB298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17690"/>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17690"/>
    <w:rPr>
      <w:color w:val="0000FF"/>
      <w:u w:val="single"/>
    </w:rPr>
  </w:style>
  <w:style w:type="paragraph" w:styleId="CommentSubject">
    <w:name w:val="annotation subject"/>
    <w:basedOn w:val="CommentText"/>
    <w:next w:val="CommentText"/>
    <w:link w:val="CommentSubjectChar"/>
    <w:rsid w:val="0092458C"/>
    <w:rPr>
      <w:rFonts w:eastAsia="Times New Roman" w:cs="Times New Roman"/>
      <w:b/>
      <w:bCs/>
    </w:rPr>
  </w:style>
  <w:style w:type="character" w:customStyle="1" w:styleId="CommentSubjectChar">
    <w:name w:val="Comment Subject Char"/>
    <w:basedOn w:val="CommentTextChar"/>
    <w:link w:val="CommentSubject"/>
    <w:rsid w:val="0092458C"/>
    <w:rPr>
      <w:rFonts w:ascii="Arial" w:eastAsia="Times New Roman" w:hAnsi="Arial" w:cs="Times New Roman"/>
      <w:b/>
      <w:bCs/>
      <w:sz w:val="20"/>
      <w:szCs w:val="20"/>
    </w:rPr>
  </w:style>
  <w:style w:type="paragraph" w:styleId="Revision">
    <w:name w:val="Revision"/>
    <w:hidden/>
    <w:uiPriority w:val="99"/>
    <w:semiHidden/>
    <w:rsid w:val="0092458C"/>
    <w:pPr>
      <w:spacing w:after="0" w:line="240" w:lineRule="auto"/>
    </w:pPr>
    <w:rPr>
      <w:rFonts w:ascii="Arial" w:eastAsia="Times New Roman" w:hAnsi="Arial" w:cs="Times New Roman"/>
    </w:rPr>
  </w:style>
  <w:style w:type="character" w:styleId="EndnoteReference">
    <w:name w:val="endnote reference"/>
    <w:basedOn w:val="DefaultParagraphFont"/>
    <w:rsid w:val="001B505D"/>
    <w:rPr>
      <w:vertAlign w:val="superscript"/>
    </w:rPr>
  </w:style>
  <w:style w:type="paragraph" w:styleId="EndnoteText">
    <w:name w:val="endnote text"/>
    <w:basedOn w:val="Normal"/>
    <w:link w:val="EndnoteTextChar"/>
    <w:rsid w:val="001B505D"/>
    <w:pPr>
      <w:spacing w:after="0"/>
    </w:pPr>
    <w:rPr>
      <w:sz w:val="20"/>
      <w:szCs w:val="20"/>
    </w:rPr>
  </w:style>
  <w:style w:type="character" w:customStyle="1" w:styleId="EndnoteTextChar">
    <w:name w:val="Endnote Text Char"/>
    <w:basedOn w:val="DefaultParagraphFont"/>
    <w:link w:val="EndnoteText"/>
    <w:rsid w:val="001B505D"/>
    <w:rPr>
      <w:rFonts w:ascii="Arial" w:eastAsia="Times New Roman" w:hAnsi="Arial" w:cs="Times New Roman"/>
      <w:sz w:val="20"/>
      <w:szCs w:val="20"/>
    </w:rPr>
  </w:style>
  <w:style w:type="paragraph" w:styleId="Header">
    <w:name w:val="header"/>
    <w:basedOn w:val="Normal"/>
    <w:link w:val="HeaderChar"/>
    <w:rsid w:val="000B5B1E"/>
    <w:pPr>
      <w:tabs>
        <w:tab w:val="center" w:pos="4513"/>
        <w:tab w:val="right" w:pos="9026"/>
      </w:tabs>
      <w:spacing w:after="0"/>
    </w:pPr>
  </w:style>
  <w:style w:type="character" w:customStyle="1" w:styleId="HeaderChar">
    <w:name w:val="Header Char"/>
    <w:basedOn w:val="DefaultParagraphFont"/>
    <w:link w:val="Header"/>
    <w:rsid w:val="000B5B1E"/>
    <w:rPr>
      <w:rFonts w:ascii="Arial" w:eastAsia="Times New Roman" w:hAnsi="Arial" w:cs="Times New Roman"/>
    </w:rPr>
  </w:style>
  <w:style w:type="paragraph" w:styleId="Footer">
    <w:name w:val="footer"/>
    <w:basedOn w:val="Normal"/>
    <w:link w:val="FooterChar"/>
    <w:uiPriority w:val="99"/>
    <w:rsid w:val="000B5B1E"/>
    <w:pPr>
      <w:tabs>
        <w:tab w:val="center" w:pos="4513"/>
        <w:tab w:val="right" w:pos="9026"/>
      </w:tabs>
      <w:spacing w:after="0"/>
    </w:pPr>
  </w:style>
  <w:style w:type="character" w:customStyle="1" w:styleId="FooterChar">
    <w:name w:val="Footer Char"/>
    <w:basedOn w:val="DefaultParagraphFont"/>
    <w:link w:val="Footer"/>
    <w:uiPriority w:val="99"/>
    <w:rsid w:val="000B5B1E"/>
    <w:rPr>
      <w:rFonts w:ascii="Arial" w:eastAsia="Times New Roman" w:hAnsi="Arial" w:cs="Times New Roman"/>
    </w:rPr>
  </w:style>
  <w:style w:type="paragraph" w:customStyle="1" w:styleId="Paragraph">
    <w:name w:val="Paragraph"/>
    <w:basedOn w:val="Normal"/>
    <w:uiPriority w:val="99"/>
    <w:rsid w:val="00455D9E"/>
    <w:pPr>
      <w:numPr>
        <w:numId w:val="8"/>
      </w:numPr>
      <w:tabs>
        <w:tab w:val="left" w:pos="425"/>
      </w:tabs>
      <w:spacing w:after="240"/>
    </w:pPr>
    <w:rPr>
      <w:rFonts w:cs="Arial"/>
    </w:rPr>
  </w:style>
  <w:style w:type="numbering" w:customStyle="1" w:styleId="StyleOutlinenumberedVerdana">
    <w:name w:val="Style Outline numbered Verdana"/>
    <w:basedOn w:val="NoList"/>
    <w:rsid w:val="00455D9E"/>
    <w:pPr>
      <w:numPr>
        <w:numId w:val="8"/>
      </w:numPr>
    </w:pPr>
  </w:style>
  <w:style w:type="paragraph" w:styleId="FootnoteText">
    <w:name w:val="footnote text"/>
    <w:basedOn w:val="Normal"/>
    <w:link w:val="FootnoteTextChar"/>
    <w:rsid w:val="004942C1"/>
    <w:pPr>
      <w:spacing w:after="0"/>
    </w:pPr>
    <w:rPr>
      <w:sz w:val="20"/>
      <w:szCs w:val="20"/>
    </w:rPr>
  </w:style>
  <w:style w:type="character" w:customStyle="1" w:styleId="FootnoteTextChar">
    <w:name w:val="Footnote Text Char"/>
    <w:basedOn w:val="DefaultParagraphFont"/>
    <w:link w:val="FootnoteText"/>
    <w:rsid w:val="004942C1"/>
    <w:rPr>
      <w:rFonts w:ascii="Arial" w:eastAsia="Times New Roman" w:hAnsi="Arial" w:cs="Times New Roman"/>
      <w:sz w:val="20"/>
      <w:szCs w:val="20"/>
    </w:rPr>
  </w:style>
  <w:style w:type="character" w:styleId="FootnoteReference">
    <w:name w:val="footnote reference"/>
    <w:basedOn w:val="DefaultParagraphFont"/>
    <w:rsid w:val="004942C1"/>
    <w:rPr>
      <w:vertAlign w:val="superscript"/>
    </w:rPr>
  </w:style>
  <w:style w:type="character" w:styleId="FollowedHyperlink">
    <w:name w:val="FollowedHyperlink"/>
    <w:basedOn w:val="DefaultParagraphFont"/>
    <w:rsid w:val="005C75E8"/>
    <w:rPr>
      <w:color w:val="919191" w:themeColor="followedHyperlink"/>
      <w:u w:val="single"/>
    </w:rPr>
  </w:style>
  <w:style w:type="table" w:styleId="TableList3">
    <w:name w:val="Table List 3"/>
    <w:basedOn w:val="TableNormal"/>
    <w:rsid w:val="00141BDE"/>
    <w:pPr>
      <w:spacing w:after="12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a2">
    <w:name w:val="Pa2"/>
    <w:basedOn w:val="Default"/>
    <w:next w:val="Default"/>
    <w:uiPriority w:val="99"/>
    <w:rsid w:val="00DE3F54"/>
    <w:pPr>
      <w:spacing w:line="181" w:lineRule="atLeast"/>
    </w:pPr>
    <w:rPr>
      <w:rFonts w:ascii="Myriad Pro" w:hAnsi="Myriad Pro" w:cstheme="minorBidi"/>
      <w:color w:val="auto"/>
    </w:rPr>
  </w:style>
  <w:style w:type="character" w:customStyle="1" w:styleId="A2">
    <w:name w:val="A2"/>
    <w:uiPriority w:val="99"/>
    <w:rsid w:val="00DE3F54"/>
    <w:rPr>
      <w:rFonts w:cs="Myriad Pro"/>
      <w:b/>
      <w:bCs/>
      <w:color w:val="000000"/>
      <w:sz w:val="16"/>
      <w:szCs w:val="16"/>
    </w:rPr>
  </w:style>
  <w:style w:type="paragraph" w:styleId="Caption">
    <w:name w:val="caption"/>
    <w:basedOn w:val="Normal"/>
    <w:next w:val="Normal"/>
    <w:unhideWhenUsed/>
    <w:rsid w:val="00827476"/>
    <w:pPr>
      <w:spacing w:after="200"/>
    </w:pPr>
    <w:rPr>
      <w:rFonts w:eastAsiaTheme="minorHAnsi" w:cstheme="minorBidi"/>
      <w:b/>
      <w:bCs/>
      <w:color w:val="DDDDDD" w:themeColor="accent1"/>
      <w:sz w:val="18"/>
      <w:szCs w:val="18"/>
    </w:rPr>
  </w:style>
  <w:style w:type="paragraph" w:customStyle="1" w:styleId="Figuretitlefullcolumnwidth">
    <w:name w:val="Figure title full column width"/>
    <w:basedOn w:val="Normal"/>
    <w:uiPriority w:val="99"/>
    <w:rsid w:val="004376FB"/>
    <w:pPr>
      <w:suppressAutoHyphens/>
      <w:autoSpaceDE w:val="0"/>
      <w:autoSpaceDN w:val="0"/>
      <w:adjustRightInd w:val="0"/>
      <w:spacing w:before="170" w:after="113" w:line="240" w:lineRule="atLeast"/>
      <w:jc w:val="center"/>
      <w:textAlignment w:val="center"/>
    </w:pPr>
    <w:rPr>
      <w:rFonts w:cs="Arial"/>
      <w:b/>
      <w:bCs/>
      <w:color w:val="55164F"/>
      <w:sz w:val="24"/>
      <w:szCs w:val="24"/>
      <w:lang w:val="en-GB"/>
    </w:rPr>
  </w:style>
  <w:style w:type="table" w:styleId="TableGrid">
    <w:name w:val="Table Grid"/>
    <w:basedOn w:val="TableNormal"/>
    <w:rsid w:val="004376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ootnote-fullwidthTableformating">
    <w:name w:val="Table footnote - full width (Table formating)"/>
    <w:basedOn w:val="Normal"/>
    <w:uiPriority w:val="99"/>
    <w:rsid w:val="004376FB"/>
    <w:pPr>
      <w:suppressAutoHyphens/>
      <w:autoSpaceDE w:val="0"/>
      <w:autoSpaceDN w:val="0"/>
      <w:adjustRightInd w:val="0"/>
      <w:spacing w:after="170" w:line="288" w:lineRule="auto"/>
      <w:ind w:left="283"/>
      <w:textAlignment w:val="center"/>
    </w:pPr>
    <w:rPr>
      <w:rFonts w:cs="Arial"/>
      <w:i/>
      <w:iCs/>
      <w:color w:val="000000"/>
      <w:sz w:val="14"/>
      <w:szCs w:val="14"/>
      <w:lang w:val="en-US"/>
    </w:rPr>
  </w:style>
  <w:style w:type="paragraph" w:customStyle="1" w:styleId="StyleAS">
    <w:name w:val="Style AS"/>
    <w:basedOn w:val="Normal"/>
    <w:link w:val="StyleASChar"/>
    <w:qFormat/>
    <w:rsid w:val="003261DA"/>
    <w:pPr>
      <w:autoSpaceDE w:val="0"/>
      <w:autoSpaceDN w:val="0"/>
      <w:adjustRightInd w:val="0"/>
      <w:spacing w:after="220" w:line="201" w:lineRule="atLeast"/>
    </w:pPr>
    <w:rPr>
      <w:rFonts w:ascii="Gotham Book" w:eastAsiaTheme="minorHAnsi" w:hAnsi="Gotham Book" w:cs="Gotham Book"/>
      <w:color w:val="000000"/>
      <w:sz w:val="18"/>
      <w:szCs w:val="24"/>
    </w:rPr>
  </w:style>
  <w:style w:type="character" w:customStyle="1" w:styleId="StyleASChar">
    <w:name w:val="Style AS Char"/>
    <w:basedOn w:val="DefaultParagraphFont"/>
    <w:link w:val="StyleAS"/>
    <w:rsid w:val="003261DA"/>
    <w:rPr>
      <w:rFonts w:ascii="Gotham Book" w:hAnsi="Gotham Book" w:cs="Gotham Book"/>
      <w:color w:val="000000"/>
      <w:sz w:val="18"/>
      <w:szCs w:val="24"/>
    </w:rPr>
  </w:style>
  <w:style w:type="paragraph" w:customStyle="1" w:styleId="Title1">
    <w:name w:val="Title1"/>
    <w:basedOn w:val="Normal"/>
    <w:link w:val="TITLEChar0"/>
    <w:qFormat/>
    <w:rsid w:val="008B4C88"/>
    <w:pPr>
      <w:spacing w:before="120" w:after="60"/>
      <w:jc w:val="center"/>
    </w:pPr>
    <w:rPr>
      <w:b/>
      <w:sz w:val="72"/>
      <w:szCs w:val="72"/>
    </w:rPr>
  </w:style>
  <w:style w:type="character" w:customStyle="1" w:styleId="TITLEChar0">
    <w:name w:val="TITLE Char"/>
    <w:basedOn w:val="DefaultParagraphFont"/>
    <w:link w:val="Title1"/>
    <w:rsid w:val="008B4C88"/>
    <w:rPr>
      <w:rFonts w:ascii="Arial" w:eastAsia="Times New Roman" w:hAnsi="Arial" w:cs="Times New Roman"/>
      <w:b/>
      <w:sz w:val="72"/>
      <w:szCs w:val="72"/>
    </w:rPr>
  </w:style>
  <w:style w:type="paragraph" w:customStyle="1" w:styleId="Graphcommentary">
    <w:name w:val="Graph commentary"/>
    <w:basedOn w:val="Normal"/>
    <w:uiPriority w:val="99"/>
    <w:rsid w:val="0035061D"/>
    <w:pPr>
      <w:suppressAutoHyphens/>
      <w:autoSpaceDE w:val="0"/>
      <w:autoSpaceDN w:val="0"/>
      <w:adjustRightInd w:val="0"/>
      <w:spacing w:after="113" w:line="288" w:lineRule="auto"/>
      <w:textAlignment w:val="center"/>
    </w:pPr>
    <w:rPr>
      <w:rFonts w:cs="Arial"/>
      <w:color w:val="00456B"/>
      <w:lang w:val="en-US"/>
    </w:rPr>
  </w:style>
  <w:style w:type="numbering" w:customStyle="1" w:styleId="NoList1">
    <w:name w:val="No List1"/>
    <w:next w:val="NoList"/>
    <w:uiPriority w:val="99"/>
    <w:semiHidden/>
    <w:unhideWhenUsed/>
    <w:rsid w:val="00A22C9C"/>
  </w:style>
  <w:style w:type="numbering" w:customStyle="1" w:styleId="NoList11">
    <w:name w:val="No List11"/>
    <w:next w:val="NoList"/>
    <w:uiPriority w:val="99"/>
    <w:semiHidden/>
    <w:unhideWhenUsed/>
    <w:rsid w:val="00A22C9C"/>
  </w:style>
  <w:style w:type="numbering" w:customStyle="1" w:styleId="StyleOutlinenumberedVerdana1">
    <w:name w:val="Style Outline numbered Verdana1"/>
    <w:basedOn w:val="NoList"/>
    <w:rsid w:val="00A22C9C"/>
  </w:style>
  <w:style w:type="paragraph" w:styleId="TOC2">
    <w:name w:val="toc 2"/>
    <w:basedOn w:val="Normal"/>
    <w:next w:val="Normal"/>
    <w:autoRedefine/>
    <w:uiPriority w:val="39"/>
    <w:rsid w:val="00A22C9C"/>
    <w:pPr>
      <w:spacing w:after="100"/>
      <w:ind w:left="220"/>
    </w:pPr>
  </w:style>
  <w:style w:type="numbering" w:customStyle="1" w:styleId="NoList2">
    <w:name w:val="No List2"/>
    <w:next w:val="NoList"/>
    <w:uiPriority w:val="99"/>
    <w:semiHidden/>
    <w:unhideWhenUsed/>
    <w:rsid w:val="00390B30"/>
  </w:style>
  <w:style w:type="table" w:customStyle="1" w:styleId="TableList31">
    <w:name w:val="Table List 31"/>
    <w:basedOn w:val="TableNormal"/>
    <w:next w:val="TableList3"/>
    <w:rsid w:val="00390B30"/>
    <w:pPr>
      <w:spacing w:after="12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rsid w:val="00390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90B30"/>
  </w:style>
  <w:style w:type="numbering" w:customStyle="1" w:styleId="NoList111">
    <w:name w:val="No List111"/>
    <w:next w:val="NoList"/>
    <w:uiPriority w:val="99"/>
    <w:semiHidden/>
    <w:unhideWhenUsed/>
    <w:rsid w:val="00390B30"/>
  </w:style>
  <w:style w:type="numbering" w:customStyle="1" w:styleId="StyleOutlinenumberedVerdana11">
    <w:name w:val="Style Outline numbered Verdana11"/>
    <w:basedOn w:val="NoList"/>
    <w:rsid w:val="00390B30"/>
  </w:style>
  <w:style w:type="paragraph" w:customStyle="1" w:styleId="Pa3">
    <w:name w:val="Pa3"/>
    <w:basedOn w:val="Default"/>
    <w:next w:val="Default"/>
    <w:uiPriority w:val="99"/>
    <w:rsid w:val="00FF536C"/>
    <w:pPr>
      <w:spacing w:line="201" w:lineRule="atLeast"/>
    </w:pPr>
    <w:rPr>
      <w:rFonts w:ascii="Gotham Bold" w:hAnsi="Gotham Bold" w:cstheme="minorBidi"/>
      <w:color w:val="auto"/>
    </w:rPr>
  </w:style>
  <w:style w:type="character" w:customStyle="1" w:styleId="A3">
    <w:name w:val="A3"/>
    <w:uiPriority w:val="99"/>
    <w:rsid w:val="00FF536C"/>
    <w:rPr>
      <w:rFonts w:cs="Gotham Bold"/>
      <w:color w:val="211D1E"/>
      <w:sz w:val="18"/>
      <w:szCs w:val="18"/>
    </w:rPr>
  </w:style>
  <w:style w:type="paragraph" w:customStyle="1" w:styleId="Pa0">
    <w:name w:val="Pa0"/>
    <w:basedOn w:val="Default"/>
    <w:next w:val="Default"/>
    <w:uiPriority w:val="99"/>
    <w:rsid w:val="00FF536C"/>
    <w:pPr>
      <w:spacing w:line="201" w:lineRule="atLeast"/>
    </w:pPr>
    <w:rPr>
      <w:rFonts w:ascii="Gotham Bold" w:hAnsi="Gotham Bold" w:cstheme="minorBidi"/>
      <w:color w:val="auto"/>
    </w:rPr>
  </w:style>
  <w:style w:type="character" w:customStyle="1" w:styleId="A4">
    <w:name w:val="A4"/>
    <w:uiPriority w:val="99"/>
    <w:rsid w:val="00FF536C"/>
    <w:rPr>
      <w:rFonts w:ascii="Gotham Light" w:hAnsi="Gotham Light" w:cs="Gotham Light"/>
      <w:i/>
      <w:iCs/>
      <w:color w:val="211D1E"/>
      <w:sz w:val="18"/>
      <w:szCs w:val="18"/>
      <w:u w:val="single"/>
    </w:rPr>
  </w:style>
  <w:style w:type="paragraph" w:customStyle="1" w:styleId="breakoutbox">
    <w:name w:val="break out box"/>
    <w:basedOn w:val="dotpoints"/>
    <w:qFormat/>
    <w:rsid w:val="00160B35"/>
    <w:pPr>
      <w:numPr>
        <w:numId w:val="0"/>
      </w:numPr>
      <w:pBdr>
        <w:top w:val="single" w:sz="12" w:space="3" w:color="7F7F7F" w:themeColor="text1" w:themeTint="80"/>
        <w:left w:val="single" w:sz="12" w:space="4" w:color="7F7F7F" w:themeColor="text1" w:themeTint="80"/>
        <w:bottom w:val="single" w:sz="12" w:space="3" w:color="7F7F7F" w:themeColor="text1" w:themeTint="80"/>
        <w:right w:val="single" w:sz="12" w:space="4" w:color="7F7F7F" w:themeColor="text1" w:themeTint="80"/>
      </w:pBdr>
      <w:shd w:val="clear" w:color="auto" w:fill="F2F2F2" w:themeFill="background1" w:themeFillShade="F2"/>
      <w:spacing w:before="120" w:after="120"/>
      <w:jc w:val="center"/>
    </w:pPr>
    <w:rPr>
      <w:sz w:val="20"/>
    </w:rPr>
  </w:style>
  <w:style w:type="paragraph" w:customStyle="1" w:styleId="leadershipandculture">
    <w:name w:val="leadership and culture"/>
    <w:basedOn w:val="supplychains"/>
    <w:qFormat/>
    <w:rsid w:val="00E045AB"/>
    <w:pPr>
      <w:pBdr>
        <w:top w:val="single" w:sz="12" w:space="3" w:color="92D050"/>
        <w:left w:val="single" w:sz="12" w:space="4" w:color="92D050"/>
        <w:bottom w:val="single" w:sz="12" w:space="3" w:color="92D050"/>
        <w:right w:val="single" w:sz="12" w:space="4" w:color="92D050"/>
      </w:pBdr>
      <w:shd w:val="clear" w:color="auto" w:fill="D3FFBD"/>
    </w:pPr>
  </w:style>
  <w:style w:type="paragraph" w:customStyle="1" w:styleId="supplychains">
    <w:name w:val="supply chains"/>
    <w:basedOn w:val="breakoutbox"/>
    <w:qFormat/>
    <w:rsid w:val="0092122F"/>
    <w:pPr>
      <w:pBdr>
        <w:top w:val="single" w:sz="12" w:space="3" w:color="0070C0"/>
        <w:left w:val="single" w:sz="12" w:space="4" w:color="0070C0"/>
        <w:bottom w:val="single" w:sz="12" w:space="3" w:color="0070C0"/>
        <w:right w:val="single" w:sz="12" w:space="4" w:color="0070C0"/>
      </w:pBdr>
      <w:shd w:val="clear" w:color="auto" w:fill="D6DBFE"/>
    </w:pPr>
  </w:style>
  <w:style w:type="paragraph" w:customStyle="1" w:styleId="research">
    <w:name w:val="research"/>
    <w:basedOn w:val="leadershipandculture"/>
    <w:qFormat/>
    <w:rsid w:val="00E045AB"/>
    <w:pPr>
      <w:pBdr>
        <w:top w:val="single" w:sz="12" w:space="3" w:color="00B050"/>
        <w:left w:val="single" w:sz="12" w:space="4" w:color="00B050"/>
        <w:bottom w:val="single" w:sz="12" w:space="3" w:color="00B050"/>
        <w:right w:val="single" w:sz="12" w:space="4" w:color="00B050"/>
      </w:pBdr>
      <w:shd w:val="clear" w:color="auto" w:fill="A9E5C0"/>
    </w:pPr>
  </w:style>
  <w:style w:type="paragraph" w:customStyle="1" w:styleId="responsiveregulation">
    <w:name w:val="responsive regulation"/>
    <w:basedOn w:val="research"/>
    <w:qFormat/>
    <w:rsid w:val="005F502D"/>
    <w:pPr>
      <w:pBdr>
        <w:top w:val="single" w:sz="12" w:space="3" w:color="06C6D0"/>
        <w:left w:val="single" w:sz="12" w:space="4" w:color="06C6D0"/>
        <w:bottom w:val="single" w:sz="12" w:space="3" w:color="06C6D0"/>
        <w:right w:val="single" w:sz="12" w:space="4" w:color="06C6D0"/>
      </w:pBdr>
      <w:shd w:val="clear" w:color="auto" w:fill="C1FBF0"/>
      <w:tabs>
        <w:tab w:val="left" w:pos="96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2734">
      <w:bodyDiv w:val="1"/>
      <w:marLeft w:val="0"/>
      <w:marRight w:val="0"/>
      <w:marTop w:val="0"/>
      <w:marBottom w:val="0"/>
      <w:divBdr>
        <w:top w:val="none" w:sz="0" w:space="0" w:color="auto"/>
        <w:left w:val="none" w:sz="0" w:space="0" w:color="auto"/>
        <w:bottom w:val="none" w:sz="0" w:space="0" w:color="auto"/>
        <w:right w:val="none" w:sz="0" w:space="0" w:color="auto"/>
      </w:divBdr>
      <w:divsChild>
        <w:div w:id="69812679">
          <w:marLeft w:val="0"/>
          <w:marRight w:val="0"/>
          <w:marTop w:val="0"/>
          <w:marBottom w:val="0"/>
          <w:divBdr>
            <w:top w:val="none" w:sz="0" w:space="0" w:color="auto"/>
            <w:left w:val="none" w:sz="0" w:space="0" w:color="auto"/>
            <w:bottom w:val="none" w:sz="0" w:space="0" w:color="auto"/>
            <w:right w:val="none" w:sz="0" w:space="0" w:color="auto"/>
          </w:divBdr>
          <w:divsChild>
            <w:div w:id="1791119379">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119153144">
      <w:bodyDiv w:val="1"/>
      <w:marLeft w:val="0"/>
      <w:marRight w:val="0"/>
      <w:marTop w:val="0"/>
      <w:marBottom w:val="0"/>
      <w:divBdr>
        <w:top w:val="none" w:sz="0" w:space="0" w:color="auto"/>
        <w:left w:val="none" w:sz="0" w:space="0" w:color="auto"/>
        <w:bottom w:val="none" w:sz="0" w:space="0" w:color="auto"/>
        <w:right w:val="none" w:sz="0" w:space="0" w:color="auto"/>
      </w:divBdr>
      <w:divsChild>
        <w:div w:id="1070469401">
          <w:marLeft w:val="0"/>
          <w:marRight w:val="0"/>
          <w:marTop w:val="0"/>
          <w:marBottom w:val="0"/>
          <w:divBdr>
            <w:top w:val="none" w:sz="0" w:space="0" w:color="auto"/>
            <w:left w:val="none" w:sz="0" w:space="0" w:color="auto"/>
            <w:bottom w:val="none" w:sz="0" w:space="0" w:color="auto"/>
            <w:right w:val="none" w:sz="0" w:space="0" w:color="auto"/>
          </w:divBdr>
          <w:divsChild>
            <w:div w:id="1657220684">
              <w:marLeft w:val="0"/>
              <w:marRight w:val="0"/>
              <w:marTop w:val="0"/>
              <w:marBottom w:val="0"/>
              <w:divBdr>
                <w:top w:val="none" w:sz="0" w:space="0" w:color="auto"/>
                <w:left w:val="none" w:sz="0" w:space="0" w:color="auto"/>
                <w:bottom w:val="none" w:sz="0" w:space="0" w:color="auto"/>
                <w:right w:val="none" w:sz="0" w:space="0" w:color="auto"/>
              </w:divBdr>
              <w:divsChild>
                <w:div w:id="1934894952">
                  <w:marLeft w:val="0"/>
                  <w:marRight w:val="0"/>
                  <w:marTop w:val="0"/>
                  <w:marBottom w:val="0"/>
                  <w:divBdr>
                    <w:top w:val="none" w:sz="0" w:space="0" w:color="auto"/>
                    <w:left w:val="none" w:sz="0" w:space="0" w:color="auto"/>
                    <w:bottom w:val="none" w:sz="0" w:space="0" w:color="auto"/>
                    <w:right w:val="none" w:sz="0" w:space="0" w:color="auto"/>
                  </w:divBdr>
                  <w:divsChild>
                    <w:div w:id="4222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00340">
      <w:bodyDiv w:val="1"/>
      <w:marLeft w:val="0"/>
      <w:marRight w:val="0"/>
      <w:marTop w:val="0"/>
      <w:marBottom w:val="0"/>
      <w:divBdr>
        <w:top w:val="none" w:sz="0" w:space="0" w:color="auto"/>
        <w:left w:val="none" w:sz="0" w:space="0" w:color="auto"/>
        <w:bottom w:val="none" w:sz="0" w:space="0" w:color="auto"/>
        <w:right w:val="none" w:sz="0" w:space="0" w:color="auto"/>
      </w:divBdr>
      <w:divsChild>
        <w:div w:id="1149781841">
          <w:marLeft w:val="0"/>
          <w:marRight w:val="0"/>
          <w:marTop w:val="0"/>
          <w:marBottom w:val="0"/>
          <w:divBdr>
            <w:top w:val="none" w:sz="0" w:space="0" w:color="auto"/>
            <w:left w:val="none" w:sz="0" w:space="0" w:color="auto"/>
            <w:bottom w:val="none" w:sz="0" w:space="0" w:color="auto"/>
            <w:right w:val="none" w:sz="0" w:space="0" w:color="auto"/>
          </w:divBdr>
          <w:divsChild>
            <w:div w:id="588731216">
              <w:marLeft w:val="0"/>
              <w:marRight w:val="0"/>
              <w:marTop w:val="75"/>
              <w:marBottom w:val="0"/>
              <w:divBdr>
                <w:top w:val="none" w:sz="0" w:space="0" w:color="auto"/>
                <w:left w:val="none" w:sz="0" w:space="0" w:color="auto"/>
                <w:bottom w:val="none" w:sz="0" w:space="0" w:color="auto"/>
                <w:right w:val="none" w:sz="0" w:space="0" w:color="auto"/>
              </w:divBdr>
              <w:divsChild>
                <w:div w:id="1770079771">
                  <w:marLeft w:val="0"/>
                  <w:marRight w:val="0"/>
                  <w:marTop w:val="0"/>
                  <w:marBottom w:val="0"/>
                  <w:divBdr>
                    <w:top w:val="none" w:sz="0" w:space="0" w:color="auto"/>
                    <w:left w:val="none" w:sz="0" w:space="0" w:color="auto"/>
                    <w:bottom w:val="none" w:sz="0" w:space="0" w:color="auto"/>
                    <w:right w:val="none" w:sz="0" w:space="0" w:color="auto"/>
                  </w:divBdr>
                  <w:divsChild>
                    <w:div w:id="2095466630">
                      <w:marLeft w:val="0"/>
                      <w:marRight w:val="0"/>
                      <w:marTop w:val="0"/>
                      <w:marBottom w:val="0"/>
                      <w:divBdr>
                        <w:top w:val="none" w:sz="0" w:space="0" w:color="auto"/>
                        <w:left w:val="none" w:sz="0" w:space="0" w:color="auto"/>
                        <w:bottom w:val="none" w:sz="0" w:space="0" w:color="auto"/>
                        <w:right w:val="none" w:sz="0" w:space="0" w:color="auto"/>
                      </w:divBdr>
                      <w:divsChild>
                        <w:div w:id="1241519986">
                          <w:marLeft w:val="0"/>
                          <w:marRight w:val="0"/>
                          <w:marTop w:val="0"/>
                          <w:marBottom w:val="0"/>
                          <w:divBdr>
                            <w:top w:val="none" w:sz="0" w:space="0" w:color="auto"/>
                            <w:left w:val="none" w:sz="0" w:space="0" w:color="auto"/>
                            <w:bottom w:val="none" w:sz="0" w:space="0" w:color="auto"/>
                            <w:right w:val="none" w:sz="0" w:space="0" w:color="auto"/>
                          </w:divBdr>
                          <w:divsChild>
                            <w:div w:id="448664793">
                              <w:marLeft w:val="0"/>
                              <w:marRight w:val="0"/>
                              <w:marTop w:val="0"/>
                              <w:marBottom w:val="0"/>
                              <w:divBdr>
                                <w:top w:val="none" w:sz="0" w:space="0" w:color="auto"/>
                                <w:left w:val="none" w:sz="0" w:space="0" w:color="auto"/>
                                <w:bottom w:val="none" w:sz="0" w:space="0" w:color="auto"/>
                                <w:right w:val="none" w:sz="0" w:space="0" w:color="auto"/>
                              </w:divBdr>
                              <w:divsChild>
                                <w:div w:id="2041928631">
                                  <w:marLeft w:val="0"/>
                                  <w:marRight w:val="0"/>
                                  <w:marTop w:val="0"/>
                                  <w:marBottom w:val="0"/>
                                  <w:divBdr>
                                    <w:top w:val="none" w:sz="0" w:space="0" w:color="auto"/>
                                    <w:left w:val="none" w:sz="0" w:space="0" w:color="auto"/>
                                    <w:bottom w:val="none" w:sz="0" w:space="0" w:color="auto"/>
                                    <w:right w:val="none" w:sz="0" w:space="0" w:color="auto"/>
                                  </w:divBdr>
                                  <w:divsChild>
                                    <w:div w:id="2019308898">
                                      <w:marLeft w:val="0"/>
                                      <w:marRight w:val="0"/>
                                      <w:marTop w:val="0"/>
                                      <w:marBottom w:val="0"/>
                                      <w:divBdr>
                                        <w:top w:val="none" w:sz="0" w:space="0" w:color="auto"/>
                                        <w:left w:val="none" w:sz="0" w:space="0" w:color="auto"/>
                                        <w:bottom w:val="none" w:sz="0" w:space="0" w:color="auto"/>
                                        <w:right w:val="none" w:sz="0" w:space="0" w:color="auto"/>
                                      </w:divBdr>
                                      <w:divsChild>
                                        <w:div w:id="291864508">
                                          <w:marLeft w:val="0"/>
                                          <w:marRight w:val="0"/>
                                          <w:marTop w:val="0"/>
                                          <w:marBottom w:val="0"/>
                                          <w:divBdr>
                                            <w:top w:val="none" w:sz="0" w:space="0" w:color="auto"/>
                                            <w:left w:val="none" w:sz="0" w:space="0" w:color="auto"/>
                                            <w:bottom w:val="none" w:sz="0" w:space="0" w:color="auto"/>
                                            <w:right w:val="none" w:sz="0" w:space="0" w:color="auto"/>
                                          </w:divBdr>
                                          <w:divsChild>
                                            <w:div w:id="411894918">
                                              <w:marLeft w:val="0"/>
                                              <w:marRight w:val="0"/>
                                              <w:marTop w:val="0"/>
                                              <w:marBottom w:val="0"/>
                                              <w:divBdr>
                                                <w:top w:val="none" w:sz="0" w:space="0" w:color="auto"/>
                                                <w:left w:val="none" w:sz="0" w:space="0" w:color="auto"/>
                                                <w:bottom w:val="none" w:sz="0" w:space="0" w:color="auto"/>
                                                <w:right w:val="none" w:sz="0" w:space="0" w:color="auto"/>
                                              </w:divBdr>
                                              <w:divsChild>
                                                <w:div w:id="1663704737">
                                                  <w:marLeft w:val="0"/>
                                                  <w:marRight w:val="0"/>
                                                  <w:marTop w:val="0"/>
                                                  <w:marBottom w:val="0"/>
                                                  <w:divBdr>
                                                    <w:top w:val="none" w:sz="0" w:space="0" w:color="auto"/>
                                                    <w:left w:val="none" w:sz="0" w:space="0" w:color="auto"/>
                                                    <w:bottom w:val="none" w:sz="0" w:space="0" w:color="auto"/>
                                                    <w:right w:val="none" w:sz="0" w:space="0" w:color="auto"/>
                                                  </w:divBdr>
                                                  <w:divsChild>
                                                    <w:div w:id="1762798701">
                                                      <w:marLeft w:val="0"/>
                                                      <w:marRight w:val="0"/>
                                                      <w:marTop w:val="0"/>
                                                      <w:marBottom w:val="0"/>
                                                      <w:divBdr>
                                                        <w:top w:val="none" w:sz="0" w:space="0" w:color="auto"/>
                                                        <w:left w:val="none" w:sz="0" w:space="0" w:color="auto"/>
                                                        <w:bottom w:val="none" w:sz="0" w:space="0" w:color="auto"/>
                                                        <w:right w:val="none" w:sz="0" w:space="0" w:color="auto"/>
                                                      </w:divBdr>
                                                      <w:divsChild>
                                                        <w:div w:id="1936093468">
                                                          <w:marLeft w:val="0"/>
                                                          <w:marRight w:val="0"/>
                                                          <w:marTop w:val="0"/>
                                                          <w:marBottom w:val="0"/>
                                                          <w:divBdr>
                                                            <w:top w:val="none" w:sz="0" w:space="0" w:color="auto"/>
                                                            <w:left w:val="single" w:sz="6" w:space="0" w:color="E4E4E4"/>
                                                            <w:bottom w:val="none" w:sz="0" w:space="0" w:color="auto"/>
                                                            <w:right w:val="none" w:sz="0" w:space="0" w:color="auto"/>
                                                          </w:divBdr>
                                                          <w:divsChild>
                                                            <w:div w:id="878783380">
                                                              <w:marLeft w:val="0"/>
                                                              <w:marRight w:val="0"/>
                                                              <w:marTop w:val="0"/>
                                                              <w:marBottom w:val="0"/>
                                                              <w:divBdr>
                                                                <w:top w:val="none" w:sz="0" w:space="0" w:color="auto"/>
                                                                <w:left w:val="none" w:sz="0" w:space="0" w:color="auto"/>
                                                                <w:bottom w:val="none" w:sz="0" w:space="0" w:color="auto"/>
                                                                <w:right w:val="none" w:sz="0" w:space="0" w:color="auto"/>
                                                              </w:divBdr>
                                                              <w:divsChild>
                                                                <w:div w:id="899829300">
                                                                  <w:marLeft w:val="0"/>
                                                                  <w:marRight w:val="0"/>
                                                                  <w:marTop w:val="0"/>
                                                                  <w:marBottom w:val="0"/>
                                                                  <w:divBdr>
                                                                    <w:top w:val="none" w:sz="0" w:space="0" w:color="auto"/>
                                                                    <w:left w:val="none" w:sz="0" w:space="0" w:color="auto"/>
                                                                    <w:bottom w:val="none" w:sz="0" w:space="0" w:color="auto"/>
                                                                    <w:right w:val="none" w:sz="0" w:space="0" w:color="auto"/>
                                                                  </w:divBdr>
                                                                  <w:divsChild>
                                                                    <w:div w:id="525099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24148">
      <w:bodyDiv w:val="1"/>
      <w:marLeft w:val="0"/>
      <w:marRight w:val="0"/>
      <w:marTop w:val="0"/>
      <w:marBottom w:val="0"/>
      <w:divBdr>
        <w:top w:val="none" w:sz="0" w:space="0" w:color="auto"/>
        <w:left w:val="none" w:sz="0" w:space="0" w:color="auto"/>
        <w:bottom w:val="none" w:sz="0" w:space="0" w:color="auto"/>
        <w:right w:val="none" w:sz="0" w:space="0" w:color="auto"/>
      </w:divBdr>
      <w:divsChild>
        <w:div w:id="114836242">
          <w:marLeft w:val="0"/>
          <w:marRight w:val="0"/>
          <w:marTop w:val="0"/>
          <w:marBottom w:val="0"/>
          <w:divBdr>
            <w:top w:val="none" w:sz="0" w:space="0" w:color="auto"/>
            <w:left w:val="none" w:sz="0" w:space="0" w:color="auto"/>
            <w:bottom w:val="none" w:sz="0" w:space="0" w:color="auto"/>
            <w:right w:val="none" w:sz="0" w:space="0" w:color="auto"/>
          </w:divBdr>
          <w:divsChild>
            <w:div w:id="1713841602">
              <w:marLeft w:val="0"/>
              <w:marRight w:val="0"/>
              <w:marTop w:val="0"/>
              <w:marBottom w:val="0"/>
              <w:divBdr>
                <w:top w:val="none" w:sz="0" w:space="0" w:color="auto"/>
                <w:left w:val="none" w:sz="0" w:space="0" w:color="auto"/>
                <w:bottom w:val="none" w:sz="0" w:space="0" w:color="auto"/>
                <w:right w:val="none" w:sz="0" w:space="0" w:color="auto"/>
              </w:divBdr>
              <w:divsChild>
                <w:div w:id="1391877439">
                  <w:marLeft w:val="0"/>
                  <w:marRight w:val="0"/>
                  <w:marTop w:val="0"/>
                  <w:marBottom w:val="0"/>
                  <w:divBdr>
                    <w:top w:val="none" w:sz="0" w:space="0" w:color="auto"/>
                    <w:left w:val="none" w:sz="0" w:space="0" w:color="auto"/>
                    <w:bottom w:val="none" w:sz="0" w:space="0" w:color="auto"/>
                    <w:right w:val="none" w:sz="0" w:space="0" w:color="auto"/>
                  </w:divBdr>
                  <w:divsChild>
                    <w:div w:id="15187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8286">
      <w:bodyDiv w:val="1"/>
      <w:marLeft w:val="0"/>
      <w:marRight w:val="0"/>
      <w:marTop w:val="0"/>
      <w:marBottom w:val="0"/>
      <w:divBdr>
        <w:top w:val="none" w:sz="0" w:space="0" w:color="auto"/>
        <w:left w:val="none" w:sz="0" w:space="0" w:color="auto"/>
        <w:bottom w:val="none" w:sz="0" w:space="0" w:color="auto"/>
        <w:right w:val="none" w:sz="0" w:space="0" w:color="auto"/>
      </w:divBdr>
    </w:div>
    <w:div w:id="574705033">
      <w:bodyDiv w:val="1"/>
      <w:marLeft w:val="0"/>
      <w:marRight w:val="0"/>
      <w:marTop w:val="0"/>
      <w:marBottom w:val="0"/>
      <w:divBdr>
        <w:top w:val="none" w:sz="0" w:space="0" w:color="auto"/>
        <w:left w:val="none" w:sz="0" w:space="0" w:color="auto"/>
        <w:bottom w:val="none" w:sz="0" w:space="0" w:color="auto"/>
        <w:right w:val="none" w:sz="0" w:space="0" w:color="auto"/>
      </w:divBdr>
    </w:div>
    <w:div w:id="623117477">
      <w:bodyDiv w:val="1"/>
      <w:marLeft w:val="0"/>
      <w:marRight w:val="0"/>
      <w:marTop w:val="0"/>
      <w:marBottom w:val="0"/>
      <w:divBdr>
        <w:top w:val="none" w:sz="0" w:space="0" w:color="auto"/>
        <w:left w:val="none" w:sz="0" w:space="0" w:color="auto"/>
        <w:bottom w:val="none" w:sz="0" w:space="0" w:color="auto"/>
        <w:right w:val="none" w:sz="0" w:space="0" w:color="auto"/>
      </w:divBdr>
    </w:div>
    <w:div w:id="684670345">
      <w:bodyDiv w:val="1"/>
      <w:marLeft w:val="0"/>
      <w:marRight w:val="0"/>
      <w:marTop w:val="0"/>
      <w:marBottom w:val="0"/>
      <w:divBdr>
        <w:top w:val="none" w:sz="0" w:space="0" w:color="auto"/>
        <w:left w:val="none" w:sz="0" w:space="0" w:color="auto"/>
        <w:bottom w:val="none" w:sz="0" w:space="0" w:color="auto"/>
        <w:right w:val="none" w:sz="0" w:space="0" w:color="auto"/>
      </w:divBdr>
      <w:divsChild>
        <w:div w:id="1275791575">
          <w:marLeft w:val="0"/>
          <w:marRight w:val="0"/>
          <w:marTop w:val="0"/>
          <w:marBottom w:val="0"/>
          <w:divBdr>
            <w:top w:val="none" w:sz="0" w:space="0" w:color="auto"/>
            <w:left w:val="none" w:sz="0" w:space="0" w:color="auto"/>
            <w:bottom w:val="none" w:sz="0" w:space="0" w:color="auto"/>
            <w:right w:val="none" w:sz="0" w:space="0" w:color="auto"/>
          </w:divBdr>
          <w:divsChild>
            <w:div w:id="96947464">
              <w:marLeft w:val="0"/>
              <w:marRight w:val="0"/>
              <w:marTop w:val="0"/>
              <w:marBottom w:val="0"/>
              <w:divBdr>
                <w:top w:val="none" w:sz="0" w:space="0" w:color="auto"/>
                <w:left w:val="none" w:sz="0" w:space="0" w:color="auto"/>
                <w:bottom w:val="none" w:sz="0" w:space="0" w:color="auto"/>
                <w:right w:val="none" w:sz="0" w:space="0" w:color="auto"/>
              </w:divBdr>
              <w:divsChild>
                <w:div w:id="931550387">
                  <w:marLeft w:val="0"/>
                  <w:marRight w:val="0"/>
                  <w:marTop w:val="0"/>
                  <w:marBottom w:val="0"/>
                  <w:divBdr>
                    <w:top w:val="none" w:sz="0" w:space="0" w:color="auto"/>
                    <w:left w:val="none" w:sz="0" w:space="0" w:color="auto"/>
                    <w:bottom w:val="none" w:sz="0" w:space="0" w:color="auto"/>
                    <w:right w:val="none" w:sz="0" w:space="0" w:color="auto"/>
                  </w:divBdr>
                  <w:divsChild>
                    <w:div w:id="1115634784">
                      <w:marLeft w:val="0"/>
                      <w:marRight w:val="0"/>
                      <w:marTop w:val="0"/>
                      <w:marBottom w:val="0"/>
                      <w:divBdr>
                        <w:top w:val="none" w:sz="0" w:space="0" w:color="auto"/>
                        <w:left w:val="none" w:sz="0" w:space="0" w:color="auto"/>
                        <w:bottom w:val="none" w:sz="0" w:space="0" w:color="auto"/>
                        <w:right w:val="none" w:sz="0" w:space="0" w:color="auto"/>
                      </w:divBdr>
                      <w:divsChild>
                        <w:div w:id="85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54527">
      <w:bodyDiv w:val="1"/>
      <w:marLeft w:val="0"/>
      <w:marRight w:val="0"/>
      <w:marTop w:val="0"/>
      <w:marBottom w:val="0"/>
      <w:divBdr>
        <w:top w:val="none" w:sz="0" w:space="0" w:color="auto"/>
        <w:left w:val="none" w:sz="0" w:space="0" w:color="auto"/>
        <w:bottom w:val="none" w:sz="0" w:space="0" w:color="auto"/>
        <w:right w:val="none" w:sz="0" w:space="0" w:color="auto"/>
      </w:divBdr>
      <w:divsChild>
        <w:div w:id="2041933036">
          <w:marLeft w:val="0"/>
          <w:marRight w:val="0"/>
          <w:marTop w:val="0"/>
          <w:marBottom w:val="0"/>
          <w:divBdr>
            <w:top w:val="none" w:sz="0" w:space="0" w:color="auto"/>
            <w:left w:val="none" w:sz="0" w:space="0" w:color="auto"/>
            <w:bottom w:val="none" w:sz="0" w:space="0" w:color="auto"/>
            <w:right w:val="none" w:sz="0" w:space="0" w:color="auto"/>
          </w:divBdr>
          <w:divsChild>
            <w:div w:id="1316496937">
              <w:marLeft w:val="0"/>
              <w:marRight w:val="0"/>
              <w:marTop w:val="0"/>
              <w:marBottom w:val="0"/>
              <w:divBdr>
                <w:top w:val="none" w:sz="0" w:space="0" w:color="auto"/>
                <w:left w:val="none" w:sz="0" w:space="0" w:color="auto"/>
                <w:bottom w:val="none" w:sz="0" w:space="0" w:color="auto"/>
                <w:right w:val="none" w:sz="0" w:space="0" w:color="auto"/>
              </w:divBdr>
              <w:divsChild>
                <w:div w:id="271910768">
                  <w:marLeft w:val="0"/>
                  <w:marRight w:val="0"/>
                  <w:marTop w:val="0"/>
                  <w:marBottom w:val="0"/>
                  <w:divBdr>
                    <w:top w:val="none" w:sz="0" w:space="0" w:color="auto"/>
                    <w:left w:val="none" w:sz="0" w:space="0" w:color="auto"/>
                    <w:bottom w:val="none" w:sz="0" w:space="0" w:color="auto"/>
                    <w:right w:val="none" w:sz="0" w:space="0" w:color="auto"/>
                  </w:divBdr>
                  <w:divsChild>
                    <w:div w:id="21429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7115">
      <w:bodyDiv w:val="1"/>
      <w:marLeft w:val="0"/>
      <w:marRight w:val="0"/>
      <w:marTop w:val="0"/>
      <w:marBottom w:val="0"/>
      <w:divBdr>
        <w:top w:val="none" w:sz="0" w:space="0" w:color="auto"/>
        <w:left w:val="none" w:sz="0" w:space="0" w:color="auto"/>
        <w:bottom w:val="none" w:sz="0" w:space="0" w:color="auto"/>
        <w:right w:val="none" w:sz="0" w:space="0" w:color="auto"/>
      </w:divBdr>
      <w:divsChild>
        <w:div w:id="1243832235">
          <w:marLeft w:val="0"/>
          <w:marRight w:val="0"/>
          <w:marTop w:val="0"/>
          <w:marBottom w:val="0"/>
          <w:divBdr>
            <w:top w:val="none" w:sz="0" w:space="0" w:color="auto"/>
            <w:left w:val="none" w:sz="0" w:space="0" w:color="auto"/>
            <w:bottom w:val="none" w:sz="0" w:space="0" w:color="auto"/>
            <w:right w:val="none" w:sz="0" w:space="0" w:color="auto"/>
          </w:divBdr>
          <w:divsChild>
            <w:div w:id="988175151">
              <w:marLeft w:val="0"/>
              <w:marRight w:val="0"/>
              <w:marTop w:val="0"/>
              <w:marBottom w:val="0"/>
              <w:divBdr>
                <w:top w:val="none" w:sz="0" w:space="0" w:color="auto"/>
                <w:left w:val="none" w:sz="0" w:space="0" w:color="auto"/>
                <w:bottom w:val="none" w:sz="0" w:space="0" w:color="auto"/>
                <w:right w:val="none" w:sz="0" w:space="0" w:color="auto"/>
              </w:divBdr>
              <w:divsChild>
                <w:div w:id="2092849700">
                  <w:marLeft w:val="0"/>
                  <w:marRight w:val="0"/>
                  <w:marTop w:val="0"/>
                  <w:marBottom w:val="0"/>
                  <w:divBdr>
                    <w:top w:val="none" w:sz="0" w:space="0" w:color="auto"/>
                    <w:left w:val="none" w:sz="0" w:space="0" w:color="auto"/>
                    <w:bottom w:val="none" w:sz="0" w:space="0" w:color="auto"/>
                    <w:right w:val="none" w:sz="0" w:space="0" w:color="auto"/>
                  </w:divBdr>
                  <w:divsChild>
                    <w:div w:id="2332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7097">
      <w:bodyDiv w:val="1"/>
      <w:marLeft w:val="0"/>
      <w:marRight w:val="0"/>
      <w:marTop w:val="0"/>
      <w:marBottom w:val="0"/>
      <w:divBdr>
        <w:top w:val="none" w:sz="0" w:space="0" w:color="auto"/>
        <w:left w:val="none" w:sz="0" w:space="0" w:color="auto"/>
        <w:bottom w:val="none" w:sz="0" w:space="0" w:color="auto"/>
        <w:right w:val="none" w:sz="0" w:space="0" w:color="auto"/>
      </w:divBdr>
      <w:divsChild>
        <w:div w:id="402677675">
          <w:marLeft w:val="0"/>
          <w:marRight w:val="0"/>
          <w:marTop w:val="0"/>
          <w:marBottom w:val="0"/>
          <w:divBdr>
            <w:top w:val="none" w:sz="0" w:space="0" w:color="auto"/>
            <w:left w:val="none" w:sz="0" w:space="0" w:color="auto"/>
            <w:bottom w:val="none" w:sz="0" w:space="0" w:color="auto"/>
            <w:right w:val="none" w:sz="0" w:space="0" w:color="auto"/>
          </w:divBdr>
          <w:divsChild>
            <w:div w:id="1741518830">
              <w:marLeft w:val="0"/>
              <w:marRight w:val="0"/>
              <w:marTop w:val="0"/>
              <w:marBottom w:val="0"/>
              <w:divBdr>
                <w:top w:val="none" w:sz="0" w:space="0" w:color="auto"/>
                <w:left w:val="none" w:sz="0" w:space="0" w:color="auto"/>
                <w:bottom w:val="none" w:sz="0" w:space="0" w:color="auto"/>
                <w:right w:val="none" w:sz="0" w:space="0" w:color="auto"/>
              </w:divBdr>
              <w:divsChild>
                <w:div w:id="1565947785">
                  <w:marLeft w:val="0"/>
                  <w:marRight w:val="0"/>
                  <w:marTop w:val="0"/>
                  <w:marBottom w:val="0"/>
                  <w:divBdr>
                    <w:top w:val="none" w:sz="0" w:space="0" w:color="auto"/>
                    <w:left w:val="none" w:sz="0" w:space="0" w:color="auto"/>
                    <w:bottom w:val="none" w:sz="0" w:space="0" w:color="auto"/>
                    <w:right w:val="none" w:sz="0" w:space="0" w:color="auto"/>
                  </w:divBdr>
                  <w:divsChild>
                    <w:div w:id="20541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21345">
      <w:bodyDiv w:val="1"/>
      <w:marLeft w:val="0"/>
      <w:marRight w:val="0"/>
      <w:marTop w:val="0"/>
      <w:marBottom w:val="0"/>
      <w:divBdr>
        <w:top w:val="none" w:sz="0" w:space="0" w:color="auto"/>
        <w:left w:val="none" w:sz="0" w:space="0" w:color="auto"/>
        <w:bottom w:val="none" w:sz="0" w:space="0" w:color="auto"/>
        <w:right w:val="none" w:sz="0" w:space="0" w:color="auto"/>
      </w:divBdr>
      <w:divsChild>
        <w:div w:id="2026051601">
          <w:marLeft w:val="0"/>
          <w:marRight w:val="0"/>
          <w:marTop w:val="0"/>
          <w:marBottom w:val="0"/>
          <w:divBdr>
            <w:top w:val="none" w:sz="0" w:space="0" w:color="auto"/>
            <w:left w:val="none" w:sz="0" w:space="0" w:color="auto"/>
            <w:bottom w:val="none" w:sz="0" w:space="0" w:color="auto"/>
            <w:right w:val="none" w:sz="0" w:space="0" w:color="auto"/>
          </w:divBdr>
          <w:divsChild>
            <w:div w:id="109058840">
              <w:marLeft w:val="0"/>
              <w:marRight w:val="0"/>
              <w:marTop w:val="0"/>
              <w:marBottom w:val="0"/>
              <w:divBdr>
                <w:top w:val="none" w:sz="0" w:space="0" w:color="auto"/>
                <w:left w:val="none" w:sz="0" w:space="0" w:color="auto"/>
                <w:bottom w:val="none" w:sz="0" w:space="0" w:color="auto"/>
                <w:right w:val="none" w:sz="0" w:space="0" w:color="auto"/>
              </w:divBdr>
              <w:divsChild>
                <w:div w:id="670302618">
                  <w:marLeft w:val="0"/>
                  <w:marRight w:val="0"/>
                  <w:marTop w:val="0"/>
                  <w:marBottom w:val="0"/>
                  <w:divBdr>
                    <w:top w:val="none" w:sz="0" w:space="0" w:color="auto"/>
                    <w:left w:val="none" w:sz="0" w:space="0" w:color="auto"/>
                    <w:bottom w:val="none" w:sz="0" w:space="0" w:color="auto"/>
                    <w:right w:val="none" w:sz="0" w:space="0" w:color="auto"/>
                  </w:divBdr>
                  <w:divsChild>
                    <w:div w:id="667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5972">
      <w:bodyDiv w:val="1"/>
      <w:marLeft w:val="0"/>
      <w:marRight w:val="0"/>
      <w:marTop w:val="0"/>
      <w:marBottom w:val="0"/>
      <w:divBdr>
        <w:top w:val="none" w:sz="0" w:space="0" w:color="auto"/>
        <w:left w:val="none" w:sz="0" w:space="0" w:color="auto"/>
        <w:bottom w:val="none" w:sz="0" w:space="0" w:color="auto"/>
        <w:right w:val="none" w:sz="0" w:space="0" w:color="auto"/>
      </w:divBdr>
      <w:divsChild>
        <w:div w:id="1982617989">
          <w:marLeft w:val="0"/>
          <w:marRight w:val="0"/>
          <w:marTop w:val="0"/>
          <w:marBottom w:val="0"/>
          <w:divBdr>
            <w:top w:val="none" w:sz="0" w:space="0" w:color="auto"/>
            <w:left w:val="none" w:sz="0" w:space="0" w:color="auto"/>
            <w:bottom w:val="none" w:sz="0" w:space="0" w:color="auto"/>
            <w:right w:val="none" w:sz="0" w:space="0" w:color="auto"/>
          </w:divBdr>
          <w:divsChild>
            <w:div w:id="551380889">
              <w:marLeft w:val="0"/>
              <w:marRight w:val="0"/>
              <w:marTop w:val="0"/>
              <w:marBottom w:val="0"/>
              <w:divBdr>
                <w:top w:val="none" w:sz="0" w:space="0" w:color="auto"/>
                <w:left w:val="none" w:sz="0" w:space="0" w:color="auto"/>
                <w:bottom w:val="none" w:sz="0" w:space="0" w:color="auto"/>
                <w:right w:val="none" w:sz="0" w:space="0" w:color="auto"/>
              </w:divBdr>
              <w:divsChild>
                <w:div w:id="524251348">
                  <w:marLeft w:val="0"/>
                  <w:marRight w:val="0"/>
                  <w:marTop w:val="0"/>
                  <w:marBottom w:val="0"/>
                  <w:divBdr>
                    <w:top w:val="none" w:sz="0" w:space="0" w:color="auto"/>
                    <w:left w:val="none" w:sz="0" w:space="0" w:color="auto"/>
                    <w:bottom w:val="none" w:sz="0" w:space="0" w:color="auto"/>
                    <w:right w:val="none" w:sz="0" w:space="0" w:color="auto"/>
                  </w:divBdr>
                  <w:divsChild>
                    <w:div w:id="1752701691">
                      <w:marLeft w:val="0"/>
                      <w:marRight w:val="0"/>
                      <w:marTop w:val="0"/>
                      <w:marBottom w:val="0"/>
                      <w:divBdr>
                        <w:top w:val="none" w:sz="0" w:space="0" w:color="auto"/>
                        <w:left w:val="none" w:sz="0" w:space="0" w:color="auto"/>
                        <w:bottom w:val="none" w:sz="0" w:space="0" w:color="auto"/>
                        <w:right w:val="none" w:sz="0" w:space="0" w:color="auto"/>
                      </w:divBdr>
                      <w:divsChild>
                        <w:div w:id="14513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67717">
      <w:bodyDiv w:val="1"/>
      <w:marLeft w:val="0"/>
      <w:marRight w:val="0"/>
      <w:marTop w:val="0"/>
      <w:marBottom w:val="0"/>
      <w:divBdr>
        <w:top w:val="none" w:sz="0" w:space="0" w:color="auto"/>
        <w:left w:val="none" w:sz="0" w:space="0" w:color="auto"/>
        <w:bottom w:val="none" w:sz="0" w:space="0" w:color="auto"/>
        <w:right w:val="none" w:sz="0" w:space="0" w:color="auto"/>
      </w:divBdr>
    </w:div>
    <w:div w:id="1802184678">
      <w:bodyDiv w:val="1"/>
      <w:marLeft w:val="0"/>
      <w:marRight w:val="0"/>
      <w:marTop w:val="0"/>
      <w:marBottom w:val="0"/>
      <w:divBdr>
        <w:top w:val="none" w:sz="0" w:space="0" w:color="auto"/>
        <w:left w:val="none" w:sz="0" w:space="0" w:color="auto"/>
        <w:bottom w:val="none" w:sz="0" w:space="0" w:color="auto"/>
        <w:right w:val="none" w:sz="0" w:space="0" w:color="auto"/>
      </w:divBdr>
      <w:divsChild>
        <w:div w:id="1968270370">
          <w:marLeft w:val="0"/>
          <w:marRight w:val="0"/>
          <w:marTop w:val="0"/>
          <w:marBottom w:val="0"/>
          <w:divBdr>
            <w:top w:val="none" w:sz="0" w:space="0" w:color="auto"/>
            <w:left w:val="none" w:sz="0" w:space="0" w:color="auto"/>
            <w:bottom w:val="none" w:sz="0" w:space="0" w:color="auto"/>
            <w:right w:val="none" w:sz="0" w:space="0" w:color="auto"/>
          </w:divBdr>
          <w:divsChild>
            <w:div w:id="510409084">
              <w:marLeft w:val="0"/>
              <w:marRight w:val="0"/>
              <w:marTop w:val="0"/>
              <w:marBottom w:val="0"/>
              <w:divBdr>
                <w:top w:val="none" w:sz="0" w:space="0" w:color="auto"/>
                <w:left w:val="none" w:sz="0" w:space="0" w:color="auto"/>
                <w:bottom w:val="none" w:sz="0" w:space="0" w:color="auto"/>
                <w:right w:val="none" w:sz="0" w:space="0" w:color="auto"/>
              </w:divBdr>
              <w:divsChild>
                <w:div w:id="709836942">
                  <w:marLeft w:val="0"/>
                  <w:marRight w:val="0"/>
                  <w:marTop w:val="0"/>
                  <w:marBottom w:val="0"/>
                  <w:divBdr>
                    <w:top w:val="none" w:sz="0" w:space="0" w:color="auto"/>
                    <w:left w:val="none" w:sz="0" w:space="0" w:color="auto"/>
                    <w:bottom w:val="none" w:sz="0" w:space="0" w:color="auto"/>
                    <w:right w:val="none" w:sz="0" w:space="0" w:color="auto"/>
                  </w:divBdr>
                  <w:divsChild>
                    <w:div w:id="904681816">
                      <w:marLeft w:val="0"/>
                      <w:marRight w:val="0"/>
                      <w:marTop w:val="0"/>
                      <w:marBottom w:val="0"/>
                      <w:divBdr>
                        <w:top w:val="none" w:sz="0" w:space="0" w:color="auto"/>
                        <w:left w:val="none" w:sz="0" w:space="0" w:color="auto"/>
                        <w:bottom w:val="none" w:sz="0" w:space="0" w:color="auto"/>
                        <w:right w:val="none" w:sz="0" w:space="0" w:color="auto"/>
                      </w:divBdr>
                      <w:divsChild>
                        <w:div w:id="4999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696374">
      <w:bodyDiv w:val="1"/>
      <w:marLeft w:val="0"/>
      <w:marRight w:val="0"/>
      <w:marTop w:val="0"/>
      <w:marBottom w:val="0"/>
      <w:divBdr>
        <w:top w:val="none" w:sz="0" w:space="0" w:color="auto"/>
        <w:left w:val="none" w:sz="0" w:space="0" w:color="auto"/>
        <w:bottom w:val="none" w:sz="0" w:space="0" w:color="auto"/>
        <w:right w:val="none" w:sz="0" w:space="0" w:color="auto"/>
      </w:divBdr>
      <w:divsChild>
        <w:div w:id="417749715">
          <w:marLeft w:val="0"/>
          <w:marRight w:val="0"/>
          <w:marTop w:val="0"/>
          <w:marBottom w:val="0"/>
          <w:divBdr>
            <w:top w:val="none" w:sz="0" w:space="0" w:color="auto"/>
            <w:left w:val="none" w:sz="0" w:space="0" w:color="auto"/>
            <w:bottom w:val="none" w:sz="0" w:space="0" w:color="auto"/>
            <w:right w:val="none" w:sz="0" w:space="0" w:color="auto"/>
          </w:divBdr>
          <w:divsChild>
            <w:div w:id="801190929">
              <w:marLeft w:val="0"/>
              <w:marRight w:val="0"/>
              <w:marTop w:val="0"/>
              <w:marBottom w:val="0"/>
              <w:divBdr>
                <w:top w:val="none" w:sz="0" w:space="0" w:color="auto"/>
                <w:left w:val="none" w:sz="0" w:space="0" w:color="auto"/>
                <w:bottom w:val="none" w:sz="0" w:space="0" w:color="auto"/>
                <w:right w:val="none" w:sz="0" w:space="0" w:color="auto"/>
              </w:divBdr>
              <w:divsChild>
                <w:div w:id="678310903">
                  <w:marLeft w:val="0"/>
                  <w:marRight w:val="0"/>
                  <w:marTop w:val="0"/>
                  <w:marBottom w:val="0"/>
                  <w:divBdr>
                    <w:top w:val="none" w:sz="0" w:space="0" w:color="auto"/>
                    <w:left w:val="none" w:sz="0" w:space="0" w:color="auto"/>
                    <w:bottom w:val="none" w:sz="0" w:space="0" w:color="auto"/>
                    <w:right w:val="none" w:sz="0" w:space="0" w:color="auto"/>
                  </w:divBdr>
                  <w:divsChild>
                    <w:div w:id="91054758">
                      <w:marLeft w:val="0"/>
                      <w:marRight w:val="0"/>
                      <w:marTop w:val="0"/>
                      <w:marBottom w:val="0"/>
                      <w:divBdr>
                        <w:top w:val="none" w:sz="0" w:space="0" w:color="auto"/>
                        <w:left w:val="none" w:sz="0" w:space="0" w:color="auto"/>
                        <w:bottom w:val="none" w:sz="0" w:space="0" w:color="auto"/>
                        <w:right w:val="none" w:sz="0" w:space="0" w:color="auto"/>
                      </w:divBdr>
                      <w:divsChild>
                        <w:div w:id="8253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279973">
      <w:bodyDiv w:val="1"/>
      <w:marLeft w:val="0"/>
      <w:marRight w:val="0"/>
      <w:marTop w:val="0"/>
      <w:marBottom w:val="0"/>
      <w:divBdr>
        <w:top w:val="none" w:sz="0" w:space="0" w:color="auto"/>
        <w:left w:val="none" w:sz="0" w:space="0" w:color="auto"/>
        <w:bottom w:val="none" w:sz="0" w:space="0" w:color="auto"/>
        <w:right w:val="none" w:sz="0" w:space="0" w:color="auto"/>
      </w:divBdr>
      <w:divsChild>
        <w:div w:id="602763682">
          <w:marLeft w:val="0"/>
          <w:marRight w:val="0"/>
          <w:marTop w:val="0"/>
          <w:marBottom w:val="0"/>
          <w:divBdr>
            <w:top w:val="none" w:sz="0" w:space="0" w:color="auto"/>
            <w:left w:val="none" w:sz="0" w:space="0" w:color="auto"/>
            <w:bottom w:val="none" w:sz="0" w:space="0" w:color="auto"/>
            <w:right w:val="none" w:sz="0" w:space="0" w:color="auto"/>
          </w:divBdr>
          <w:divsChild>
            <w:div w:id="1684472963">
              <w:marLeft w:val="0"/>
              <w:marRight w:val="0"/>
              <w:marTop w:val="0"/>
              <w:marBottom w:val="0"/>
              <w:divBdr>
                <w:top w:val="none" w:sz="0" w:space="0" w:color="auto"/>
                <w:left w:val="none" w:sz="0" w:space="0" w:color="auto"/>
                <w:bottom w:val="none" w:sz="0" w:space="0" w:color="auto"/>
                <w:right w:val="none" w:sz="0" w:space="0" w:color="auto"/>
              </w:divBdr>
              <w:divsChild>
                <w:div w:id="550768767">
                  <w:marLeft w:val="0"/>
                  <w:marRight w:val="0"/>
                  <w:marTop w:val="0"/>
                  <w:marBottom w:val="0"/>
                  <w:divBdr>
                    <w:top w:val="none" w:sz="0" w:space="0" w:color="auto"/>
                    <w:left w:val="none" w:sz="0" w:space="0" w:color="auto"/>
                    <w:bottom w:val="none" w:sz="0" w:space="0" w:color="auto"/>
                    <w:right w:val="none" w:sz="0" w:space="0" w:color="auto"/>
                  </w:divBdr>
                  <w:divsChild>
                    <w:div w:id="9583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149">
      <w:bodyDiv w:val="1"/>
      <w:marLeft w:val="0"/>
      <w:marRight w:val="0"/>
      <w:marTop w:val="0"/>
      <w:marBottom w:val="0"/>
      <w:divBdr>
        <w:top w:val="none" w:sz="0" w:space="0" w:color="auto"/>
        <w:left w:val="none" w:sz="0" w:space="0" w:color="auto"/>
        <w:bottom w:val="none" w:sz="0" w:space="0" w:color="auto"/>
        <w:right w:val="none" w:sz="0" w:space="0" w:color="auto"/>
      </w:divBdr>
      <w:divsChild>
        <w:div w:id="520701677">
          <w:marLeft w:val="0"/>
          <w:marRight w:val="0"/>
          <w:marTop w:val="0"/>
          <w:marBottom w:val="0"/>
          <w:divBdr>
            <w:top w:val="none" w:sz="0" w:space="0" w:color="auto"/>
            <w:left w:val="none" w:sz="0" w:space="0" w:color="auto"/>
            <w:bottom w:val="none" w:sz="0" w:space="0" w:color="auto"/>
            <w:right w:val="none" w:sz="0" w:space="0" w:color="auto"/>
          </w:divBdr>
          <w:divsChild>
            <w:div w:id="543104206">
              <w:marLeft w:val="0"/>
              <w:marRight w:val="0"/>
              <w:marTop w:val="0"/>
              <w:marBottom w:val="0"/>
              <w:divBdr>
                <w:top w:val="none" w:sz="0" w:space="0" w:color="auto"/>
                <w:left w:val="none" w:sz="0" w:space="0" w:color="auto"/>
                <w:bottom w:val="none" w:sz="0" w:space="0" w:color="auto"/>
                <w:right w:val="none" w:sz="0" w:space="0" w:color="auto"/>
              </w:divBdr>
              <w:divsChild>
                <w:div w:id="1980648067">
                  <w:marLeft w:val="0"/>
                  <w:marRight w:val="0"/>
                  <w:marTop w:val="0"/>
                  <w:marBottom w:val="0"/>
                  <w:divBdr>
                    <w:top w:val="none" w:sz="0" w:space="0" w:color="auto"/>
                    <w:left w:val="none" w:sz="0" w:space="0" w:color="auto"/>
                    <w:bottom w:val="none" w:sz="0" w:space="0" w:color="auto"/>
                    <w:right w:val="none" w:sz="0" w:space="0" w:color="auto"/>
                  </w:divBdr>
                  <w:divsChild>
                    <w:div w:id="1813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53145">
      <w:bodyDiv w:val="1"/>
      <w:marLeft w:val="0"/>
      <w:marRight w:val="0"/>
      <w:marTop w:val="0"/>
      <w:marBottom w:val="0"/>
      <w:divBdr>
        <w:top w:val="none" w:sz="0" w:space="0" w:color="auto"/>
        <w:left w:val="none" w:sz="0" w:space="0" w:color="auto"/>
        <w:bottom w:val="none" w:sz="0" w:space="0" w:color="auto"/>
        <w:right w:val="none" w:sz="0" w:space="0" w:color="auto"/>
      </w:divBdr>
      <w:divsChild>
        <w:div w:id="1183862232">
          <w:marLeft w:val="0"/>
          <w:marRight w:val="0"/>
          <w:marTop w:val="0"/>
          <w:marBottom w:val="0"/>
          <w:divBdr>
            <w:top w:val="none" w:sz="0" w:space="0" w:color="auto"/>
            <w:left w:val="none" w:sz="0" w:space="0" w:color="auto"/>
            <w:bottom w:val="none" w:sz="0" w:space="0" w:color="auto"/>
            <w:right w:val="none" w:sz="0" w:space="0" w:color="auto"/>
          </w:divBdr>
          <w:divsChild>
            <w:div w:id="1615941186">
              <w:marLeft w:val="0"/>
              <w:marRight w:val="0"/>
              <w:marTop w:val="0"/>
              <w:marBottom w:val="0"/>
              <w:divBdr>
                <w:top w:val="none" w:sz="0" w:space="0" w:color="auto"/>
                <w:left w:val="none" w:sz="0" w:space="0" w:color="auto"/>
                <w:bottom w:val="none" w:sz="0" w:space="0" w:color="auto"/>
                <w:right w:val="none" w:sz="0" w:space="0" w:color="auto"/>
              </w:divBdr>
              <w:divsChild>
                <w:div w:id="1293635842">
                  <w:marLeft w:val="0"/>
                  <w:marRight w:val="0"/>
                  <w:marTop w:val="0"/>
                  <w:marBottom w:val="0"/>
                  <w:divBdr>
                    <w:top w:val="none" w:sz="0" w:space="0" w:color="auto"/>
                    <w:left w:val="none" w:sz="0" w:space="0" w:color="auto"/>
                    <w:bottom w:val="none" w:sz="0" w:space="0" w:color="auto"/>
                    <w:right w:val="none" w:sz="0" w:space="0" w:color="auto"/>
                  </w:divBdr>
                  <w:divsChild>
                    <w:div w:id="11504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psc.gov.au/home" TargetMode="External"/><Relationship Id="rId117" Type="http://schemas.openxmlformats.org/officeDocument/2006/relationships/hyperlink" Target="http://www.ergonomics.org.au/downloads/HFESA_2013_Conference_Proceedings/Young_workers_at_risk_Absenteeism_and_presenteeism_in_Raine_Study_23_year_olds.pdf" TargetMode="External"/><Relationship Id="rId21" Type="http://schemas.openxmlformats.org/officeDocument/2006/relationships/hyperlink" Target="http://www.safeworkaustralia.gov.au/sites/swa/australian-strategy/action-areas/pages/action-areas" TargetMode="External"/><Relationship Id="rId42" Type="http://schemas.openxmlformats.org/officeDocument/2006/relationships/hyperlink" Target="http://www.safeatwork.org.au/" TargetMode="External"/><Relationship Id="rId47" Type="http://schemas.openxmlformats.org/officeDocument/2006/relationships/hyperlink" Target="http://www.worksafe.act.gov.au/page/view/3455" TargetMode="External"/><Relationship Id="rId63" Type="http://schemas.openxmlformats.org/officeDocument/2006/relationships/hyperlink" Target="http://www.safework.sa.gov.au/show_page.jsp?id=8199" TargetMode="External"/><Relationship Id="rId68" Type="http://schemas.openxmlformats.org/officeDocument/2006/relationships/hyperlink" Target="http://www.safeworkaustralia.gov.au/sites/swa/australian-strategy/action-areas/pages/action-areas" TargetMode="External"/><Relationship Id="rId84" Type="http://schemas.openxmlformats.org/officeDocument/2006/relationships/hyperlink" Target="http://www.safeworkaustralia.gov.au/sites/swa/about/publications/pages/national-compliance-enforcement-policy" TargetMode="External"/><Relationship Id="rId89" Type="http://schemas.openxmlformats.org/officeDocument/2006/relationships/hyperlink" Target="http://www.vwa.vic.gov.au/about-vwa/small-business" TargetMode="External"/><Relationship Id="rId112" Type="http://schemas.openxmlformats.org/officeDocument/2006/relationships/hyperlink" Target="http://www.safeworkaustralia.gov.au/sites/swa/australian-strategy/case-studies/pages/finding-answers-%e2%80%93-improving-quad-bike-safety" TargetMode="External"/><Relationship Id="rId133" Type="http://schemas.openxmlformats.org/officeDocument/2006/relationships/footer" Target="footer2.xml"/><Relationship Id="rId16" Type="http://schemas.openxmlformats.org/officeDocument/2006/relationships/image" Target="media/image2.png"/><Relationship Id="rId107" Type="http://schemas.openxmlformats.org/officeDocument/2006/relationships/hyperlink" Target="http://www.safeworkaustralia.gov.au/sites/swa/workers-compensation/data/pages/wc-data" TargetMode="External"/><Relationship Id="rId11" Type="http://schemas.openxmlformats.org/officeDocument/2006/relationships/image" Target="media/image1.emf"/><Relationship Id="rId32" Type="http://schemas.openxmlformats.org/officeDocument/2006/relationships/hyperlink" Target="http://www.safeworkaustralia.gov.au/sites/swa/australian-strategy/case-studies/pages/designing-out-dangers" TargetMode="External"/><Relationship Id="rId37" Type="http://schemas.openxmlformats.org/officeDocument/2006/relationships/hyperlink" Target="http://www.safeworkaustralia.gov.au/sites/swa/media-events/safe-work-week/pages/safety-ambassadors-2012" TargetMode="External"/><Relationship Id="rId53" Type="http://schemas.openxmlformats.org/officeDocument/2006/relationships/hyperlink" Target="http://www.safeworkaustralia.gov.au/sites/swa/research/workplace-culture/pages/workplace-culture" TargetMode="External"/><Relationship Id="rId58" Type="http://schemas.openxmlformats.org/officeDocument/2006/relationships/hyperlink" Target="http://www.safeworkaustralia.gov.au/sites/swa/australian-strategy/action-areas/pages/action-areas" TargetMode="External"/><Relationship Id="rId74" Type="http://schemas.openxmlformats.org/officeDocument/2006/relationships/hyperlink" Target="http://www.safeworkaustralia.gov.au/sites/swa/australian-strategy/pages/progress-national-ohs-strategy-2002-2012" TargetMode="External"/><Relationship Id="rId79" Type="http://schemas.openxmlformats.org/officeDocument/2006/relationships/hyperlink" Target="http://www.safeworkaustralia.gov.au/sites/swa/australian-strategy/case-studies/pages/improve-safety-in-construction" TargetMode="External"/><Relationship Id="rId102" Type="http://schemas.openxmlformats.org/officeDocument/2006/relationships/hyperlink" Target="http://www.safeworkaustralia.gov.au/sites/swa/workers-compensation/data/pages/wc-data" TargetMode="External"/><Relationship Id="rId123" Type="http://schemas.openxmlformats.org/officeDocument/2006/relationships/hyperlink" Target="http://www.safeworkaustralia.gov.au/sites/swa/australian-strategy/case-studies/pages/reducing-psychological-injury" TargetMode="External"/><Relationship Id="rId128" Type="http://schemas.openxmlformats.org/officeDocument/2006/relationships/hyperlink" Target="http://www.mesothelioma-australia.com/home/" TargetMode="External"/><Relationship Id="rId5" Type="http://schemas.openxmlformats.org/officeDocument/2006/relationships/styles" Target="styles.xml"/><Relationship Id="rId90" Type="http://schemas.openxmlformats.org/officeDocument/2006/relationships/hyperlink" Target="http://www.deir.qld.gov.au/workplace/businesses/small-medium-enterprises/index.htm" TargetMode="External"/><Relationship Id="rId95" Type="http://schemas.openxmlformats.org/officeDocument/2006/relationships/hyperlink" Target="http://www.safeworkaustralia.gov.au/sites/swa/about/publications/pages/sp200208nationalohsstrategy2002to2012" TargetMode="External"/><Relationship Id="rId14" Type="http://schemas.openxmlformats.org/officeDocument/2006/relationships/hyperlink" Target="http://www.safeworkaustralia.gov.au/sites/swa/about/publications/pages/sp200208nationalohsstrategy2002to2012" TargetMode="External"/><Relationship Id="rId22" Type="http://schemas.openxmlformats.org/officeDocument/2006/relationships/hyperlink" Target="http://www.safeworkaustralia.gov.au/sites/swa/about/publications/pages/sizing-up-australia" TargetMode="External"/><Relationship Id="rId27" Type="http://schemas.openxmlformats.org/officeDocument/2006/relationships/hyperlink" Target="http://www.peopleatworkproject.com.au/" TargetMode="External"/><Relationship Id="rId30" Type="http://schemas.openxmlformats.org/officeDocument/2006/relationships/hyperlink" Target="http://www.deir.qld.gov.au/workplace/business/labourhire/index.htm" TargetMode="External"/><Relationship Id="rId35" Type="http://schemas.openxmlformats.org/officeDocument/2006/relationships/hyperlink" Target="http://www.safeworkaustralia.gov.au/sites/swa/media-events/awards/pages/awards" TargetMode="External"/><Relationship Id="rId43" Type="http://schemas.openxmlformats.org/officeDocument/2006/relationships/hyperlink" Target="http://training.gov.au/Training/Details/BSB41407" TargetMode="External"/><Relationship Id="rId48" Type="http://schemas.openxmlformats.org/officeDocument/2006/relationships/hyperlink" Target="http://www.worksafe.vic.gov.au/safety-and-prevention/health-and-safety-topics/young-workers/not-sure-ask" TargetMode="External"/><Relationship Id="rId56" Type="http://schemas.openxmlformats.org/officeDocument/2006/relationships/hyperlink" Target="http://www.safeworkaustralia.gov.au/sites/swa/australian-strategy/case-studies/pages/mentoring-makes-a-difference" TargetMode="External"/><Relationship Id="rId64" Type="http://schemas.openxmlformats.org/officeDocument/2006/relationships/hyperlink" Target="http://www.worksafe.vic.gov.au/safety-and-prevention/health-and-wellbeing/research" TargetMode="External"/><Relationship Id="rId69" Type="http://schemas.openxmlformats.org/officeDocument/2006/relationships/hyperlink" Target="http://www.aph.gov.au/Parliamentary_Business/Committees/House_of_Representatives_Committees?url=ee/bullying/report.htm" TargetMode="External"/><Relationship Id="rId77" Type="http://schemas.openxmlformats.org/officeDocument/2006/relationships/hyperlink" Target="http://www.safeworkaustralia.gov.au/sites/swa/model-whs-laws/guidance/pages/guidance-material" TargetMode="External"/><Relationship Id="rId100" Type="http://schemas.openxmlformats.org/officeDocument/2006/relationships/hyperlink" Target="http://www.safeworkaustralia.gov.au/sites/swa/australian-strategy/case-studies/pages/improving-remote-workers-health-and-safety" TargetMode="External"/><Relationship Id="rId105" Type="http://schemas.openxmlformats.org/officeDocument/2006/relationships/hyperlink" Target="http://www.safeworkaustralia.gov.au/sites/swa/australian-strategy/case-studies/pages/supplier-insight-quad-bike-safety" TargetMode="External"/><Relationship Id="rId113" Type="http://schemas.openxmlformats.org/officeDocument/2006/relationships/hyperlink" Target="http://www.safeworkaustralia.gov.au/sites/swa/australian-strategy/case-studies/pages/regional-communities-a-nsw-priority" TargetMode="External"/><Relationship Id="rId118" Type="http://schemas.openxmlformats.org/officeDocument/2006/relationships/hyperlink" Target="http://www.safeworkaustralia.gov.au/sites/swa/about/publications/pages/workers-compensation-claims-for-mental-stress-in-australia" TargetMode="External"/><Relationship Id="rId126" Type="http://schemas.openxmlformats.org/officeDocument/2006/relationships/hyperlink" Target="http://www.safeworkaustralia.gov.au/sites/swa/about/publications/pages/occupational-disease-indicators-2012" TargetMode="External"/><Relationship Id="rId13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safeworkaustralia.gov.au/sites/swa/about/publications/pages/issues-measurement-reporting-whs-performance-review" TargetMode="External"/><Relationship Id="rId72" Type="http://schemas.openxmlformats.org/officeDocument/2006/relationships/hyperlink" Target="http://www.apsc.gov.au/publications-and-media/current-publications/mental-health" TargetMode="External"/><Relationship Id="rId80" Type="http://schemas.openxmlformats.org/officeDocument/2006/relationships/hyperlink" Target="http://www.safeworkaustralia.gov.au/sites/swa/australian-strategy/case-studies/pages/making-logging-trucks-safer" TargetMode="External"/><Relationship Id="rId85" Type="http://schemas.openxmlformats.org/officeDocument/2006/relationships/hyperlink" Target="http://www.safeworkaustralia.gov.au/sites/swa/about/publications/pages/comparative-performance-monitoring-report-15th-edition" TargetMode="External"/><Relationship Id="rId93" Type="http://schemas.openxmlformats.org/officeDocument/2006/relationships/hyperlink" Target="http://www.worksafe.act.gov.au/page/view/1037" TargetMode="External"/><Relationship Id="rId98" Type="http://schemas.openxmlformats.org/officeDocument/2006/relationships/hyperlink" Target="http://www.safeworkaustralia.gov.au/sites/swa/model-whs-laws/guidance/pages/guidance-material" TargetMode="External"/><Relationship Id="rId121" Type="http://schemas.openxmlformats.org/officeDocument/2006/relationships/hyperlink" Target="http://workplacementalhealth.com.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safeworkaustralia.gov.au/sites/swa/australian-strategy/pages/australian-strategy" TargetMode="External"/><Relationship Id="rId25" Type="http://schemas.openxmlformats.org/officeDocument/2006/relationships/hyperlink" Target="http://www.apsc.gov.au/publications-and-media/current-publications/mental-health" TargetMode="External"/><Relationship Id="rId33" Type="http://schemas.openxmlformats.org/officeDocument/2006/relationships/hyperlink" Target="http://www.safeworkaustralia.gov.au/sites/swa/australian-strategy/action-areas/pages/action-areas" TargetMode="External"/><Relationship Id="rId38" Type="http://schemas.openxmlformats.org/officeDocument/2006/relationships/hyperlink" Target="http://www.safeworkaustralia.gov.au/sites/swa/news/pages/tn31102012" TargetMode="External"/><Relationship Id="rId46" Type="http://schemas.openxmlformats.org/officeDocument/2006/relationships/hyperlink" Target="http://www.safeworkaustralia.gov.au/sites/SWA/about/Publications/Documents/719/Australian-WHS-Strategy-2012-2022.pdf" TargetMode="External"/><Relationship Id="rId59" Type="http://schemas.openxmlformats.org/officeDocument/2006/relationships/hyperlink" Target="http://www.safeworkaustralia.gov.au/sites/swa/about/publications/pages/notifiedfatalitiesmonthlyreport" TargetMode="External"/><Relationship Id="rId67" Type="http://schemas.openxmlformats.org/officeDocument/2006/relationships/hyperlink" Target="http://www.safeworkaustralia.gov.au/sites/swa/australian-strategy/case-studies/pages/perception-of-health-safety" TargetMode="External"/><Relationship Id="rId103" Type="http://schemas.openxmlformats.org/officeDocument/2006/relationships/hyperlink" Target="http://www.safeworkaustralia.gov.au/sites/swa/about/publications/pages/work-related-injuries-fatalities-australian-farms" TargetMode="External"/><Relationship Id="rId108" Type="http://schemas.openxmlformats.org/officeDocument/2006/relationships/hyperlink" Target="http://www.safeworkaustralia.gov.au/sites/swa/about/publications/pages/whs-road-freight-2013" TargetMode="External"/><Relationship Id="rId116" Type="http://schemas.openxmlformats.org/officeDocument/2006/relationships/hyperlink" Target="http://www.safeworkaustralia.gov.au/sites/swa/australian-strategy/case-studies/pages/queensland-workplaces'-performing" TargetMode="External"/><Relationship Id="rId124" Type="http://schemas.openxmlformats.org/officeDocument/2006/relationships/hyperlink" Target="http://www.safeworkaustralia.gov.au/sites/swa/about/publications/pages/sr200604occupationalcancerinaustralia" TargetMode="External"/><Relationship Id="rId129" Type="http://schemas.openxmlformats.org/officeDocument/2006/relationships/hyperlink" Target="http://swasolution.hosts.network/Default.aspx?urilist=220961," TargetMode="External"/><Relationship Id="rId20" Type="http://schemas.openxmlformats.org/officeDocument/2006/relationships/hyperlink" Target="http://www.swa.gov.au" TargetMode="External"/><Relationship Id="rId41" Type="http://schemas.openxmlformats.org/officeDocument/2006/relationships/hyperlink" Target="http://www.safeworkaustralia.gov.au/sites/swa/australian-strategy/case-studies/pages/innovative-training-improves-safety-in-construction" TargetMode="External"/><Relationship Id="rId54" Type="http://schemas.openxmlformats.org/officeDocument/2006/relationships/hyperlink" Target="http://www.safeworkaustralia.gov.au/sites/swa/australian-strategy/case-studies/pages/zero-harm-at-work" TargetMode="External"/><Relationship Id="rId62" Type="http://schemas.openxmlformats.org/officeDocument/2006/relationships/hyperlink" Target="http://www.mesothelioma-australia.com/home/" TargetMode="External"/><Relationship Id="rId70" Type="http://schemas.openxmlformats.org/officeDocument/2006/relationships/hyperlink" Target="http://cdn.justice.act.gov.au/resources/uploads/Worksafe/Publications/Handbooks/Getting_Home_Safely_report_-_Construction_Safety_Inquiry_Nov_2012.pdf" TargetMode="External"/><Relationship Id="rId75" Type="http://schemas.openxmlformats.org/officeDocument/2006/relationships/hyperlink" Target="http://regnet.anu.edu.au/nrcohsr/home" TargetMode="External"/><Relationship Id="rId83" Type="http://schemas.openxmlformats.org/officeDocument/2006/relationships/hyperlink" Target="http://www.safeworkaustralia.gov.au/sites/swa/about/who-we-work-with/afer/pages/afer" TargetMode="External"/><Relationship Id="rId88" Type="http://schemas.openxmlformats.org/officeDocument/2006/relationships/hyperlink" Target="http://www.safeworkaustralia.gov.au/sites/swa/australian-strategy/case-studies/pages/focus-on-wood-products-manufacturing" TargetMode="External"/><Relationship Id="rId91" Type="http://schemas.openxmlformats.org/officeDocument/2006/relationships/hyperlink" Target="http://www.safework.sa.gov.au/show_page.jsp?id=113072" TargetMode="External"/><Relationship Id="rId96" Type="http://schemas.openxmlformats.org/officeDocument/2006/relationships/hyperlink" Target="http://www.safeworkaustralia.gov.au/sites/swa/australian-strategy/priority-industries/pages/priority-industries" TargetMode="External"/><Relationship Id="rId111" Type="http://schemas.openxmlformats.org/officeDocument/2006/relationships/hyperlink" Target="http://www.safeworkaustralia.gov.au/sites/swa/australian-strategy/case-studies/pages/making-farming-safer" TargetMode="External"/><Relationship Id="rId132" Type="http://schemas.openxmlformats.org/officeDocument/2006/relationships/hyperlink" Target="http://www.safeworkaustralia.gov.au/sites/swa/australian-strategy/vss/pages/vss"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safeworkaustralia.gov.au/sites/swa/australian-strategy/outcomes/pages/2022-outcomes" TargetMode="External"/><Relationship Id="rId23" Type="http://schemas.openxmlformats.org/officeDocument/2006/relationships/hyperlink" Target="http://www.safeworkaustralia.gov.au/sites/swa/australian-strategy/case-studies/pages/finding-answers-%e2%80%93-improving-quad-bike-safety" TargetMode="External"/><Relationship Id="rId28" Type="http://schemas.openxmlformats.org/officeDocument/2006/relationships/hyperlink" Target="http://www.safeworkaustralia.gov.au/sites/swa/australian-strategy/case-studies/pages/improving-remote-workers-health-and-safety" TargetMode="External"/><Relationship Id="rId36" Type="http://schemas.openxmlformats.org/officeDocument/2006/relationships/hyperlink" Target="http://www.safeworkaustralia.gov.au/sites/swa/media-events/safety-month/pages/swam" TargetMode="External"/><Relationship Id="rId49" Type="http://schemas.openxmlformats.org/officeDocument/2006/relationships/hyperlink" Target="http://www.safeworkaustralia.gov.au/sites/swa/australian-strategy/case-studies/pages/tasmanians-working-together" TargetMode="External"/><Relationship Id="rId57" Type="http://schemas.openxmlformats.org/officeDocument/2006/relationships/hyperlink" Target="http://www.safeworkaustralia.gov.au/sites/swa/australian-strategy/case-studies/pages/improving-safety-plastic-industry" TargetMode="External"/><Relationship Id="rId106" Type="http://schemas.openxmlformats.org/officeDocument/2006/relationships/hyperlink" Target="http://www.safeworkaustralia.gov.au/sites/swa/australian-strategy/case-studies/pages/making-farming-safer" TargetMode="External"/><Relationship Id="rId114" Type="http://schemas.openxmlformats.org/officeDocument/2006/relationships/hyperlink" Target="http://www.safeworkaustralia.gov.au/sites/swa/australian-strategy/case-studies/pages/replacing-risky-transport-restraints" TargetMode="External"/><Relationship Id="rId119" Type="http://schemas.openxmlformats.org/officeDocument/2006/relationships/hyperlink" Target="http://www.aph.gov.au/parliamentary_business/committees/house_of_representatives_committees?url=ee/bullying/report.htm" TargetMode="External"/><Relationship Id="rId127" Type="http://schemas.openxmlformats.org/officeDocument/2006/relationships/hyperlink" Target="http://www.safeworkaustralia.gov.au/sites/swa/about/publications/pages/managing-risks-of-hazardous-chemicals-in-the-workplace" TargetMode="External"/><Relationship Id="rId10" Type="http://schemas.openxmlformats.org/officeDocument/2006/relationships/endnotes" Target="endnotes.xml"/><Relationship Id="rId31" Type="http://schemas.openxmlformats.org/officeDocument/2006/relationships/hyperlink" Target="http://www.deir.qld.gov.au/workplace/business/labourhire/index.htm" TargetMode="External"/><Relationship Id="rId44" Type="http://schemas.openxmlformats.org/officeDocument/2006/relationships/hyperlink" Target="http://www.ohseducationaccreditation.org.au/industry/" TargetMode="External"/><Relationship Id="rId52" Type="http://schemas.openxmlformats.org/officeDocument/2006/relationships/hyperlink" Target="http://www.safeworkaustralia.gov.au/sites/swa/australian-strategy/case-studies/pages/improving-safety-plastic-industry" TargetMode="External"/><Relationship Id="rId60" Type="http://schemas.openxmlformats.org/officeDocument/2006/relationships/hyperlink" Target="http://www.safeworkaustralia.gov.au/sites/swa/statistics/work-related-fatalities/pages/workrelatedtraumaticinjuryfatalities" TargetMode="External"/><Relationship Id="rId65" Type="http://schemas.openxmlformats.org/officeDocument/2006/relationships/hyperlink" Target="http://www.safeworkaustralia.gov.au/sites/SWA/Search/Results?q=research+collaborations+&amp;start=1&amp;type=all" TargetMode="External"/><Relationship Id="rId73" Type="http://schemas.openxmlformats.org/officeDocument/2006/relationships/hyperlink" Target="http://www.safeworkaustralia.gov.au/sites/swa/australian-strategy/action-areas/pages/action-areas" TargetMode="External"/><Relationship Id="rId78" Type="http://schemas.openxmlformats.org/officeDocument/2006/relationships/hyperlink" Target="http://www.safeworkaustralia.gov.au/sites/swa/australian-strategy/case-studies/pages/nsw-explosives-legislation" TargetMode="External"/><Relationship Id="rId81" Type="http://schemas.openxmlformats.org/officeDocument/2006/relationships/hyperlink" Target="http://www.safeworkaustralia.gov.au/sites/swa/australian-strategy/case-studies/pages/health-and-safety-at-the-nanoscale" TargetMode="External"/><Relationship Id="rId86" Type="http://schemas.openxmlformats.org/officeDocument/2006/relationships/hyperlink" Target="http://www.safeworkaustralia.gov.au/sites/swa/whs-information/smal-business/pages/default" TargetMode="External"/><Relationship Id="rId94" Type="http://schemas.openxmlformats.org/officeDocument/2006/relationships/hyperlink" Target="http://www.worksafe.nt.gov.au/Business/Pages/default.aspx" TargetMode="External"/><Relationship Id="rId99" Type="http://schemas.openxmlformats.org/officeDocument/2006/relationships/hyperlink" Target="http://www.safeworkaustralia.gov.au/sites/swa/australian-strategy/case-studies/pages/focus-on-wood-products-manufacturing" TargetMode="External"/><Relationship Id="rId101" Type="http://schemas.openxmlformats.org/officeDocument/2006/relationships/hyperlink" Target="http://www.safeworkaustralia.gov.au/sites/swa/statistics/industry/agriculture-forestry-fishing/pages/agriculture-forestry-fishing" TargetMode="External"/><Relationship Id="rId122" Type="http://schemas.openxmlformats.org/officeDocument/2006/relationships/hyperlink" Target="http://www.peopleatworkproject.com.au/" TargetMode="External"/><Relationship Id="rId130" Type="http://schemas.openxmlformats.org/officeDocument/2006/relationships/hyperlink" Target="http://www.safeworkaustralia.gov.au/sites/swa/about/publications/pages/measuring-progress-towards-targets" TargetMode="External"/><Relationship Id="rId13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www.safeworkaustralia.gov.au/sites/swa/about/publications/pages/australian-work-health-and-safety-strategy-2012-2022" TargetMode="External"/><Relationship Id="rId18" Type="http://schemas.openxmlformats.org/officeDocument/2006/relationships/hyperlink" Target="http://www.safeworkaustralia.gov.au/sites/swa/about/pages/about" TargetMode="External"/><Relationship Id="rId39" Type="http://schemas.openxmlformats.org/officeDocument/2006/relationships/hyperlink" Target="http://www.safeworkaustralia.gov.au/sites/swa/model-whs-laws/pages/model-whs-laws" TargetMode="External"/><Relationship Id="rId109" Type="http://schemas.openxmlformats.org/officeDocument/2006/relationships/hyperlink" Target="http://www.safeworkaustralia.gov.au/sites/swa/australian-strategy/case-studies/pages/nsw-road-freight-initiative" TargetMode="External"/><Relationship Id="rId34" Type="http://schemas.openxmlformats.org/officeDocument/2006/relationships/hyperlink" Target="http://www.safeworkaustralia.gov.au/sites/swa/about/publications/pages/motivations-attitudes-perceptions-and-skills" TargetMode="External"/><Relationship Id="rId50" Type="http://schemas.openxmlformats.org/officeDocument/2006/relationships/hyperlink" Target="http://www.acsi.org.au/images/stories/ACSIDocuments/generalresearchpublic/Sustainability%20Reporting%20Journey%202013%20-%20public%20version.pdf" TargetMode="External"/><Relationship Id="rId55" Type="http://schemas.openxmlformats.org/officeDocument/2006/relationships/hyperlink" Target="http://www.safeworkaustralia.gov.au/sites/swa/australian-strategy/case-studies/pages/sa-zero-harm-project" TargetMode="External"/><Relationship Id="rId76" Type="http://schemas.openxmlformats.org/officeDocument/2006/relationships/hyperlink" Target="http://www.safeworkaustralia.gov.au/sites/swa/model-whs-laws/model-cop/pages/model-cop" TargetMode="External"/><Relationship Id="rId97" Type="http://schemas.openxmlformats.org/officeDocument/2006/relationships/hyperlink" Target="http://www.safeworkaustralia.gov.au/sites/swa/model-whs-laws/model-cop/pages/model-cop" TargetMode="External"/><Relationship Id="rId104" Type="http://schemas.openxmlformats.org/officeDocument/2006/relationships/hyperlink" Target="http://www.workcover.nsw.gov.au/formspublications/publications/Documents/sheep-and-beef-cattle-action%20plan-4516.pdf" TargetMode="External"/><Relationship Id="rId120" Type="http://schemas.openxmlformats.org/officeDocument/2006/relationships/hyperlink" Target="http://www.safeworkaustralia.gov.au/sites/swa/about/publications/pages/guide-workplace-bullying" TargetMode="External"/><Relationship Id="rId125" Type="http://schemas.openxmlformats.org/officeDocument/2006/relationships/hyperlink" Target="http://www.safeworkaustralia.gov.au/sites/swa/about/publications/pages/occupational-disease-indicators-2012" TargetMode="External"/><Relationship Id="rId7" Type="http://schemas.openxmlformats.org/officeDocument/2006/relationships/settings" Target="settings.xml"/><Relationship Id="rId71" Type="http://schemas.openxmlformats.org/officeDocument/2006/relationships/hyperlink" Target="http://www.safeworkaustralia.gov.au/sites/swa/australian-strategy/case-studies/pages/improve-safety-in-construction" TargetMode="External"/><Relationship Id="rId92" Type="http://schemas.openxmlformats.org/officeDocument/2006/relationships/hyperlink" Target="https://www.commerce.wa.gov.au/worksafe" TargetMode="External"/><Relationship Id="rId2" Type="http://schemas.openxmlformats.org/officeDocument/2006/relationships/customXml" Target="../customXml/item2.xml"/><Relationship Id="rId29" Type="http://schemas.openxmlformats.org/officeDocument/2006/relationships/hyperlink" Target="http://www.safeworkaustralia.gov.au/sites/swa/australian-strategy/action-areas/pages/action-areas" TargetMode="External"/><Relationship Id="rId24" Type="http://schemas.openxmlformats.org/officeDocument/2006/relationships/hyperlink" Target="http://www.safeworkaustralia.gov.au/sites/swa/australian-strategy/case-studies/pages/safer-plasterboard-handling" TargetMode="External"/><Relationship Id="rId40" Type="http://schemas.openxmlformats.org/officeDocument/2006/relationships/hyperlink" Target="http://www.safeworkaustralia.gov.au/sites/swa/australian-strategy/case-studies/pages/focus-on-wood-products-manufacturing" TargetMode="External"/><Relationship Id="rId45" Type="http://schemas.openxmlformats.org/officeDocument/2006/relationships/hyperlink" Target="http://www.ohsbok.org.au/" TargetMode="External"/><Relationship Id="rId66" Type="http://schemas.openxmlformats.org/officeDocument/2006/relationships/hyperlink" Target="http://www.safeworkaustralia.gov.au/sites/swa/australian-strategy/case-studies/pages/sources-of-information" TargetMode="External"/><Relationship Id="rId87" Type="http://schemas.openxmlformats.org/officeDocument/2006/relationships/hyperlink" Target="http://smallbusiness.workcover.nsw.gov.au/Pages/Home.aspx" TargetMode="External"/><Relationship Id="rId110" Type="http://schemas.openxmlformats.org/officeDocument/2006/relationships/hyperlink" Target="http://www.safeworkaustralia.gov.au/sites/swa/australian-strategy/case-studies/pages/supplier-insight-quad-bike-safety" TargetMode="External"/><Relationship Id="rId115" Type="http://schemas.openxmlformats.org/officeDocument/2006/relationships/hyperlink" Target="http://www.safeworkaustralia.gov.au/sites/swa/about/publications/pages/occupational-disease-indicators-2012" TargetMode="External"/><Relationship Id="rId131" Type="http://schemas.openxmlformats.org/officeDocument/2006/relationships/image" Target="media/image3.png"/><Relationship Id="rId61" Type="http://schemas.openxmlformats.org/officeDocument/2006/relationships/hyperlink" Target="http://www.safeworkaustralia.gov.au/sites/swa/statistics/workers-compensation-data/pages/compendiumofworkerscompensationstatistics" TargetMode="External"/><Relationship Id="rId82" Type="http://schemas.openxmlformats.org/officeDocument/2006/relationships/hyperlink" Target="http://www.industry.gov.au/resource/Mining/NationalMineSafetyFramework/Pages/default.aspx" TargetMode="External"/><Relationship Id="rId19" Type="http://schemas.openxmlformats.org/officeDocument/2006/relationships/hyperlink" Target="http://www.safeworkaustralia.gov.au/sites/swa/about/ourmembers/pages/member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6FF775">
            <a:alpha val="29804"/>
          </a:srgbClr>
        </a:solidFill>
        <a:ln w="28575">
          <a:solidFill>
            <a:srgbClr val="6FF775"/>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978-1-74361-825-7</PublicationIdentifier>
    <ParentFolderID xmlns="http://schemas.microsoft.com/sharepoint/v3/fields">873</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113B-A21E-450D-ADB4-F4837211B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BF4BC-0B17-488B-B4D3-1A4EB7F2DC93}">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www.w3.org/XML/1998/namespace"/>
    <ds:schemaRef ds:uri="http://schemas.microsoft.com/sharepoint/v3/fields"/>
  </ds:schemaRefs>
</ds:datastoreItem>
</file>

<file path=customXml/itemProps3.xml><?xml version="1.0" encoding="utf-8"?>
<ds:datastoreItem xmlns:ds="http://schemas.openxmlformats.org/officeDocument/2006/customXml" ds:itemID="{407A2B6F-3C98-43D0-9104-934001DF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1E18469F.dotm</Template>
  <TotalTime>2</TotalTime>
  <Pages>19</Pages>
  <Words>8641</Words>
  <Characters>63090</Characters>
  <Application>Microsoft Office Word</Application>
  <DocSecurity>0</DocSecurity>
  <Lines>525</Lines>
  <Paragraphs>143</Paragraphs>
  <ScaleCrop>false</ScaleCrop>
  <HeadingPairs>
    <vt:vector size="2" baseType="variant">
      <vt:variant>
        <vt:lpstr>Title</vt:lpstr>
      </vt:variant>
      <vt:variant>
        <vt:i4>1</vt:i4>
      </vt:variant>
    </vt:vector>
  </HeadingPairs>
  <TitlesOfParts>
    <vt:vector size="1" baseType="lpstr">
      <vt:lpstr>The first progress report on the Australian Work Health and Safety Strategy 2012-2022</vt:lpstr>
    </vt:vector>
  </TitlesOfParts>
  <Company>Australian Government</Company>
  <LinksUpToDate>false</LinksUpToDate>
  <CharactersWithSpaces>71588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progress report on the Australian Work Health and Safety Strategy 2012-2022</dc:title>
  <dc:creator>Leone Leyshon</dc:creator>
  <cp:lastModifiedBy>Catherine Eggleton</cp:lastModifiedBy>
  <cp:revision>2</cp:revision>
  <cp:lastPrinted>2014-07-17T23:45:00Z</cp:lastPrinted>
  <dcterms:created xsi:type="dcterms:W3CDTF">2014-10-21T04:08:00Z</dcterms:created>
  <dcterms:modified xsi:type="dcterms:W3CDTF">2014-10-21T04:08:00Z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